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w:body>
    <w:p>
      <w:pPr>
        <w:pStyle w:val="Title"/>
      </w:pPr>
      <w:r>
        <w:rPr/>
        <w:t xml:space="preserve">历史日频行情数据的缺失结构及其对量化股票筛选决策可靠性的影响</w:t>
      </w:r>
    </w:p>
    <w:p>
      <w:pPr>
        <w:pStyle w:val="Normal"/>
      </w:pPr>
      <w:r>
        <w:rPr>
          <w:b/>
        </w:rPr>
        <w:t xml:space="preserve">副标题：</w:t>
      </w:r>
      <w:r>
        <w:rPr/>
        <w:t xml:space="preserve"> 基于真实数据审计与受控扰动的实证研究</w:t>
      </w:r>
    </w:p>
    <w:p>
      <w:pPr>
        <w:pStyle w:val="Normal"/>
      </w:pPr>
      <w:r>
        <w:rPr>
          <w:b/>
        </w:rPr>
        <w:t xml:space="preserve">English title:</w:t>
      </w:r>
      <w:r>
        <w:rPr/>
        <w:t xml:space="preserve"> Missingness Structure in Historical Daily Equity Data and Its Implications for Stock Selection Reliability: An Empirical and Controlled-Perturbation Study</w:t>
      </w:r>
    </w:p>
    <w:p>
      <w:pPr>
        <w:pStyle w:val="Metadata"/>
      </w:pPr>
      <w:r>
        <w:rPr/>
        <w:t xml:space="preserve">研究计划书 · 2026年10月17日</w:t>
      </w:r>
    </w:p>
    <w:p>
      <w:pPr>
        <w:pStyle w:val="Normal"/>
      </w:pPr>
      <w:r>
        <w:rPr>
          <w:b/>
        </w:rPr>
        <w:t xml:space="preserve">日期：</w:t>
      </w:r>
      <w:r>
        <w:rPr/>
        <w:t xml:space="preserve"> 2026-10-17</w:t>
      </w:r>
    </w:p>
    <w:p>
      <w:pPr>
        <w:pStyle w:val="Normal"/>
      </w:pPr>
      <w:r>
        <w:rPr>
          <w:b/>
        </w:rPr>
        <w:t xml:space="preserve">研究领域：</w:t>
      </w:r>
      <w:r>
        <w:rPr/>
        <w:t xml:space="preserve"> 金融计量、计算金融、缺失数据统计与决策鲁棒性</w:t>
      </w:r>
    </w:p>
    <w:p>
      <w:pPr>
        <w:pStyle w:val="Metadata"/>
      </w:pPr>
      <w:r>
        <w:rPr/>
        <w:t xml:space="preserve">研究阶段：真实数据审计与受控实证</w:t>
      </w:r>
    </w:p>
    <w:p>
      <w:pPr>
        <w:pStyle w:val="Heading1"/>
      </w:pPr>
      <w:r>
        <w:rPr/>
        <w:t xml:space="preserve">摘要</w:t>
      </w:r>
    </w:p>
    <w:p>
      <w:pPr>
        <w:pStyle w:val="Normal"/>
      </w:pPr>
      <w:r>
        <w:rPr/>
        <w:t xml:space="preserve">历史股票行情数据库的总体完整率不能自动说明每个证券、交易日期和滚动特征窗口的可用性。相同数量的日频 OHLCV 记录缺失，可能对应不同的缺失持续时间、证券集中程度及历史选股决策影响。对于依赖滚动历史特征形成离散 Top-K 股票集合的策略，数据缺失可能使候选证券无法评分，再通过确定性递补规则改变股票选择。</w:t>
      </w:r>
    </w:p>
    <w:p>
      <w:pPr>
        <w:pStyle w:val="Normal"/>
      </w:pPr>
      <w:r>
        <w:rPr/>
        <w:t xml:space="preserve">本研究依托既有美股历史研究基础设施，首先审计历史证券身份、应有交易日、数据缺失、质量隔离、来源覆盖及生命周期边界，建立具有可核验分母的真实数据可观察性描述。然后在具有明确参考真值、且与真实缺失群体具有可评价共同支持的子样本中，实施受控删除和结构保留置换。对滚动窗口覆盖、候选资格失效及固定排名递补的确定性部分建立解析基准，并测量指定历史条件下的连续决策暴露。</w:t>
      </w:r>
    </w:p>
    <w:p>
      <w:pPr>
        <w:pStyle w:val="Normal"/>
      </w:pPr>
      <w:r>
        <w:rPr/>
        <w:t xml:space="preserve">研究的主要应用检验，是在相同核验预算、相同可获得信息和独立评价历史区间内，比较缺失比例、窗口依赖、任务驱动清理及结构增强核验规则，判断额外缺失结构是否提高恢复可信选股决策的效率。五日交易经济收益仅在身份、公司行动和执行价格门禁通过后补充研究。</w:t>
      </w:r>
    </w:p>
    <w:p>
      <w:pPr>
        <w:pStyle w:val="Normal"/>
      </w:pPr>
      <w:r>
        <w:rPr/>
        <w:t xml:space="preserve">本研究不预设正向结果，不将人工删除解释为真实历史交易损失。独立贡献能否成立，取决于缺失状态真实性、参考样本共同支持和强基准之上的可复现决策价值。</w:t>
      </w:r>
    </w:p>
    <w:p>
      <w:pPr>
        <w:pStyle w:val="Normal"/>
      </w:pPr>
      <w:r>
        <w:rPr>
          <w:b/>
        </w:rPr>
        <w:t xml:space="preserve">关键词：</w:t>
      </w:r>
      <w:r>
        <w:rPr/>
        <w:t xml:space="preserve"> 日频 OHLCV；历史证券；数据缺失；滚动窗口；Top-K；决策暴露；数据核验</w:t>
      </w:r>
    </w:p>
    <w:p>
      <w:pPr>
        <w:pStyle w:val="Heading1"/>
      </w:pPr>
      <w:r>
        <w:rPr/>
        <w:t xml:space="preserve">1. 科学问题与文献定位</w:t>
      </w:r>
    </w:p>
    <w:p>
      <w:pPr>
        <w:pStyle w:val="Heading2"/>
      </w:pPr>
      <w:r>
        <w:rPr/>
        <w:t xml:space="preserve">1.1 核心研究问题</w:t>
      </w:r>
    </w:p>
    <w:p>
      <w:pPr>
        <w:pStyle w:val="Normal"/>
      </w:pPr>
      <w:r>
        <w:rPr/>
        <w:t xml:space="preserve">在给定历史证券总体、数据来源和固定日频股票筛选规则下，实际数据缺失的时间、证券及生命周期结构，是否能够为选股决策可靠性评价提供超出简单缺失率和窗口覆盖计算的有用信息？</w:t>
      </w:r>
    </w:p>
    <w:p>
      <w:pPr>
        <w:pStyle w:val="Normal"/>
      </w:pPr>
      <w:r>
        <w:rPr/>
        <w:t xml:space="preserve">具体包括：</w:t>
      </w:r>
    </w:p>
    <w:p>
      <w:pPr>
        <w:pStyle w:val="ListText"/>
      </w:pPr>
      <w:r>
        <w:rPr/>
        <w:t xml:space="preserve">•  </w:t>
      </w:r>
      <w:r>
        <w:rPr>
          <w:b/>
        </w:rPr>
        <w:t xml:space="preserve">Q1｜真实缺失结构。</w:t>
      </w:r>
      <w:r>
        <w:rPr/>
        <w:t xml:space="preserve"> 行情不可用、质量隔离和身份资格未知状态如何按来源、年份、证券及连续区间分布？其中哪些可归因于供应商覆盖或采集过程，哪些是正常生命周期边界？</w:t>
      </w:r>
    </w:p>
    <w:p>
      <w:pPr>
        <w:pStyle w:val="ListText"/>
      </w:pPr>
      <w:r>
        <w:rPr/>
        <w:t xml:space="preserve">•  </w:t>
      </w:r>
      <w:r>
        <w:rPr>
          <w:b/>
        </w:rPr>
        <w:t xml:space="preserve">Q2｜决策暴露。</w:t>
      </w:r>
      <w:r>
        <w:rPr/>
        <w:t xml:space="preserve"> 固定参考策略下，不同缺失结构导致哪些滚动窗口、历史候选资格及连续股票选择偏移？哪些后果由输入依赖与冻结排名直接确定？</w:t>
      </w:r>
    </w:p>
    <w:p>
      <w:pPr>
        <w:pStyle w:val="ListText"/>
      </w:pPr>
      <w:r>
        <w:rPr/>
        <w:t xml:space="preserve">•  </w:t>
      </w:r>
      <w:r>
        <w:rPr>
          <w:b/>
        </w:rPr>
        <w:t xml:space="preserve">Q3｜数据核验价值。</w:t>
      </w:r>
      <w:r>
        <w:rPr/>
        <w:t xml:space="preserve"> 相同资源预算和合法信息集下，缺失游程、证券分层及可观察历史候选暴露信息，能否优于简单窗口覆盖和既有任务驱动数据清理基准？</w:t>
      </w:r>
    </w:p>
    <w:p>
      <w:pPr>
        <w:pStyle w:val="Normal"/>
      </w:pPr>
      <w:r>
        <w:rPr/>
        <w:t xml:space="preserve">Q1 确定对象，Q2 提供数学与受控反事实分析，Q3 用于判断是否存在实际新增价值。Q2 中纯删除、固定评分下的选股偏移本身不是新的金融定律。</w:t>
      </w:r>
    </w:p>
    <w:p>
      <w:pPr>
        <w:pStyle w:val="Heading2"/>
      </w:pPr>
      <w:r>
        <w:rPr/>
        <w:t xml:space="preserve">1.2 相邻研究与增量边界</w:t>
      </w:r>
    </w:p>
    <w:p>
      <w:pPr>
        <w:pStyle w:val="Normal"/>
      </w:pPr>
      <w:r>
        <w:rPr/>
        <w:t xml:space="preserve">Chen 与 McCoy（2024）已研究金融预测变量缺失及投资组合后果；Bryzgalova 等（2025）及 Freyberger 等（2025）研究了金融面板缺失及其处理；Cesarone 等（2020）研究组合模型稳定性；Shumway（1997）说明了退市收益缺漏的风险。ActiveClean 等任务驱动数据清理研究已涉及有限预算下按下游模型影响优先修复数据。</w:t>
      </w:r>
    </w:p>
    <w:p>
      <w:pPr>
        <w:pStyle w:val="Normal"/>
      </w:pPr>
      <w:r>
        <w:rPr/>
        <w:t xml:space="preserve">因此，本研究不以“缺失具有聚集性”“缺失会改变选股”或“按决策影响核验更有效”作为孤立的原创性主张。潜在增量被限定为历史日频 OHLCV、证券身份、滚动资格及离散选股决策共同约束下的可信条件实证结果，尤其是相对于强基准的可衡量核验价值。最近邻文献应在确认性实验冻结前进行可复核的检索与对照。</w:t>
      </w:r>
    </w:p>
    <w:p>
      <w:pPr>
        <w:pStyle w:val="Heading1"/>
      </w:pPr>
      <w:r>
        <w:rPr/>
        <w:t xml:space="preserve">2. 数据总体与可观察性合同</w:t>
      </w:r>
    </w:p>
    <w:p>
      <w:pPr>
        <w:pStyle w:val="Heading2"/>
      </w:pPr>
      <w:r>
        <w:rPr/>
        <w:t xml:space="preserve">2.1 既有研究基础</w:t>
      </w:r>
    </w:p>
    <w:p>
      <w:pPr>
        <w:pStyle w:val="Normal"/>
      </w:pPr>
      <w:r>
        <w:rPr/>
        <w:t xml:space="preserve">研究主要复用历史证券身份映射、日频行情记录、来源与价格口径、历史成员资格、隔离原因及窗口索引，使用冻结的研究数据版本。研究程序仅读取原始数据库或使用独立的实验副本，人工掩码不能覆盖原始数据。</w:t>
      </w:r>
    </w:p>
    <w:p>
      <w:pPr>
        <w:pStyle w:val="Normal"/>
      </w:pPr>
      <w:r>
        <w:rPr/>
        <w:t xml:space="preserve">既有2026年10月8日工程验收留存了以下计数。</w:t>
      </w:r>
      <w:r>
        <w:rPr>
          <w:b/>
        </w:rPr>
        <w:t xml:space="preserve">这些是待本研究重新复核的既有证据，而非已完成的新实证结果。</w:t>
      </w:r>
    </w:p>
    <w:tbl>
      <w:tblPr>
        <w:tblW w:w="0" w:type="auto"/>
        <w:tblBorders>
          <w:top w:val="single" w:color="C0CBD6" w:sz="5"/>
          <w:bottom w:val="single" w:color="C0CBD6" w:sz="5"/>
          <w:insideH w:val="single" w:color="DEE4EA" w:sz="4"/>
        </w:tblBorders>
      </w:tblPr>
      <w:tr>
        <w:tc>
          <w:tcPr>
            <w:tcW w:type="auto" w:w="0"/>
            <w:tcMar>
              <w:top w:w="70" w:type="dxa"/>
              <w:bottom w:w="70" w:type="dxa"/>
              <w:start w:w="90" w:type="dxa"/>
              <w:end w:w="90" w:type="dxa"/>
            </w:tcMar>
            <w:shd w:fill="EAF0F5"/>
          </w:tcPr>
          <w:p>
            <w:pPr>
              <w:pStyle w:val="TableHead"/>
            </w:pPr>
            <w:r>
              <w:rPr/>
              <w:t xml:space="preserve">工程审计指标</w:t>
            </w:r>
          </w:p>
        </w:tc>
        <w:tc>
          <w:tcPr>
            <w:tcW w:type="auto" w:w="0"/>
            <w:tcMar>
              <w:top w:w="70" w:type="dxa"/>
              <w:bottom w:w="70" w:type="dxa"/>
              <w:start w:w="90" w:type="dxa"/>
              <w:end w:w="90" w:type="dxa"/>
            </w:tcMar>
            <w:shd w:fill="EAF0F5"/>
          </w:tcPr>
          <w:p>
            <w:pPr>
              <w:pStyle w:val="TableHead"/>
            </w:pPr>
            <w:r>
              <w:rPr/>
              <w:t xml:space="preserve">数量</w:t>
            </w:r>
          </w:p>
        </w:tc>
        <w:tc>
          <w:tcPr>
            <w:tcW w:type="auto" w:w="0"/>
            <w:tcMar>
              <w:top w:w="70" w:type="dxa"/>
              <w:bottom w:w="70" w:type="dxa"/>
              <w:start w:w="90" w:type="dxa"/>
              <w:end w:w="90" w:type="dxa"/>
            </w:tcMar>
            <w:shd w:fill="EAF0F5"/>
          </w:tcPr>
          <w:p>
            <w:pPr>
              <w:pStyle w:val="TableHead"/>
            </w:pPr>
            <w:r>
              <w:rPr/>
              <w:t xml:space="preserve">解释</w:t>
            </w:r>
          </w:p>
        </w:tc>
      </w:tr>
      <w:tr>
        <w:tc>
          <w:tcPr>
            <w:tcW w:type="auto" w:w="0"/>
            <w:tcMar>
              <w:top w:w="70" w:type="dxa"/>
              <w:bottom w:w="70" w:type="dxa"/>
              <w:start w:w="90" w:type="dxa"/>
              <w:end w:w="90" w:type="dxa"/>
            </w:tcMar>
          </w:tcPr>
          <w:p>
            <w:pPr>
              <w:pStyle w:val="TableText"/>
            </w:pPr>
            <w:r>
              <w:rPr/>
              <w:t xml:space="preserve">已观测普通股证券—交易日记录</w:t>
            </w:r>
          </w:p>
        </w:tc>
        <w:tc>
          <w:tcPr>
            <w:tcW w:type="auto" w:w="0"/>
            <w:tcMar>
              <w:top w:w="70" w:type="dxa"/>
              <w:bottom w:w="70" w:type="dxa"/>
              <w:start w:w="90" w:type="dxa"/>
              <w:end w:w="90" w:type="dxa"/>
            </w:tcMar>
          </w:tcPr>
          <w:p>
            <w:pPr>
              <w:pStyle w:val="TableText"/>
            </w:pPr>
            <w:r>
              <w:rPr/>
              <w:t xml:space="preserve">6,929,009</w:t>
            </w:r>
          </w:p>
        </w:tc>
        <w:tc>
          <w:tcPr>
            <w:tcW w:type="auto" w:w="0"/>
            <w:tcMar>
              <w:top w:w="70" w:type="dxa"/>
              <w:bottom w:w="70" w:type="dxa"/>
              <w:start w:w="90" w:type="dxa"/>
              <w:end w:w="90" w:type="dxa"/>
            </w:tcMar>
          </w:tcPr>
          <w:p>
            <w:pPr>
              <w:pStyle w:val="TableText"/>
            </w:pPr>
            <w:r>
              <w:rPr/>
              <w:t xml:space="preserve">不是全美股应有记录总数</w:t>
            </w:r>
          </w:p>
        </w:tc>
      </w:tr>
      <w:tr>
        <w:tc>
          <w:tcPr>
            <w:tcW w:type="auto" w:w="0"/>
            <w:tcMar>
              <w:top w:w="70" w:type="dxa"/>
              <w:bottom w:w="70" w:type="dxa"/>
              <w:start w:w="90" w:type="dxa"/>
              <w:end w:w="90" w:type="dxa"/>
            </w:tcMar>
          </w:tcPr>
          <w:p>
            <w:pPr>
              <w:pStyle w:val="TableText"/>
            </w:pPr>
            <w:r>
              <w:rPr/>
              <w:t xml:space="preserve">READY</w:t>
            </w:r>
          </w:p>
        </w:tc>
        <w:tc>
          <w:tcPr>
            <w:tcW w:type="auto" w:w="0"/>
            <w:tcMar>
              <w:top w:w="70" w:type="dxa"/>
              <w:bottom w:w="70" w:type="dxa"/>
              <w:start w:w="90" w:type="dxa"/>
              <w:end w:w="90" w:type="dxa"/>
            </w:tcMar>
          </w:tcPr>
          <w:p>
            <w:pPr>
              <w:pStyle w:val="TableText"/>
            </w:pPr>
            <w:r>
              <w:rPr/>
              <w:t xml:space="preserve">4,113,916</w:t>
            </w:r>
          </w:p>
        </w:tc>
        <w:tc>
          <w:tcPr>
            <w:tcW w:type="auto" w:w="0"/>
            <w:tcMar>
              <w:top w:w="70" w:type="dxa"/>
              <w:bottom w:w="70" w:type="dxa"/>
              <w:start w:w="90" w:type="dxa"/>
              <w:end w:w="90" w:type="dxa"/>
            </w:tcMar>
          </w:tcPr>
          <w:p>
            <w:pPr>
              <w:pStyle w:val="TableText"/>
            </w:pPr>
            <w:r>
              <w:rPr/>
              <w:t xml:space="preserve">技术可用，不等于全面 PIT 认证</w:t>
            </w:r>
          </w:p>
        </w:tc>
      </w:tr>
      <w:tr>
        <w:tc>
          <w:tcPr>
            <w:tcW w:type="auto" w:w="0"/>
            <w:tcMar>
              <w:top w:w="70" w:type="dxa"/>
              <w:bottom w:w="70" w:type="dxa"/>
              <w:start w:w="90" w:type="dxa"/>
              <w:end w:w="90" w:type="dxa"/>
            </w:tcMar>
          </w:tcPr>
          <w:p>
            <w:pPr>
              <w:pStyle w:val="TableText"/>
            </w:pPr>
            <w:r>
              <w:rPr/>
              <w:t xml:space="preserve">READY_WITH_MINOR_UNCERTAINTY</w:t>
            </w:r>
          </w:p>
        </w:tc>
        <w:tc>
          <w:tcPr>
            <w:tcW w:type="auto" w:w="0"/>
            <w:tcMar>
              <w:top w:w="70" w:type="dxa"/>
              <w:bottom w:w="70" w:type="dxa"/>
              <w:start w:w="90" w:type="dxa"/>
              <w:end w:w="90" w:type="dxa"/>
            </w:tcMar>
          </w:tcPr>
          <w:p>
            <w:pPr>
              <w:pStyle w:val="TableText"/>
            </w:pPr>
            <w:r>
              <w:rPr/>
              <w:t xml:space="preserve">1,697,670</w:t>
            </w:r>
          </w:p>
        </w:tc>
        <w:tc>
          <w:tcPr>
            <w:tcW w:type="auto" w:w="0"/>
            <w:tcMar>
              <w:top w:w="70" w:type="dxa"/>
              <w:bottom w:w="70" w:type="dxa"/>
              <w:start w:w="90" w:type="dxa"/>
              <w:end w:w="90" w:type="dxa"/>
            </w:tcMar>
          </w:tcPr>
          <w:p>
            <w:pPr>
              <w:pStyle w:val="TableText"/>
            </w:pPr>
            <w:r>
              <w:rPr/>
              <w:t xml:space="preserve">技术可用，仍有轻微不确定性</w:t>
            </w:r>
          </w:p>
        </w:tc>
      </w:tr>
      <w:tr>
        <w:tc>
          <w:tcPr>
            <w:tcW w:type="auto" w:w="0"/>
            <w:tcMar>
              <w:top w:w="70" w:type="dxa"/>
              <w:bottom w:w="70" w:type="dxa"/>
              <w:start w:w="90" w:type="dxa"/>
              <w:end w:w="90" w:type="dxa"/>
            </w:tcMar>
          </w:tcPr>
          <w:p>
            <w:pPr>
              <w:pStyle w:val="TableText"/>
            </w:pPr>
            <w:r>
              <w:rPr/>
              <w:t xml:space="preserve">技术可用合计</w:t>
            </w:r>
          </w:p>
        </w:tc>
        <w:tc>
          <w:tcPr>
            <w:tcW w:type="auto" w:w="0"/>
            <w:tcMar>
              <w:top w:w="70" w:type="dxa"/>
              <w:bottom w:w="70" w:type="dxa"/>
              <w:start w:w="90" w:type="dxa"/>
              <w:end w:w="90" w:type="dxa"/>
            </w:tcMar>
          </w:tcPr>
          <w:p>
            <w:pPr>
              <w:pStyle w:val="TableText"/>
            </w:pPr>
            <w:r>
              <w:rPr/>
              <w:t xml:space="preserve">5,811,586</w:t>
            </w:r>
          </w:p>
        </w:tc>
        <w:tc>
          <w:tcPr>
            <w:tcW w:type="auto" w:w="0"/>
            <w:tcMar>
              <w:top w:w="70" w:type="dxa"/>
              <w:bottom w:w="70" w:type="dxa"/>
              <w:start w:w="90" w:type="dxa"/>
              <w:end w:w="90" w:type="dxa"/>
            </w:tcMar>
          </w:tcPr>
          <w:p>
            <w:pPr>
              <w:pStyle w:val="TableText"/>
            </w:pPr>
            <w:r>
              <w:rPr/>
              <w:t xml:space="preserve">上述条件总体的约83.87%</w:t>
            </w:r>
          </w:p>
        </w:tc>
      </w:tr>
      <w:tr>
        <w:tc>
          <w:tcPr>
            <w:tcW w:type="auto" w:w="0"/>
            <w:tcMar>
              <w:top w:w="70" w:type="dxa"/>
              <w:bottom w:w="70" w:type="dxa"/>
              <w:start w:w="90" w:type="dxa"/>
              <w:end w:w="90" w:type="dxa"/>
            </w:tcMar>
          </w:tcPr>
          <w:p>
            <w:pPr>
              <w:pStyle w:val="TableText"/>
            </w:pPr>
            <w:r>
              <w:rPr/>
              <w:t xml:space="preserve">MISSING</w:t>
            </w:r>
          </w:p>
        </w:tc>
        <w:tc>
          <w:tcPr>
            <w:tcW w:type="auto" w:w="0"/>
            <w:tcMar>
              <w:top w:w="70" w:type="dxa"/>
              <w:bottom w:w="70" w:type="dxa"/>
              <w:start w:w="90" w:type="dxa"/>
              <w:end w:w="90" w:type="dxa"/>
            </w:tcMar>
          </w:tcPr>
          <w:p>
            <w:pPr>
              <w:pStyle w:val="TableText"/>
            </w:pPr>
            <w:r>
              <w:rPr/>
              <w:t xml:space="preserve">1,096,197</w:t>
            </w:r>
          </w:p>
        </w:tc>
        <w:tc>
          <w:tcPr>
            <w:tcW w:type="auto" w:w="0"/>
            <w:tcMar>
              <w:top w:w="70" w:type="dxa"/>
              <w:bottom w:w="70" w:type="dxa"/>
              <w:start w:w="90" w:type="dxa"/>
              <w:end w:w="90" w:type="dxa"/>
            </w:tcMar>
          </w:tcPr>
          <w:p>
            <w:pPr>
              <w:pStyle w:val="TableText"/>
            </w:pPr>
            <w:r>
              <w:rPr/>
              <w:t xml:space="preserve">不等于确认的供应商漏报</w:t>
            </w:r>
          </w:p>
        </w:tc>
      </w:tr>
      <w:tr>
        <w:tc>
          <w:tcPr>
            <w:tcW w:type="auto" w:w="0"/>
            <w:tcMar>
              <w:top w:w="70" w:type="dxa"/>
              <w:bottom w:w="70" w:type="dxa"/>
              <w:start w:w="90" w:type="dxa"/>
              <w:end w:w="90" w:type="dxa"/>
            </w:tcMar>
          </w:tcPr>
          <w:p>
            <w:pPr>
              <w:pStyle w:val="TableText"/>
            </w:pPr>
            <w:r>
              <w:rPr/>
              <w:t xml:space="preserve">QUARANTINED</w:t>
            </w:r>
          </w:p>
        </w:tc>
        <w:tc>
          <w:tcPr>
            <w:tcW w:type="auto" w:w="0"/>
            <w:tcMar>
              <w:top w:w="70" w:type="dxa"/>
              <w:bottom w:w="70" w:type="dxa"/>
              <w:start w:w="90" w:type="dxa"/>
              <w:end w:w="90" w:type="dxa"/>
            </w:tcMar>
          </w:tcPr>
          <w:p>
            <w:pPr>
              <w:pStyle w:val="TableText"/>
            </w:pPr>
            <w:r>
              <w:rPr/>
              <w:t xml:space="preserve">21,226</w:t>
            </w:r>
          </w:p>
        </w:tc>
        <w:tc>
          <w:tcPr>
            <w:tcW w:type="auto" w:w="0"/>
            <w:tcMar>
              <w:top w:w="70" w:type="dxa"/>
              <w:bottom w:w="70" w:type="dxa"/>
              <w:start w:w="90" w:type="dxa"/>
              <w:end w:w="90" w:type="dxa"/>
            </w:tcMar>
          </w:tcPr>
          <w:p>
            <w:pPr>
              <w:pStyle w:val="TableText"/>
            </w:pPr>
            <w:r>
              <w:rPr/>
              <w:t xml:space="preserve">价格存在问题或其他质量隔离</w:t>
            </w:r>
          </w:p>
        </w:tc>
      </w:tr>
      <w:tr>
        <w:tc>
          <w:tcPr>
            <w:tcW w:type="auto" w:w="0"/>
            <w:tcMar>
              <w:top w:w="70" w:type="dxa"/>
              <w:bottom w:w="70" w:type="dxa"/>
              <w:start w:w="90" w:type="dxa"/>
              <w:end w:w="90" w:type="dxa"/>
            </w:tcMar>
          </w:tcPr>
          <w:p>
            <w:pPr>
              <w:pStyle w:val="TableText"/>
            </w:pPr>
            <w:r>
              <w:rPr/>
              <w:t xml:space="preserve">默认安全行情记录</w:t>
            </w:r>
          </w:p>
        </w:tc>
        <w:tc>
          <w:tcPr>
            <w:tcW w:type="auto" w:w="0"/>
            <w:tcMar>
              <w:top w:w="70" w:type="dxa"/>
              <w:bottom w:w="70" w:type="dxa"/>
              <w:start w:w="90" w:type="dxa"/>
              <w:end w:w="90" w:type="dxa"/>
            </w:tcMar>
          </w:tcPr>
          <w:p>
            <w:pPr>
              <w:pStyle w:val="TableText"/>
            </w:pPr>
            <w:r>
              <w:rPr/>
              <w:t xml:space="preserve">5,407,961</w:t>
            </w:r>
          </w:p>
        </w:tc>
        <w:tc>
          <w:tcPr>
            <w:tcW w:type="auto" w:w="0"/>
            <w:tcMar>
              <w:top w:w="70" w:type="dxa"/>
              <w:bottom w:w="70" w:type="dxa"/>
              <w:start w:w="90" w:type="dxa"/>
              <w:end w:w="90" w:type="dxa"/>
            </w:tcMar>
          </w:tcPr>
          <w:p>
            <w:pPr>
              <w:pStyle w:val="TableText"/>
            </w:pPr>
            <w:r>
              <w:rPr/>
              <w:t xml:space="preserve">还受历史成员资格规则约束</w:t>
            </w:r>
          </w:p>
        </w:tc>
      </w:tr>
      <w:tr>
        <w:tc>
          <w:tcPr>
            <w:tcW w:type="auto" w:w="0"/>
            <w:tcMar>
              <w:top w:w="70" w:type="dxa"/>
              <w:bottom w:w="70" w:type="dxa"/>
              <w:start w:w="90" w:type="dxa"/>
              <w:end w:w="90" w:type="dxa"/>
            </w:tcMar>
          </w:tcPr>
          <w:p>
            <w:pPr>
              <w:pStyle w:val="TableText"/>
            </w:pPr>
            <w:r>
              <w:rPr/>
              <w:t xml:space="preserve">支持的60日完整窗口</w:t>
            </w:r>
          </w:p>
        </w:tc>
        <w:tc>
          <w:tcPr>
            <w:tcW w:type="auto" w:w="0"/>
            <w:tcMar>
              <w:top w:w="70" w:type="dxa"/>
              <w:bottom w:w="70" w:type="dxa"/>
              <w:start w:w="90" w:type="dxa"/>
              <w:end w:w="90" w:type="dxa"/>
            </w:tcMar>
          </w:tcPr>
          <w:p>
            <w:pPr>
              <w:pStyle w:val="TableText"/>
            </w:pPr>
            <w:r>
              <w:rPr/>
              <w:t xml:space="preserve">4,789,547</w:t>
            </w:r>
          </w:p>
        </w:tc>
        <w:tc>
          <w:tcPr>
            <w:tcW w:type="auto" w:w="0"/>
            <w:tcMar>
              <w:top w:w="70" w:type="dxa"/>
              <w:bottom w:w="70" w:type="dxa"/>
              <w:start w:w="90" w:type="dxa"/>
              <w:end w:w="90" w:type="dxa"/>
            </w:tcMar>
          </w:tcPr>
          <w:p>
            <w:pPr>
              <w:pStyle w:val="TableText"/>
            </w:pPr>
            <w:r>
              <w:rPr/>
              <w:t xml:space="preserve">高度重叠，不是独立样本数</w:t>
            </w:r>
          </w:p>
        </w:tc>
      </w:tr>
    </w:tbl>
    <w:p>
      <w:pPr>
        <w:pStyle w:val="Normal"/>
      </w:pPr>
      <w:r>
        <w:rPr/>
        <w:t xml:space="preserve">以上四类状态合计为6,929,009。研究相关后来消失证券的条件缺价比例在既有报告中约为35.51%；该比例不是全体真实退市股缺失率，不能由此估算退市经济损失。</w:t>
      </w:r>
    </w:p>
    <w:p>
      <w:pPr>
        <w:pStyle w:val="Normal"/>
      </w:pPr>
      <w:r>
        <w:rPr/>
        <w:t xml:space="preserve">基础来源：</w:t>
      </w:r>
      <w:r>
        <w:rPr/>
        <w:t xml:space="preserve">Research Infrastructure v1 (https://github.com/zhoushuming073-cell/stock-radar/blob/main/docs/RESEARCH_INFRASTRUCTURE_V1.md)</w:t>
      </w:r>
      <w:r>
        <w:rPr/>
        <w:t xml:space="preserve">；</w:t>
      </w:r>
      <w:r>
        <w:rPr/>
        <w:t xml:space="preserve">2026-10-08 数据验收记录 (https://github.com/zhoushuming073-cell/stock-radar/blob/main/reports/acceptance/research-infrastructure-v1-finalization-2026-10-08.md)</w:t>
      </w:r>
      <w:r>
        <w:rPr/>
        <w:t xml:space="preserve">。</w:t>
      </w:r>
    </w:p>
    <w:p>
      <w:pPr>
        <w:pStyle w:val="Heading2"/>
      </w:pPr>
      <w:r>
        <w:rPr/>
        <w:t xml:space="preserve">2.2 历史证券—交易日期总体</w:t>
      </w:r>
    </w:p>
    <w:p>
      <w:pPr>
        <w:pStyle w:val="Normal"/>
      </w:pPr>
      <w:r>
        <w:rPr/>
        <w:t xml:space="preserve">令 </w:t>
      </w:r>
      <m:oMath>
        <m:r>
          <m:rPr>
            <m:sty m:val="p"/>
          </m:rPr>
          <m:t xml:space="preserve">Ω</m:t>
        </m:r>
      </m:oMath>
      <w:r>
        <w:rPr/>
        <w:t xml:space="preserve"> 表示依据历史证券身份、适用交易日期、成员资格及其他允许的独立历史证据确定的证券—交易日总体。不能从今天仍存在的股票反推历史投资总体，也不能单凭成功返回行情的记录定义全部应有行情。</w:t>
      </w:r>
    </w:p>
    <w:p>
      <w:pPr>
        <w:pStyle w:val="Normal"/>
      </w:pPr>
      <w:r>
        <w:rPr/>
        <w:t xml:space="preserve">每个证券—日期至少区分五类：</w:t>
      </w:r>
    </w:p>
    <w:p>
      <w:pPr>
        <w:pStyle w:val="ListText"/>
      </w:pPr>
      <w:r>
        <w:rPr/>
        <w:t xml:space="preserve">1. 历史适用且行情可信；</w:t>
      </w:r>
    </w:p>
    <w:p>
      <w:pPr>
        <w:pStyle w:val="ListText"/>
      </w:pPr>
      <w:r>
        <w:rPr/>
        <w:t xml:space="preserve">2. 已确认应有行情、但记录不可用；</w:t>
      </w:r>
    </w:p>
    <w:p>
      <w:pPr>
        <w:pStyle w:val="ListText"/>
      </w:pPr>
      <w:r>
        <w:rPr/>
        <w:t xml:space="preserve">3. 有行情但受到质量隔离；</w:t>
      </w:r>
    </w:p>
    <w:p>
      <w:pPr>
        <w:pStyle w:val="ListText"/>
      </w:pPr>
      <w:r>
        <w:rPr/>
        <w:t xml:space="preserve">4. 证券身份、适用交易资格或应有行情仍未知；</w:t>
      </w:r>
    </w:p>
    <w:p>
      <w:pPr>
        <w:pStyle w:val="ListText"/>
      </w:pPr>
      <w:r>
        <w:rPr/>
        <w:t xml:space="preserve">5. 已确认的不适用日期，包括上市前、适用终止后及合法不交易。</w:t>
      </w:r>
    </w:p>
    <w:p>
      <w:pPr>
        <w:pStyle w:val="Normal"/>
      </w:pPr>
      <w:r>
        <w:rPr/>
        <w:t xml:space="preserve">UNKNOWN 须保留，并对其数量和纳入/排除所形成的统计界限单独报告。不能将缺少供应商数据等同于市场实际没有交易。</w:t>
      </w:r>
    </w:p>
    <w:p>
      <w:pPr>
        <w:pStyle w:val="Heading2"/>
      </w:pPr>
      <w:r>
        <w:rPr/>
        <w:t xml:space="preserve">2.3 完整参考样本与选择偏差</w:t>
      </w:r>
    </w:p>
    <w:p>
      <w:pPr>
        <w:pStyle w:val="Normal"/>
      </w:pPr>
      <w:r>
        <w:rPr/>
        <w:t xml:space="preserve">受控扰动要求存在可复核的完整参考输入。但真实缺失很可能更集中于退市前后、身份复杂、流动性较弱或供应商覆盖不充分的证券。完整参考组与真实缺失组并非同一总体。</w:t>
      </w:r>
    </w:p>
    <w:p>
      <w:pPr>
        <w:pStyle w:val="Normal"/>
      </w:pPr>
      <w:r>
        <w:rPr/>
        <w:t xml:space="preserve">进入正式模拟前，需在年份、来源、上市年龄、事前价格与流动性、历史身份和生命周期状态上报告共同支持。无法比较的群体只保留原始审计或压力测试解释，不将完整参考样本的条件结果称作真实全市场平均效果。</w:t>
      </w:r>
    </w:p>
    <w:p>
      <w:pPr>
        <w:pStyle w:val="Heading1"/>
      </w:pPr>
      <w:r>
        <w:rPr/>
        <w:t xml:space="preserve">3. P0–P1：真实数据结构审计</w:t>
      </w:r>
    </w:p>
    <w:p>
      <w:pPr>
        <w:pStyle w:val="Heading2"/>
      </w:pPr>
      <w:r>
        <w:rPr/>
        <w:t xml:space="preserve">3.1 P0：数据定义与来源核验</w:t>
      </w:r>
    </w:p>
    <w:p>
      <w:pPr>
        <w:pStyle w:val="Normal"/>
      </w:pPr>
      <w:r>
        <w:rPr/>
        <w:t xml:space="preserve">确定交易日历、证券ID及历史别名、数据来源和采集版本、价格复权口径、已有隔离规则及数据快照散列。按照来源、年度和历史状态进行分层抽样核验；对高缺失区间尽可能使用独立资料验证其应有行情状态。无法归因的缺失保留“原因未知”。</w:t>
      </w:r>
    </w:p>
    <w:p>
      <w:pPr>
        <w:pStyle w:val="Normal"/>
      </w:pPr>
      <w:r>
        <w:rPr/>
        <w:t xml:space="preserve">每项统计必须注明历史证券—交易日分母，区分技术缺失、数据供应商覆盖边界、证券真实非交易、身份不确定及价格异常。状态字典应可被代码逐条执行并产出审计日志。</w:t>
      </w:r>
    </w:p>
    <w:p>
      <w:pPr>
        <w:pStyle w:val="Heading2"/>
      </w:pPr>
      <w:r>
        <w:rPr/>
        <w:t xml:space="preserve">3.2 P1：缺失游程与集中性</w:t>
      </w:r>
    </w:p>
    <w:p>
      <w:pPr>
        <w:pStyle w:val="Normal"/>
      </w:pPr>
      <w:r>
        <w:rPr/>
        <w:t xml:space="preserve">在确认应有行情的有效连续交易日期上定义：</w:t>
      </w:r>
    </w:p>
    <w:p>
      <w:pPr>
        <w:pStyle w:val="Equation"/>
        <w:jc w:val="center"/>
      </w:pPr>
      <m:oMathPara>
        <m:oMathParaPr>
          <m:jc m:val="center"/>
        </m:oMathParaPr>
        <m:oMath>
          <m:sSub>
            <m:e>
              <m:r>
                <m:rPr>
                  <m:sty m:val="p"/>
                </m:rPr>
                <m:t xml:space="preserve">X</m:t>
              </m:r>
            </m:e>
            <m:sub>
              <m:r>
                <m:rPr>
                  <m:sty m:val="p"/>
                </m:rPr>
                <m:t xml:space="preserve">i,t</m:t>
              </m:r>
            </m:sub>
          </m:sSub>
          <m:r>
            <m:rPr>
              <m:sty m:val="p"/>
            </m:rPr>
            <m:t xml:space="preserve">=</m:t>
          </m:r>
          <m:d>
            <m:dPr>
              <m:begChr m:val="{"/>
              <m:endChr m:val=""/>
            </m:dPr>
            <m:e>
              <m:eqArr>
                <m:e>
                  <m:r>
                    <m:rPr>
                      <m:sty m:val="p"/>
                    </m:rPr>
                    <m:t xml:space="preserve">1，指定数据合同下可用</m:t>
                  </m:r>
                </m:e>
                <m:e>
                  <m:r>
                    <m:rPr>
                      <m:sty m:val="p"/>
                    </m:rPr>
                    <m:t xml:space="preserve">0，确认应有行情但不可用</m:t>
                  </m:r>
                </m:e>
                <m:e>
                  <m:r>
                    <m:rPr>
                      <m:sty m:val="p"/>
                    </m:rPr>
                    <m:t xml:space="preserve">UNKNOWN，历史资格或应有行情状态未确认</m:t>
                  </m:r>
                </m:e>
              </m:eqArr>
            </m:e>
          </m:d>
        </m:oMath>
      </m:oMathPara>
    </w:p>
    <w:p>
      <w:pPr>
        <w:pStyle w:val="Normal"/>
      </w:pPr>
      <w:r>
        <w:rPr/>
        <w:t xml:space="preserve">连续的零状态极大区间构成一个缺失游程；遇到未知、观察区间断点或不适用日期不跨越拼接。报告游程长度分布、年度及来源集中度、证券间集中度、生命周期分层和缺失前可观察的历史特征。</w:t>
      </w:r>
    </w:p>
    <w:p>
      <w:pPr>
        <w:pStyle w:val="Normal"/>
      </w:pPr>
      <w:r>
        <w:rPr/>
        <w:t xml:space="preserve">审计滚动窗口长度采用20、40、60及126个交易日，源于既有历史研究接口的支持范围。这些窗口长度是数据审计尺度，并不代表具体策略所需的全部特征历史。</w:t>
      </w:r>
    </w:p>
    <w:p>
      <w:pPr>
        <w:pStyle w:val="Normal"/>
      </w:pPr>
      <w:r>
        <w:rPr/>
        <w:t xml:space="preserve">观察到缺失与历史风险变量相关，可反驳相应的完全随机缺失假设；未发现关联不等于证明 MCAR，未知真实收益也不能用来声称已经识别 MNAR。</w:t>
      </w:r>
    </w:p>
    <w:p>
      <w:pPr>
        <w:pStyle w:val="Heading2"/>
      </w:pPr>
      <w:r>
        <w:rPr/>
        <w:t xml:space="preserve">3.3 P0–P1 验收</w:t>
      </w:r>
    </w:p>
    <w:p>
      <w:pPr>
        <w:pStyle w:val="Normal"/>
      </w:pPr>
      <w:r>
        <w:rPr/>
        <w:t xml:space="preserve">完成证券—日期分母及 UNKNOWN 敏感性核验；给出缺失来源和状态字典；记录分层样本复核的错误与不确定性；报告真实缺失组与完整参考组共同支持。只有在该范围可信时，后续受控实验才具备清晰的条件研究对象。</w:t>
      </w:r>
    </w:p>
    <w:p>
      <w:pPr>
        <w:pStyle w:val="Heading1"/>
      </w:pPr>
      <w:r>
        <w:rPr/>
        <w:t xml:space="preserve">4. P2：受控扰动和数学基准</w:t>
      </w:r>
    </w:p>
    <w:p>
      <w:pPr>
        <w:pStyle w:val="Heading2"/>
      </w:pPr>
      <w:r>
        <w:rPr/>
        <w:t xml:space="preserve">4.1 决策时间及冻结策略</w:t>
      </w:r>
    </w:p>
    <w:p>
      <w:pPr>
        <w:pStyle w:val="Normal"/>
      </w:pPr>
      <w:r>
        <w:rPr/>
        <w:t xml:space="preserve">参考选股规模设 </w:t>
      </w:r>
      <m:oMath>
        <m:r>
          <m:rPr>
            <m:sty m:val="p"/>
          </m:rPr>
          <m:t xml:space="preserve">K=3</m:t>
        </m:r>
      </m:oMath>
      <w:r>
        <w:rPr/>
        <w:t xml:space="preserve">。交易日 </w:t>
      </w:r>
      <m:oMath>
        <m:r>
          <m:rPr>
            <m:sty m:val="p"/>
          </m:rPr>
          <m:t xml:space="preserve">t</m:t>
        </m:r>
      </m:oMath>
      <w:r>
        <w:rPr/>
        <w:t xml:space="preserve"> 的完整日频 OHLCV 只能在 </w:t>
      </w:r>
      <m:oMath>
        <m:r>
          <m:rPr>
            <m:sty m:val="p"/>
          </m:rPr>
          <m:t xml:space="preserve">t</m:t>
        </m:r>
      </m:oMath>
      <w:r>
        <w:rPr/>
        <w:t xml:space="preserve"> 收盘后且来源数据确实可获得时生成信号，最早在 </w:t>
      </w:r>
      <m:oMath>
        <m:r>
          <m:rPr>
            <m:sty m:val="p"/>
          </m:rPr>
          <m:t xml:space="preserve">t+1</m:t>
        </m:r>
      </m:oMath>
      <w:r>
        <w:rPr/>
        <w:t xml:space="preserve"> 的事先规定交易时点执行。盘中决策不得使用未完成的全天数据。</w:t>
      </w:r>
    </w:p>
    <w:p>
      <w:pPr>
        <w:pStyle w:val="Normal"/>
      </w:pPr>
      <w:r>
        <w:rPr/>
        <w:t xml:space="preserve">60日窗口用于解析示例，</w:t>
      </w:r>
      <w:r>
        <w:rPr>
          <w:b/>
        </w:rPr>
        <w:t xml:space="preserve">不自动代表真实策略的完整历史输入需求</w:t>
      </w:r>
      <w:r>
        <w:rPr/>
        <w:t xml:space="preserve">。P2 前必须明确冻结实际评分函数、必要特征、可能的126日历史依赖、横截面候选资格及指数数据、排名并列处理和其他输入合同。</w:t>
      </w:r>
    </w:p>
    <w:p>
      <w:pPr>
        <w:pStyle w:val="Heading2"/>
      </w:pPr>
      <w:r>
        <w:rPr/>
        <w:t xml:space="preserve">4.2 实验情景</w:t>
      </w:r>
    </w:p>
    <w:p>
      <w:pPr>
        <w:pStyle w:val="ListText"/>
      </w:pPr>
      <w:r>
        <w:rPr/>
        <w:t xml:space="preserve">•  </w:t>
      </w:r>
      <w:r>
        <w:rPr>
          <w:b/>
        </w:rPr>
        <w:t xml:space="preserve">M0：</w:t>
      </w:r>
      <w:r>
        <w:rPr/>
        <w:t xml:space="preserve"> 完整参考数据。</w:t>
      </w:r>
    </w:p>
    <w:p>
      <w:pPr>
        <w:pStyle w:val="ListText"/>
      </w:pPr>
      <w:r>
        <w:rPr/>
        <w:t xml:space="preserve">•  </w:t>
      </w:r>
      <w:r>
        <w:rPr>
          <w:b/>
        </w:rPr>
        <w:t xml:space="preserve">M1：</w:t>
      </w:r>
      <w:r>
        <w:rPr/>
        <w:t xml:space="preserve"> 按预定预算实施独立随机行删除，并保留按合法历史来源/年度/证券分层控制边际分布的版本。</w:t>
      </w:r>
    </w:p>
    <w:p>
      <w:pPr>
        <w:pStyle w:val="ListText"/>
      </w:pPr>
      <w:r>
        <w:rPr/>
        <w:t xml:space="preserve">•  </w:t>
      </w:r>
      <w:r>
        <w:rPr>
          <w:b/>
        </w:rPr>
        <w:t xml:space="preserve">M2：</w:t>
      </w:r>
      <w:r>
        <w:rPr/>
        <w:t xml:space="preserve"> 根据 P1 中可信的缺失游程、来源及证券分层生成结构化掩码。</w:t>
      </w:r>
    </w:p>
    <w:p>
      <w:pPr>
        <w:pStyle w:val="ListText"/>
      </w:pPr>
      <w:r>
        <w:rPr/>
        <w:t xml:space="preserve">•  </w:t>
      </w:r>
      <w:r>
        <w:rPr>
          <w:b/>
        </w:rPr>
        <w:t xml:space="preserve">M3：</w:t>
      </w:r>
      <w:r>
        <w:rPr/>
        <w:t xml:space="preserve"> 在预定合法历史分层内尽量保持游程结构与证券分布，同时打乱缺失位置的对照。</w:t>
      </w:r>
    </w:p>
    <w:p>
      <w:pPr>
        <w:pStyle w:val="Normal"/>
      </w:pPr>
      <w:r>
        <w:rPr/>
        <w:t xml:space="preserve">所有掩码必须静态保存，绑定版本、随机种子和实际删除清单。不能把上市前、已经确认终止后或资格不明日期作为普通可删除行情。</w:t>
      </w:r>
    </w:p>
    <w:p>
      <w:pPr>
        <w:pStyle w:val="Heading2"/>
      </w:pPr>
      <w:r>
        <w:rPr/>
        <w:t xml:space="preserve">4.3 干预强度</w:t>
      </w:r>
    </w:p>
    <w:p>
      <w:pPr>
        <w:pStyle w:val="Normal"/>
      </w:pPr>
      <w:r>
        <w:rPr>
          <w:b/>
        </w:rPr>
        <w:t xml:space="preserve">协议A：</w:t>
      </w:r>
      <w:r>
        <w:rPr/>
        <w:t xml:space="preserve"> 匹配实际删除的有效行情行数，评价相同原始数据损坏预算下的总体影响。</w:t>
      </w:r>
    </w:p>
    <w:p>
      <w:pPr>
        <w:pStyle w:val="Normal"/>
      </w:pPr>
      <w:r>
        <w:rPr>
          <w:b/>
        </w:rPr>
        <w:t xml:space="preserve">协议B：</w:t>
      </w:r>
      <w:r>
        <w:rPr/>
        <w:t xml:space="preserve"> 匹配有效窗口的边际存活率，分析剔除单日窗口失效程度后的条件结构差异。由于存活率是干预之后的结果，协议B属于机制标准化比较，不是相同原始强度下的直接因果效应。</w:t>
      </w:r>
    </w:p>
    <w:p>
      <w:pPr>
        <w:pStyle w:val="Normal"/>
      </w:pPr>
      <w:r>
        <w:rPr/>
        <w:t xml:space="preserve">匹配方法、容差及失败处理需在正式结果揭示前固定，并分别报告两种协议。</w:t>
      </w:r>
    </w:p>
    <w:p>
      <w:pPr>
        <w:pStyle w:val="Heading2"/>
      </w:pPr>
      <w:r>
        <w:rPr/>
        <w:t xml:space="preserve">4.4 解析基准</w:t>
      </w:r>
    </w:p>
    <w:p>
      <w:pPr>
        <w:pStyle w:val="Normal"/>
      </w:pPr>
      <w:r>
        <w:rPr/>
        <w:t xml:space="preserve">如果证券需要 </w:t>
      </w:r>
      <m:oMath>
        <m:r>
          <m:rPr>
            <m:sty m:val="p"/>
          </m:rPr>
          <m:t xml:space="preserve">W</m:t>
        </m:r>
      </m:oMath>
      <w:r>
        <w:rPr/>
        <w:t xml:space="preserve"> 条必要历史日线，且每条独立地以概率 </w:t>
      </w:r>
      <m:oMath>
        <m:r>
          <m:rPr>
            <m:sty m:val="p"/>
          </m:rPr>
          <m:t xml:space="preserve">p</m:t>
        </m:r>
      </m:oMath>
      <w:r>
        <w:rPr/>
        <w:t xml:space="preserve"> 缺失，完整窗口存活概率为：</w:t>
      </w:r>
    </w:p>
    <w:p>
      <w:pPr>
        <w:pStyle w:val="Equation"/>
        <w:jc w:val="center"/>
      </w:pPr>
      <m:oMathPara>
        <m:oMathParaPr>
          <m:jc m:val="center"/>
        </m:oMathParaPr>
        <m:oMath>
          <m:r>
            <m:rPr>
              <m:sty m:val="p"/>
            </m:rPr>
            <m:t xml:space="preserve">c =</m:t>
          </m:r>
          <m:sSup>
            <m:e>
              <m:r>
                <m:rPr>
                  <m:sty m:val="p"/>
                </m:rPr>
                <m:t xml:space="preserve">(1 − p)</m:t>
              </m:r>
            </m:e>
            <m:sup>
              <m:r>
                <m:rPr>
                  <m:sty m:val="p"/>
                </m:rPr>
                <m:t xml:space="preserve">W</m:t>
              </m:r>
            </m:sup>
          </m:sSup>
        </m:oMath>
      </m:oMathPara>
    </w:p>
    <w:p>
      <w:pPr>
        <w:pStyle w:val="Normal"/>
      </w:pPr>
      <w:r>
        <w:rPr/>
        <w:t xml:space="preserve">在参考 Top-3 完整、只删除自身必要记录、不改变剩余候选评分、确定性排名递补的条件下，设 </w:t>
      </w:r>
      <m:oMath>
        <m:r>
          <m:rPr>
            <m:sty m:val="p"/>
          </m:rPr>
          <m:t xml:space="preserve">A_{i,t}=1</m:t>
        </m:r>
      </m:oMath>
      <w:r>
        <w:rPr/>
        <w:t xml:space="preserve"> 表示参考股票 </w:t>
      </w:r>
      <m:oMath>
        <m:r>
          <m:rPr>
            <m:sty m:val="p"/>
          </m:rPr>
          <m:t xml:space="preserve">i</m:t>
        </m:r>
      </m:oMath>
      <w:r>
        <w:rPr/>
        <w:t xml:space="preserve"> 的必要输入全部仍可用，则：</w:t>
      </w:r>
    </w:p>
    <w:p>
      <w:pPr>
        <w:pStyle w:val="Equation"/>
        <w:jc w:val="center"/>
      </w:pPr>
      <m:oMathPara>
        <m:oMathParaPr>
          <m:jc m:val="center"/>
        </m:oMathParaPr>
        <m:oMath>
          <m:sSub>
            <m:e>
              <m:r>
                <m:rPr>
                  <m:sty m:val="p"/>
                </m:rPr>
                <m:t xml:space="preserve">B</m:t>
              </m:r>
            </m:e>
            <m:sub>
              <m:r>
                <m:rPr>
                  <m:sty m:val="p"/>
                </m:rPr>
                <m:t xml:space="preserve">t</m:t>
              </m:r>
            </m:sub>
          </m:sSub>
          <m:r>
            <m:rPr>
              <m:sty m:val="p"/>
            </m:rPr>
            <m:t xml:space="preserve">= 𝟙{Sₜᵐ ≠ Sₜ⁰} = 1 − ∏ᵢ∈Sₜ⁰ Aᵢ,ₜ</m:t>
          </m:r>
        </m:oMath>
      </m:oMathPara>
    </w:p>
    <w:p>
      <w:pPr>
        <w:pStyle w:val="Normal"/>
      </w:pPr>
      <w:r>
        <w:rPr/>
        <w:t xml:space="preserve">注意扰动结果会补入其他候选股票，不是原 Top-3 的简单子集。</w:t>
      </w:r>
    </w:p>
    <w:p>
      <w:pPr>
        <w:pStyle w:val="Normal"/>
      </w:pPr>
      <w:r>
        <w:rPr/>
        <w:t xml:space="preserve">仅在三只参考股票各需要60条互不重复的必要记录、且独立同概率删除时：</w:t>
      </w:r>
    </w:p>
    <w:p>
      <w:pPr>
        <w:pStyle w:val="Equation"/>
        <w:jc w:val="center"/>
      </w:pPr>
      <m:oMathPara>
        <m:oMathParaPr>
          <m:jc m:val="center"/>
        </m:oMathParaPr>
        <m:oMath>
          <m:r>
            <m:rPr>
              <m:sty m:val="p"/>
            </m:rPr>
            <m:t xml:space="preserve">P(</m:t>
          </m:r>
          <m:sSub>
            <m:e>
              <m:r>
                <m:rPr>
                  <m:sty m:val="p"/>
                </m:rPr>
                <m:t xml:space="preserve">B</m:t>
              </m:r>
            </m:e>
            <m:sub>
              <m:r>
                <m:rPr>
                  <m:sty m:val="p"/>
                </m:rPr>
                <m:t xml:space="preserve">t</m:t>
              </m:r>
            </m:sub>
          </m:sSub>
          <m:r>
            <m:rPr>
              <m:sty m:val="p"/>
            </m:rPr>
            <m:t xml:space="preserve">= 1) = 1 −</m:t>
          </m:r>
          <m:sSup>
            <m:e>
              <m:r>
                <m:rPr>
                  <m:sty m:val="p"/>
                </m:rPr>
                <m:t xml:space="preserve">(1 − p)</m:t>
              </m:r>
            </m:e>
            <m:sup>
              <m:r>
                <m:rPr>
                  <m:sty m:val="p"/>
                </m:rPr>
                <m:t xml:space="preserve">180</m:t>
              </m:r>
            </m:sup>
          </m:sSup>
        </m:oMath>
      </m:oMathPara>
    </w:p>
    <w:p>
      <w:pPr>
        <w:pStyle w:val="Normal"/>
      </w:pPr>
      <w:r>
        <w:rPr/>
        <w:t xml:space="preserve">例如 </w:t>
      </w:r>
      <m:oMath>
        <m:r>
          <m:rPr>
            <m:sty m:val="p"/>
          </m:rPr>
          <m:t xml:space="preserve">p=0.005</m:t>
        </m:r>
      </m:oMath>
      <w:r>
        <w:rPr/>
        <w:t xml:space="preserve"> 时，上式为约59.43%的</w:t>
      </w:r>
      <w:r>
        <w:rPr>
          <w:b/>
        </w:rPr>
        <w:t xml:space="preserve">理论基准</w:t>
      </w:r>
      <w:r>
        <w:rPr/>
        <w:t xml:space="preserve">，不是本研究实测数据。真实策略若含再标准化、缺失后特征重估或共享输入，必须另外分解资格失效与评分变化。</w:t>
      </w:r>
    </w:p>
    <w:p>
      <w:pPr>
        <w:pStyle w:val="Heading1"/>
      </w:pPr>
      <w:r>
        <w:rPr/>
        <w:t xml:space="preserve">5. P3：连续股票选择偏移</w:t>
      </w:r>
    </w:p>
    <w:p>
      <w:pPr>
        <w:pStyle w:val="Heading2"/>
      </w:pPr>
      <w:r>
        <w:rPr/>
        <w:t xml:space="preserve">5.1 决策暴露</w:t>
      </w:r>
    </w:p>
    <w:p>
      <w:pPr>
        <w:pStyle w:val="Normal"/>
      </w:pPr>
      <w:r>
        <w:rPr/>
        <w:t xml:space="preserve">在冻结参考历史 </w:t>
      </w:r>
      <m:oMath>
        <m:r>
          <m:rPr>
            <m:sty m:val="p"/>
          </m:rPr>
          <m:t xml:space="preserve">\mathcal H</m:t>
        </m:r>
      </m:oMath>
      <w:r>
        <w:rPr/>
        <w:t xml:space="preserve"> 下，参考名单为 </w:t>
      </w:r>
      <m:oMath>
        <m:r>
          <m:rPr>
            <m:sty m:val="p"/>
          </m:rPr>
          <m:t xml:space="preserve">S_t^0</m:t>
        </m:r>
      </m:oMath>
      <w:r>
        <w:rPr/>
        <w:t xml:space="preserve">，机制 </w:t>
      </w:r>
      <m:oMath>
        <m:r>
          <m:rPr>
            <m:sty m:val="p"/>
          </m:rPr>
          <m:t xml:space="preserve">m</m:t>
        </m:r>
      </m:oMath>
      <w:r>
        <w:rPr/>
        <w:t xml:space="preserve"> 和模拟种子 </w:t>
      </w:r>
      <m:oMath>
        <m:r>
          <m:rPr>
            <m:sty m:val="p"/>
          </m:rPr>
          <m:t xml:space="preserve">s</m:t>
        </m:r>
      </m:oMath>
      <w:r>
        <w:rPr/>
        <w:t xml:space="preserve"> 下为 </w:t>
      </w:r>
      <m:oMath>
        <m:r>
          <m:rPr>
            <m:sty m:val="p"/>
          </m:rPr>
          <m:t xml:space="preserve">S_{t,m,s}</m:t>
        </m:r>
      </m:oMath>
      <w:r>
        <w:rPr/>
        <w:t xml:space="preserve">，定义：</w:t>
      </w:r>
    </w:p>
    <w:p>
      <w:pPr>
        <w:pStyle w:val="Equation"/>
        <w:jc w:val="center"/>
      </w:pPr>
      <m:oMathPara>
        <m:oMathParaPr>
          <m:jc m:val="center"/>
        </m:oMathParaPr>
        <m:oMath>
          <m:sSub>
            <m:e>
              <m:r>
                <m:rPr>
                  <m:sty m:val="p"/>
                </m:rPr>
                <m:t xml:space="preserve">B</m:t>
              </m:r>
            </m:e>
            <m:sub>
              <m:r>
                <m:rPr>
                  <m:sty m:val="p"/>
                </m:rPr>
                <m:t xml:space="preserve">t,m,s</m:t>
              </m:r>
            </m:sub>
          </m:sSub>
          <m:r>
            <m:rPr>
              <m:sty m:val="p"/>
            </m:rPr>
            <m:t xml:space="preserve">= 𝟙{Sₜ,ₘ,ₛ ≠ Sₜ⁰}</m:t>
          </m:r>
        </m:oMath>
      </m:oMathPara>
    </w:p>
    <w:p>
      <w:pPr>
        <w:pStyle w:val="Normal"/>
      </w:pPr>
      <w:r>
        <w:rPr/>
        <w:t xml:space="preserve">该指标只记录是否发生选择差异，属于需要与解析基准对照的暴露统计。同步报告被替换的参考证券数量、对称差、目标持仓缺额及未能形成三只合格证券的情况。</w:t>
      </w:r>
    </w:p>
    <w:p>
      <w:pPr>
        <w:pStyle w:val="Heading2"/>
      </w:pPr>
      <w:r>
        <w:rPr/>
        <w:t xml:space="preserve">5.2 连续偏移主指标</w:t>
      </w:r>
    </w:p>
    <w:p>
      <w:pPr>
        <w:pStyle w:val="Normal"/>
      </w:pPr>
      <w:r>
        <w:rPr/>
        <w:t xml:space="preserve">有效参考决策日期定义为交易日历、参考证券资格及完整 Top-3 输入均可核实的日期。遇到不可核实日期或非连续评价区间，偏移游程在该边界结束。</w:t>
      </w:r>
    </w:p>
    <w:p>
      <w:pPr>
        <w:pStyle w:val="Normal"/>
      </w:pPr>
      <w:r>
        <w:rPr/>
        <w:t xml:space="preserve">连续的 </w:t>
      </w:r>
      <m:oMath>
        <m:r>
          <m:rPr>
            <m:sty m:val="p"/>
          </m:rPr>
          <m:t xml:space="preserve">B=1</m:t>
        </m:r>
      </m:oMath>
      <w:r>
        <w:rPr/>
        <w:t xml:space="preserve"> 极大区间定义为一个偏移游程。连续8日的异常只计一个长度至少5日的游程，不计成四个重叠五日片段。</w:t>
      </w:r>
    </w:p>
    <w:p>
      <w:pPr>
        <w:pStyle w:val="Normal"/>
      </w:pPr>
      <w:r>
        <w:rPr/>
        <w:t xml:space="preserve">若 </w:t>
      </w:r>
      <m:oMath>
        <m:r>
          <m:rPr>
            <m:sty m:val="p"/>
          </m:rPr>
          <m:t xml:space="preserve">T</m:t>
        </m:r>
      </m:oMath>
      <w:r>
        <w:rPr/>
        <w:t xml:space="preserve"> 为有效参考日期数、</w:t>
      </w:r>
      <m:oMath>
        <m:r>
          <m:rPr>
            <m:sty m:val="p"/>
          </m:rPr>
          <m:t xml:space="preserve">\mathcal R_{m,s}</m:t>
        </m:r>
      </m:oMath>
      <w:r>
        <w:rPr/>
        <w:t xml:space="preserve"> 为模拟中的极大游程集合，定义：</w:t>
      </w:r>
    </w:p>
    <w:p>
      <w:pPr>
        <w:pStyle w:val="Equation"/>
        <w:jc w:val="center"/>
      </w:pPr>
      <m:oMathPara>
        <m:oMathParaPr>
          <m:jc m:val="center"/>
        </m:oMathParaPr>
        <m:oMath>
          <m:sSub>
            <m:e>
              <m:r>
                <m:rPr>
                  <m:sty m:val="p"/>
                </m:rPr>
                <m:t xml:space="preserve">T</m:t>
              </m:r>
            </m:e>
            <m:sub>
              <m:r>
                <m:rPr>
                  <m:sty m:val="p"/>
                </m:rPr>
                <m:t xml:space="preserve">m</m:t>
              </m:r>
            </m:sub>
          </m:sSub>
          <m:r>
            <m:rPr>
              <m:sty m:val="p"/>
            </m:rPr>
            <m:t xml:space="preserve">(5) =</m:t>
          </m:r>
          <m:f>
            <m:num>
              <m:r>
                <m:rPr>
                  <m:sty m:val="p"/>
                </m:rPr>
                <m:t xml:space="preserve">100</m:t>
              </m:r>
            </m:num>
            <m:den>
              <m:r>
                <m:rPr>
                  <m:sty m:val="p"/>
                </m:rPr>
                <m:t xml:space="preserve">T</m:t>
              </m:r>
            </m:den>
          </m:f>
          <m:r>
            <m:rPr>
              <m:sty m:val="p"/>
            </m:rPr>
            <m:t xml:space="preserve">Eₘ[ ∑ᵣ∈ℛₘ,ₛ 𝟙{|r| ≥ 5} | ℋ ]</m:t>
          </m:r>
        </m:oMath>
      </m:oMathPara>
    </w:p>
    <w:p>
      <w:pPr>
        <w:pStyle w:val="Normal"/>
      </w:pPr>
      <w:r>
        <w:rPr/>
        <w:t xml:space="preserve">其单位为每100个有效参考决策日期发生的至少5日偏移游程起点数。同时报告日偏移率、游程长度和掩码预算—事件率曲线，检查指标是否饱和。</w:t>
      </w:r>
    </w:p>
    <w:p>
      <w:pPr>
        <w:pStyle w:val="Heading2"/>
      </w:pPr>
      <w:r>
        <w:rPr/>
        <w:t xml:space="preserve">5.3 机制解释</w:t>
      </w:r>
    </w:p>
    <w:p>
      <w:pPr>
        <w:pStyle w:val="Normal"/>
      </w:pPr>
      <w:r>
        <w:rPr/>
        <w:t xml:space="preserve">固定完整缺失掩码、历史排名与确定性规则后，最终股票名单通常已经确定。因此 M2–M3 的差异并不自动代表新的金融规律。是否存在新增知识，还需结合真实缺失证据、分层解释以及下一阶段的实际数据核验价值判断。</w:t>
      </w:r>
    </w:p>
    <w:p>
      <w:pPr>
        <w:pStyle w:val="Heading1"/>
      </w:pPr>
      <w:r>
        <w:rPr/>
        <w:t xml:space="preserve">6. P4：有限预算下的数据核验价值</w:t>
      </w:r>
    </w:p>
    <w:p>
      <w:pPr>
        <w:pStyle w:val="Heading2"/>
      </w:pPr>
      <w:r>
        <w:rPr/>
        <w:t xml:space="preserve">6.1 核验任务和信息边界</w:t>
      </w:r>
    </w:p>
    <w:p>
      <w:pPr>
        <w:pStyle w:val="Normal"/>
      </w:pPr>
      <w:r>
        <w:rPr/>
        <w:t xml:space="preserve">考虑研究者只能核验有限条历史行情的情况。原子单位为一条已确认适用的（历史证券ID、交易日期、数据来源/口径）OHLCV 记录。基础模拟设每次核验成本为1单位、核验成功后返回可信参考行；真实成本、查询失败和批量查询另作敏感性分析。</w:t>
      </w:r>
    </w:p>
    <w:p>
      <w:pPr>
        <w:pStyle w:val="Normal"/>
      </w:pPr>
      <w:r>
        <w:rPr/>
        <w:t xml:space="preserve">每轮核验排序只能使用当时损坏数据中可见的信息、历史决策时点允许获得的资格与历史候选暴露、已知数据依赖以及已经完成核验的记录。完整参考行情、被隐藏评分、真实 Top-3 和未来收益只用于事后评价。使用完整真值的 Oracle 只能充当理论上界。</w:t>
      </w:r>
    </w:p>
    <w:p>
      <w:pPr>
        <w:pStyle w:val="Heading2"/>
      </w:pPr>
      <w:r>
        <w:rPr/>
        <w:t xml:space="preserve">6.2 强基准对照</w:t>
      </w:r>
    </w:p>
    <w:p>
      <w:pPr>
        <w:pStyle w:val="Normal"/>
      </w:pPr>
      <w:r>
        <w:rPr/>
        <w:t xml:space="preserve">同一数据、掩码、预算及信息集下比较：</w:t>
      </w:r>
    </w:p>
    <w:p>
      <w:pPr>
        <w:pStyle w:val="ListText"/>
      </w:pPr>
      <w:r>
        <w:rPr/>
        <w:t xml:space="preserve">1. 随机核验；</w:t>
      </w:r>
    </w:p>
    <w:p>
      <w:pPr>
        <w:pStyle w:val="ListText"/>
      </w:pPr>
      <w:r>
        <w:rPr/>
        <w:t xml:space="preserve">2. 按缺失数量或缺失率排序；</w:t>
      </w:r>
    </w:p>
    <w:p>
      <w:pPr>
        <w:pStyle w:val="ListText"/>
      </w:pPr>
      <w:r>
        <w:rPr/>
        <w:t xml:space="preserve">3. 按可见记录影响的滚动窗口数量排序；</w:t>
      </w:r>
    </w:p>
    <w:p>
      <w:pPr>
        <w:pStyle w:val="ListText"/>
      </w:pPr>
      <w:r>
        <w:rPr/>
        <w:t xml:space="preserve">4. 预先固定、可实现的任务驱动清理强基准；</w:t>
      </w:r>
    </w:p>
    <w:p>
      <w:pPr>
        <w:pStyle w:val="ListText"/>
      </w:pPr>
      <w:r>
        <w:rPr/>
        <w:t xml:space="preserve">5. 加入游程、证券历史分层及合法候选暴露的结构增强规则；</w:t>
      </w:r>
    </w:p>
    <w:p>
      <w:pPr>
        <w:pStyle w:val="ListText"/>
      </w:pPr>
      <w:r>
        <w:rPr/>
        <w:t xml:space="preserve">6. 不参加现实公平比较的 Oracle 上界。</w:t>
      </w:r>
    </w:p>
    <w:p>
      <w:pPr>
        <w:pStyle w:val="Normal"/>
      </w:pPr>
      <w:r>
        <w:rPr/>
        <w:t xml:space="preserve">核心比较是结构增强方法相对强窗口依赖和任务驱动基准的增量，而非仅相对随机方法的差异。</w:t>
      </w:r>
    </w:p>
    <w:p>
      <w:pPr>
        <w:pStyle w:val="Heading2"/>
      </w:pPr>
      <w:r>
        <w:rPr/>
        <w:t xml:space="preserve">6.3 集合修复与评价量</w:t>
      </w:r>
    </w:p>
    <w:p>
      <w:pPr>
        <w:pStyle w:val="Normal"/>
      </w:pPr>
      <w:r>
        <w:rPr/>
        <w:t xml:space="preserve">同一输入窗口可能有多条缺口。恢复其中一条记录未必能恢复窗口与选股，因此核验应按序真实更新受损数据，并在给定预算结束时重新计算完整窗口和目标选股；不能把单条记录的潜在价值简单相加。</w:t>
      </w:r>
    </w:p>
    <w:p>
      <w:pPr>
        <w:pStyle w:val="Normal"/>
      </w:pPr>
      <w:r>
        <w:rPr/>
        <w:t xml:space="preserve">令 \(U_\pi(b)\) 表示规则 </w:t>
      </w:r>
      <m:oMath>
        <m:r>
          <m:rPr>
            <m:sty m:val="p"/>
          </m:rPr>
          <m:t xml:space="preserve">π</m:t>
        </m:r>
      </m:oMath>
      <w:r>
        <w:rPr/>
        <w:t xml:space="preserve"> 在预算 </w:t>
      </w:r>
      <m:oMath>
        <m:r>
          <m:rPr>
            <m:sty m:val="p"/>
          </m:rPr>
          <m:t xml:space="preserve">b</m:t>
        </m:r>
      </m:oMath>
      <w:r>
        <w:rPr/>
        <w:t xml:space="preserve"> 下成功恢复、并与完整参考 Top-3 一致的有效参考决策日期数。主要应用比较量：</w:t>
      </w:r>
    </w:p>
    <w:p>
      <w:pPr>
        <w:pStyle w:val="Equation"/>
        <w:jc w:val="center"/>
      </w:pPr>
      <m:oMathPara>
        <m:oMathParaPr>
          <m:jc m:val="center"/>
        </m:oMathParaPr>
        <m:oMath>
          <m:sSub>
            <m:e>
              <m:r>
                <m:rPr>
                  <m:sty m:val="p"/>
                </m:rPr>
                <m:t xml:space="preserve">Δ</m:t>
              </m:r>
            </m:e>
            <m:sub>
              <m:r>
                <m:rPr>
                  <m:sty m:val="p"/>
                </m:rPr>
                <m:t xml:space="preserve">U</m:t>
              </m:r>
            </m:sub>
          </m:sSub>
          <m:r>
            <m:rPr>
              <m:sty m:val="p"/>
            </m:rPr>
            <m:t xml:space="preserve">(b) =</m:t>
          </m:r>
          <m:sSub>
            <m:e>
              <m:r>
                <m:rPr>
                  <m:sty m:val="p"/>
                </m:rPr>
                <m:t xml:space="preserve">U</m:t>
              </m:r>
            </m:e>
            <m:sub>
              <m:r>
                <m:rPr>
                  <m:sty m:val="p"/>
                </m:rPr>
                <m:t xml:space="preserve">structure</m:t>
              </m:r>
            </m:sub>
          </m:sSub>
          <m:r>
            <m:rPr>
              <m:sty m:val="p"/>
            </m:rPr>
            <m:t xml:space="preserve">(b) −</m:t>
          </m:r>
          <m:sSub>
            <m:e>
              <m:r>
                <m:rPr>
                  <m:sty m:val="p"/>
                </m:rPr>
                <m:t xml:space="preserve">U</m:t>
              </m:r>
            </m:e>
            <m:sub>
              <m:r>
                <m:rPr>
                  <m:sty m:val="p"/>
                </m:rPr>
                <m:t xml:space="preserve">strong baseline</m:t>
              </m:r>
            </m:sub>
          </m:sSub>
          <m:r>
            <m:rPr>
              <m:sty m:val="p"/>
            </m:rPr>
            <m:t xml:space="preserve">(b)</m:t>
          </m:r>
        </m:oMath>
      </m:oMathPara>
    </w:p>
    <w:p>
      <w:pPr>
        <w:pStyle w:val="Normal"/>
      </w:pPr>
      <w:r>
        <w:rPr/>
        <w:t xml:space="preserve">报告预算—恢复曲线、共同支持范围、单位成本改善和不确定性。规则设计与最终评价须使用不同的历史时期；已被研究者查看或用于设定规则的既有历史测试数据不能重新称作未经触碰的 OOS。</w:t>
      </w:r>
    </w:p>
    <w:p>
      <w:pPr>
        <w:pStyle w:val="Heading1"/>
      </w:pPr>
      <w:r>
        <w:rPr/>
        <w:t xml:space="preserve">7. 统计推断与实施门禁</w:t>
      </w:r>
    </w:p>
    <w:p>
      <w:pPr>
        <w:pStyle w:val="Heading2"/>
      </w:pPr>
      <w:r>
        <w:rPr/>
        <w:t xml:space="preserve">7.1 推断总体</w:t>
      </w:r>
    </w:p>
    <w:p>
      <w:pPr>
        <w:pStyle w:val="Normal"/>
      </w:pPr>
      <w:r>
        <w:rPr/>
        <w:t xml:space="preserve">主要估计对象首先是条件于指定历史样本、冻结策略和人工扰动机制的结果。模拟种子只增加对该条件期望的估计精度，不能制造独立市场时期。相邻60日窗口、同一股票的连续信号和共同市场状态会造成统计依赖。</w:t>
      </w:r>
    </w:p>
    <w:p>
      <w:pPr>
        <w:pStyle w:val="Normal"/>
      </w:pPr>
      <w:r>
        <w:rPr/>
        <w:t xml:space="preserve">跨历史时期推断必须采用适当日期区块或其他依赖稳健方法，报告实际有效日期、事件数量、证券集中度、估计区间和共同支持。经济结果不可观察时，识别界限与抽样不确定性分开表示。</w:t>
      </w:r>
    </w:p>
    <w:p>
      <w:pPr>
        <w:pStyle w:val="Heading2"/>
      </w:pPr>
      <w:r>
        <w:rPr/>
        <w:t xml:space="preserve">7.2 预先确定的判定</w:t>
      </w:r>
    </w:p>
    <w:p>
      <w:pPr>
        <w:pStyle w:val="Normal"/>
      </w:pPr>
      <w:r>
        <w:rPr/>
        <w:t xml:space="preserve">正式确认性实验前冻结：历史评价时期、缺失预算、种子方案、主要预算点、匹配容差、最小具有实践价值的改善幅度及统计区间规则。</w:t>
      </w:r>
    </w:p>
    <w:p>
      <w:pPr>
        <w:pStyle w:val="Normal"/>
      </w:pPr>
      <w:r>
        <w:rPr/>
        <w:t xml:space="preserve">如果可核验缺失原因、参考总体或共同支持不足，结果停留在数据审计与条件压力测试；如果核心差异完全由数学覆盖关系和强核验基准解释，则不能将其包装为新金融机制。正向、零和否定性结果都完整报告。</w:t>
      </w:r>
    </w:p>
    <w:p>
      <w:pPr>
        <w:pStyle w:val="Heading1"/>
      </w:pPr>
      <w:r>
        <w:rPr/>
        <w:t xml:space="preserve">8. P5：经济结果的可选验证</w:t>
      </w:r>
    </w:p>
    <w:p>
      <w:pPr>
        <w:pStyle w:val="Normal"/>
      </w:pPr>
      <w:r>
        <w:rPr/>
        <w:t xml:space="preserve">只有在历史证券资格、成交参考价、公司行动、停牌和退出结果满足独立执行门禁后，才开展五日经济结果比较。</w:t>
      </w:r>
    </w:p>
    <w:p>
      <w:pPr>
        <w:pStyle w:val="Normal"/>
      </w:pPr>
      <w:r>
        <w:rPr/>
        <w:t xml:space="preserve">在 </w:t>
      </w:r>
      <m:oMath>
        <m:r>
          <m:rPr>
            <m:sty m:val="p"/>
          </m:rPr>
          <m:t xml:space="preserve">t</m:t>
        </m:r>
      </m:oMath>
      <w:r>
        <w:rPr/>
        <w:t xml:space="preserve"> 日收盘后形成信号，最早于 </w:t>
      </w:r>
      <m:oMath>
        <m:r>
          <m:rPr>
            <m:sty m:val="p"/>
          </m:rPr>
          <m:t xml:space="preserve">t+1</m:t>
        </m:r>
      </m:oMath>
      <w:r>
        <w:rPr/>
        <w:t xml:space="preserve"> 日按统一开盘参考模拟建仓；各日期从共同资金状态独立开始，按预设五交易日持有及费用合同退出。比较有符号收益差 </w:t>
      </w:r>
      <m:oMath>
        <m:r>
          <m:rPr>
            <m:sty m:val="p"/>
          </m:rPr>
          <m:t xml:space="preserve">Δ R=R_m-R_0</m:t>
        </m:r>
      </m:oMath>
      <w:r>
        <w:rPr/>
        <w:t xml:space="preserve"> 及绝对差 </w:t>
      </w:r>
      <m:oMath>
        <m:r>
          <m:rPr>
            <m:sty m:val="p"/>
          </m:rPr>
          <m:t xml:space="preserve">|Δ R|</m:t>
        </m:r>
      </m:oMath>
      <w:r>
        <w:rPr/>
        <w:t xml:space="preserve">。不得由日频行情虚构盘中止盈止损路径，也不得将多个日期重叠五日事件拼接为真实连续组合净值。未来执行或终止收益不可核实时保留不可评价状态。</w:t>
      </w:r>
    </w:p>
    <w:p>
      <w:pPr>
        <w:pStyle w:val="Normal"/>
      </w:pPr>
      <w:r>
        <w:rPr/>
        <w:t xml:space="preserve">没有可信经济执行结果，不影响已经通过各自门禁的缺失结构与决策暴露研究。</w:t>
      </w:r>
    </w:p>
    <w:p>
      <w:pPr>
        <w:pStyle w:val="Heading1"/>
      </w:pPr>
      <w:r>
        <w:rPr/>
        <w:t xml:space="preserve">9. 研究阶段与交付标准</w:t>
      </w:r>
    </w:p>
    <w:tbl>
      <w:tblPr>
        <w:tblW w:w="0" w:type="auto"/>
        <w:tblBorders>
          <w:top w:val="single" w:color="C0CBD6" w:sz="5"/>
          <w:bottom w:val="single" w:color="C0CBD6" w:sz="5"/>
          <w:insideH w:val="single" w:color="DEE4EA" w:sz="4"/>
        </w:tblBorders>
      </w:tblPr>
      <w:tr>
        <w:tc>
          <w:tcPr>
            <w:tcW w:type="auto" w:w="0"/>
            <w:tcMar>
              <w:top w:w="70" w:type="dxa"/>
              <w:bottom w:w="70" w:type="dxa"/>
              <w:start w:w="90" w:type="dxa"/>
              <w:end w:w="90" w:type="dxa"/>
            </w:tcMar>
            <w:shd w:fill="EAF0F5"/>
          </w:tcPr>
          <w:p>
            <w:pPr>
              <w:pStyle w:val="TableHead"/>
            </w:pPr>
            <w:r>
              <w:rPr/>
              <w:t xml:space="preserve">阶段</w:t>
            </w:r>
          </w:p>
        </w:tc>
        <w:tc>
          <w:tcPr>
            <w:tcW w:type="auto" w:w="0"/>
            <w:tcMar>
              <w:top w:w="70" w:type="dxa"/>
              <w:bottom w:w="70" w:type="dxa"/>
              <w:start w:w="90" w:type="dxa"/>
              <w:end w:w="90" w:type="dxa"/>
            </w:tcMar>
            <w:shd w:fill="EAF0F5"/>
          </w:tcPr>
          <w:p>
            <w:pPr>
              <w:pStyle w:val="TableHead"/>
            </w:pPr>
            <w:r>
              <w:rPr/>
              <w:t xml:space="preserve">内容</w:t>
            </w:r>
          </w:p>
        </w:tc>
        <w:tc>
          <w:tcPr>
            <w:tcW w:type="auto" w:w="0"/>
            <w:tcMar>
              <w:top w:w="70" w:type="dxa"/>
              <w:bottom w:w="70" w:type="dxa"/>
              <w:start w:w="90" w:type="dxa"/>
              <w:end w:w="90" w:type="dxa"/>
            </w:tcMar>
            <w:shd w:fill="EAF0F5"/>
          </w:tcPr>
          <w:p>
            <w:pPr>
              <w:pStyle w:val="TableHead"/>
            </w:pPr>
            <w:r>
              <w:rPr/>
              <w:t xml:space="preserve">研究交付物</w:t>
            </w:r>
          </w:p>
        </w:tc>
      </w:tr>
      <w:tr>
        <w:tc>
          <w:tcPr>
            <w:tcW w:type="auto" w:w="0"/>
            <w:tcMar>
              <w:top w:w="70" w:type="dxa"/>
              <w:bottom w:w="70" w:type="dxa"/>
              <w:start w:w="90" w:type="dxa"/>
              <w:end w:w="90" w:type="dxa"/>
            </w:tcMar>
          </w:tcPr>
          <w:p>
            <w:pPr>
              <w:pStyle w:val="TableText"/>
            </w:pPr>
            <w:r>
              <w:rPr/>
              <w:t xml:space="preserve">P0</w:t>
            </w:r>
          </w:p>
        </w:tc>
        <w:tc>
          <w:tcPr>
            <w:tcW w:type="auto" w:w="0"/>
            <w:tcMar>
              <w:top w:w="70" w:type="dxa"/>
              <w:bottom w:w="70" w:type="dxa"/>
              <w:start w:w="90" w:type="dxa"/>
              <w:end w:w="90" w:type="dxa"/>
            </w:tcMar>
          </w:tcPr>
          <w:p>
            <w:pPr>
              <w:pStyle w:val="TableText"/>
            </w:pPr>
            <w:r>
              <w:rPr/>
              <w:t xml:space="preserve">历史总体、数据来源、状态字典与信息时点冻结</w:t>
            </w:r>
          </w:p>
        </w:tc>
        <w:tc>
          <w:tcPr>
            <w:tcW w:type="auto" w:w="0"/>
            <w:tcMar>
              <w:top w:w="70" w:type="dxa"/>
              <w:bottom w:w="70" w:type="dxa"/>
              <w:start w:w="90" w:type="dxa"/>
              <w:end w:w="90" w:type="dxa"/>
            </w:tcMar>
          </w:tcPr>
          <w:p>
            <w:pPr>
              <w:pStyle w:val="TableText"/>
            </w:pPr>
            <w:r>
              <w:rPr/>
              <w:t xml:space="preserve">Data Contract</w:t>
            </w:r>
          </w:p>
        </w:tc>
      </w:tr>
      <w:tr>
        <w:tc>
          <w:tcPr>
            <w:tcW w:type="auto" w:w="0"/>
            <w:tcMar>
              <w:top w:w="70" w:type="dxa"/>
              <w:bottom w:w="70" w:type="dxa"/>
              <w:start w:w="90" w:type="dxa"/>
              <w:end w:w="90" w:type="dxa"/>
            </w:tcMar>
          </w:tcPr>
          <w:p>
            <w:pPr>
              <w:pStyle w:val="TableText"/>
            </w:pPr>
            <w:r>
              <w:rPr/>
              <w:t xml:space="preserve">P1</w:t>
            </w:r>
          </w:p>
        </w:tc>
        <w:tc>
          <w:tcPr>
            <w:tcW w:type="auto" w:w="0"/>
            <w:tcMar>
              <w:top w:w="70" w:type="dxa"/>
              <w:bottom w:w="70" w:type="dxa"/>
              <w:start w:w="90" w:type="dxa"/>
              <w:end w:w="90" w:type="dxa"/>
            </w:tcMar>
          </w:tcPr>
          <w:p>
            <w:pPr>
              <w:pStyle w:val="TableText"/>
            </w:pPr>
            <w:r>
              <w:rPr/>
              <w:t xml:space="preserve">缺失来源、游程、证券生命周期和共同支持核验</w:t>
            </w:r>
          </w:p>
        </w:tc>
        <w:tc>
          <w:tcPr>
            <w:tcW w:type="auto" w:w="0"/>
            <w:tcMar>
              <w:top w:w="70" w:type="dxa"/>
              <w:bottom w:w="70" w:type="dxa"/>
              <w:start w:w="90" w:type="dxa"/>
              <w:end w:w="90" w:type="dxa"/>
            </w:tcMar>
          </w:tcPr>
          <w:p>
            <w:pPr>
              <w:pStyle w:val="TableText"/>
            </w:pPr>
            <w:r>
              <w:rPr/>
              <w:t xml:space="preserve">Missingness Audit</w:t>
            </w:r>
          </w:p>
        </w:tc>
      </w:tr>
      <w:tr>
        <w:tc>
          <w:tcPr>
            <w:tcW w:type="auto" w:w="0"/>
            <w:tcMar>
              <w:top w:w="70" w:type="dxa"/>
              <w:bottom w:w="70" w:type="dxa"/>
              <w:start w:w="90" w:type="dxa"/>
              <w:end w:w="90" w:type="dxa"/>
            </w:tcMar>
          </w:tcPr>
          <w:p>
            <w:pPr>
              <w:pStyle w:val="TableText"/>
            </w:pPr>
            <w:r>
              <w:rPr/>
              <w:t xml:space="preserve">P2</w:t>
            </w:r>
          </w:p>
        </w:tc>
        <w:tc>
          <w:tcPr>
            <w:tcW w:type="auto" w:w="0"/>
            <w:tcMar>
              <w:top w:w="70" w:type="dxa"/>
              <w:bottom w:w="70" w:type="dxa"/>
              <w:start w:w="90" w:type="dxa"/>
              <w:end w:w="90" w:type="dxa"/>
            </w:tcMar>
          </w:tcPr>
          <w:p>
            <w:pPr>
              <w:pStyle w:val="TableText"/>
            </w:pPr>
            <w:r>
              <w:rPr/>
              <w:t xml:space="preserve">数学基准与 M0–M3 静态掩码</w:t>
            </w:r>
          </w:p>
        </w:tc>
        <w:tc>
          <w:tcPr>
            <w:tcW w:type="auto" w:w="0"/>
            <w:tcMar>
              <w:top w:w="70" w:type="dxa"/>
              <w:bottom w:w="70" w:type="dxa"/>
              <w:start w:w="90" w:type="dxa"/>
              <w:end w:w="90" w:type="dxa"/>
            </w:tcMar>
          </w:tcPr>
          <w:p>
            <w:pPr>
              <w:pStyle w:val="TableText"/>
            </w:pPr>
            <w:r>
              <w:rPr/>
              <w:t xml:space="preserve">Perturbation Validation</w:t>
            </w:r>
          </w:p>
        </w:tc>
      </w:tr>
      <w:tr>
        <w:tc>
          <w:tcPr>
            <w:tcW w:type="auto" w:w="0"/>
            <w:tcMar>
              <w:top w:w="70" w:type="dxa"/>
              <w:bottom w:w="70" w:type="dxa"/>
              <w:start w:w="90" w:type="dxa"/>
              <w:end w:w="90" w:type="dxa"/>
            </w:tcMar>
          </w:tcPr>
          <w:p>
            <w:pPr>
              <w:pStyle w:val="TableText"/>
            </w:pPr>
            <w:r>
              <w:rPr/>
              <w:t xml:space="preserve">P3</w:t>
            </w:r>
          </w:p>
        </w:tc>
        <w:tc>
          <w:tcPr>
            <w:tcW w:type="auto" w:w="0"/>
            <w:tcMar>
              <w:top w:w="70" w:type="dxa"/>
              <w:bottom w:w="70" w:type="dxa"/>
              <w:start w:w="90" w:type="dxa"/>
              <w:end w:w="90" w:type="dxa"/>
            </w:tcMar>
          </w:tcPr>
          <w:p>
            <w:pPr>
              <w:pStyle w:val="TableText"/>
            </w:pPr>
            <w:r>
              <w:rPr/>
              <w:t xml:space="preserve">候选资格及连续决策暴露</w:t>
            </w:r>
          </w:p>
        </w:tc>
        <w:tc>
          <w:tcPr>
            <w:tcW w:type="auto" w:w="0"/>
            <w:tcMar>
              <w:top w:w="70" w:type="dxa"/>
              <w:bottom w:w="70" w:type="dxa"/>
              <w:start w:w="90" w:type="dxa"/>
              <w:end w:w="90" w:type="dxa"/>
            </w:tcMar>
          </w:tcPr>
          <w:p>
            <w:pPr>
              <w:pStyle w:val="TableText"/>
            </w:pPr>
            <w:r>
              <w:rPr/>
              <w:t xml:space="preserve">Decision Exposure</w:t>
            </w:r>
          </w:p>
        </w:tc>
      </w:tr>
      <w:tr>
        <w:tc>
          <w:tcPr>
            <w:tcW w:type="auto" w:w="0"/>
            <w:tcMar>
              <w:top w:w="70" w:type="dxa"/>
              <w:bottom w:w="70" w:type="dxa"/>
              <w:start w:w="90" w:type="dxa"/>
              <w:end w:w="90" w:type="dxa"/>
            </w:tcMar>
          </w:tcPr>
          <w:p>
            <w:pPr>
              <w:pStyle w:val="TableText"/>
            </w:pPr>
            <w:r>
              <w:rPr/>
              <w:t xml:space="preserve">P4</w:t>
            </w:r>
          </w:p>
        </w:tc>
        <w:tc>
          <w:tcPr>
            <w:tcW w:type="auto" w:w="0"/>
            <w:tcMar>
              <w:top w:w="70" w:type="dxa"/>
              <w:bottom w:w="70" w:type="dxa"/>
              <w:start w:w="90" w:type="dxa"/>
              <w:end w:w="90" w:type="dxa"/>
            </w:tcMar>
          </w:tcPr>
          <w:p>
            <w:pPr>
              <w:pStyle w:val="TableText"/>
            </w:pPr>
            <w:r>
              <w:rPr/>
              <w:t xml:space="preserve">同预算下的核验效益及强基准评价</w:t>
            </w:r>
          </w:p>
        </w:tc>
        <w:tc>
          <w:tcPr>
            <w:tcW w:type="auto" w:w="0"/>
            <w:tcMar>
              <w:top w:w="70" w:type="dxa"/>
              <w:bottom w:w="70" w:type="dxa"/>
              <w:start w:w="90" w:type="dxa"/>
              <w:end w:w="90" w:type="dxa"/>
            </w:tcMar>
          </w:tcPr>
          <w:p>
            <w:pPr>
              <w:pStyle w:val="TableText"/>
            </w:pPr>
            <w:r>
              <w:rPr/>
              <w:t xml:space="preserve">Audit Utility Evaluation</w:t>
            </w:r>
          </w:p>
        </w:tc>
      </w:tr>
      <w:tr>
        <w:tc>
          <w:tcPr>
            <w:tcW w:type="auto" w:w="0"/>
            <w:tcMar>
              <w:top w:w="70" w:type="dxa"/>
              <w:bottom w:w="70" w:type="dxa"/>
              <w:start w:w="90" w:type="dxa"/>
              <w:end w:w="90" w:type="dxa"/>
            </w:tcMar>
          </w:tcPr>
          <w:p>
            <w:pPr>
              <w:pStyle w:val="TableText"/>
            </w:pPr>
            <w:r>
              <w:rPr/>
              <w:t xml:space="preserve">P5</w:t>
            </w:r>
          </w:p>
        </w:tc>
        <w:tc>
          <w:tcPr>
            <w:tcW w:type="auto" w:w="0"/>
            <w:tcMar>
              <w:top w:w="70" w:type="dxa"/>
              <w:bottom w:w="70" w:type="dxa"/>
              <w:start w:w="90" w:type="dxa"/>
              <w:end w:w="90" w:type="dxa"/>
            </w:tcMar>
          </w:tcPr>
          <w:p>
            <w:pPr>
              <w:pStyle w:val="TableText"/>
            </w:pPr>
            <w:r>
              <w:rPr/>
              <w:t xml:space="preserve">执行数据可靠后的五日经济结果</w:t>
            </w:r>
          </w:p>
        </w:tc>
        <w:tc>
          <w:tcPr>
            <w:tcW w:type="auto" w:w="0"/>
            <w:tcMar>
              <w:top w:w="70" w:type="dxa"/>
              <w:bottom w:w="70" w:type="dxa"/>
              <w:start w:w="90" w:type="dxa"/>
              <w:end w:w="90" w:type="dxa"/>
            </w:tcMar>
          </w:tcPr>
          <w:p>
            <w:pPr>
              <w:pStyle w:val="TableText"/>
            </w:pPr>
            <w:r>
              <w:rPr/>
              <w:t xml:space="preserve">Economic Validation</w:t>
            </w:r>
          </w:p>
        </w:tc>
      </w:tr>
    </w:tbl>
    <w:p>
      <w:pPr>
        <w:pStyle w:val="Normal"/>
      </w:pPr>
      <w:r>
        <w:rPr/>
        <w:t xml:space="preserve">当前实施范围为 P0–P1。研究产物须保存代码与输入快照散列、历史ID与日历合同、缺失原因、静态掩码、完整候选排序、核验每轮信息集、未通过的校验及统计输出。</w:t>
      </w:r>
    </w:p>
    <w:p>
      <w:pPr>
        <w:pStyle w:val="Normal"/>
      </w:pPr>
      <w:r>
        <w:rPr/>
        <w:t xml:space="preserve">进入确认性研究的条件是数据分母与分类可信、受控参考总体具有明确共同支持、解析基准验证通过，并且存在强基准以外可可靠估计的审计决策增量。若这些条件不成立，则保留为有限的探索性数据质量研究或终止高原创性定位。</w:t>
      </w:r>
    </w:p>
    <w:p>
      <w:pPr>
        <w:pStyle w:val="Heading1"/>
      </w:pPr>
      <w:r>
        <w:rPr/>
        <w:t xml:space="preserve">参考文献</w:t>
      </w:r>
    </w:p>
    <w:p>
      <w:pPr>
        <w:pStyle w:val="ListText"/>
      </w:pPr>
      <w:r>
        <w:rPr/>
        <w:t xml:space="preserve">1. Chen, A. Y., &amp; McCoy, J. (2024). Missing values handling for machine learning portfolios. *Journal of Financial Economics*, 155, 103815. https://doi.org/10.1016/j.jfineco.2024.103815</w:t>
      </w:r>
    </w:p>
    <w:p>
      <w:pPr>
        <w:pStyle w:val="ListText"/>
      </w:pPr>
      <w:r>
        <w:rPr/>
        <w:t xml:space="preserve">2. Bryzgalova, S., Lerner, S., Lettau, M., &amp; Pelger, M. (2025). Missing Financial Data. *The Review of Financial Studies*, 38(3), 803–882. https://doi.org/10.1093/rfs/hhae036</w:t>
      </w:r>
    </w:p>
    <w:p>
      <w:pPr>
        <w:pStyle w:val="ListText"/>
      </w:pPr>
      <w:r>
        <w:rPr/>
        <w:t xml:space="preserve">3. Freyberger, J., Hoeppner, B., Neuhierl, A., &amp; Weber, M. (2025). Missing Data in Asset Pricing Panels. *The Review of Financial Studies*, 38(3), 760–802. https://doi.org/10.1093/rfs/hhae003</w:t>
      </w:r>
    </w:p>
    <w:p>
      <w:pPr>
        <w:pStyle w:val="ListText"/>
      </w:pPr>
      <w:r>
        <w:rPr/>
        <w:t xml:space="preserve">4. Cesarone, F., Mango, F., Mottura, C. D., Ricci, J. M., &amp; Tardella, F. (2020). On the stability of portfolio selection models. *Journal of Empirical Finance*, 59, 210–234. https://doi.org/10.1016/j.jempfin.2020.10.003</w:t>
      </w:r>
    </w:p>
    <w:p>
      <w:pPr>
        <w:pStyle w:val="ListText"/>
      </w:pPr>
      <w:r>
        <w:rPr/>
        <w:t xml:space="preserve">5. Shumway, T. (1997). The Delisting Bias in CRSP Data. *The Journal of Finance*, 52(1), 327–340. https://doi.org/10.1111/j.1540-6261.1997.tb03818.x</w:t>
      </w:r>
    </w:p>
    <w:p>
      <w:pPr>
        <w:pStyle w:val="ListText"/>
      </w:pPr>
      <w:r>
        <w:rPr/>
        <w:t xml:space="preserve">6. Krishnan, S., Wang, J., Wu, E., Franklin, M. J., &amp; Goldberg, K. (2016). ActiveClean: Interactive Data Cleaning For Statistical Modeling. *Proceedings of the VLDB Endowment*, 9(12), 948–959. https://doi.org/10.14778/2994509.2994514</w:t>
      </w:r>
    </w:p>
    <w:p>
      <w:pPr>
        <w:pStyle w:val="ListText"/>
      </w:pPr>
      <w:r>
        <w:rPr/>
        <w:t xml:space="preserve">7. Politis, D. N., &amp; Romano, J. P. (1994). The Stationary Bootstrap. *Journal of the American Statistical Association*, 89(428), 1303–1313. https://doi.org/10.1080/01621459.1994.10476870</w:t>
      </w:r>
    </w:p>
    <w:sectPr>
      <w:pgSz w:w="11906" w:h="16838"/>
      <w:pgMar w:top="1130" w:bottom="1130" w:left="1200" w:right="1200" w:header="530" w:footer="530"/>
    </w:sectPr>
  </w:body>
</w:document>
</file>

<file path=word/styles.xml><?xml version="1.0" encoding="utf-8"?>
<w:styles xmlns:w="http://schemas.openxmlformats.org/wordprocessingml/2006/main">
  <w:docDefaults>
    <w:rPrDefault>
      <w:rPr>
        <w:rFonts w:ascii="Aptos" w:eastAsia="Noto Serif CJK SC"/>
        <w:sz w:val="21"/>
        <w:lang w:val="zh-CN"/>
      </w:rPr>
    </w:rPrDefault>
    <w:pPrDefault>
      <w:pPr>
        <w:spacing w:line="340" w:after="100"/>
      </w:pPr>
    </w:pPrDefault>
  </w:docDefaults>
  <w:style w:type="paragraph" w:default="1" w:styleId="Normal">
    <w:name w:val="Normal"/>
    <w:pPr>
      <w:jc w:val="both"/>
      <w:spacing w:after="120" w:line="350" w:lineRule="auto"/>
    </w:pPr>
  </w:style>
  <w:style w:type="paragraph" w:styleId="Title">
    <w:name w:val="Title"/>
    <w:pPr>
      <w:jc w:val="center"/>
      <w:spacing w:before="120" w:after="280"/>
      <w:keepNext/>
    </w:pPr>
    <w:rPr>
      <w:b/>
      <w:rFonts w:eastAsia="Noto Sans CJK SC"/>
      <w:sz w:val="35"/>
      <w:color w:val="173C5D"/>
    </w:rPr>
  </w:style>
  <w:style w:type="paragraph" w:styleId="Heading1">
    <w:name w:val="heading 1"/>
    <w:pPr>
      <w:spacing w:before="280" w:after="140"/>
      <w:keepNext/>
      <w:outlineLvl w:val="0"/>
    </w:pPr>
    <w:rPr>
      <w:b/>
      <w:sz w:val="29"/>
      <w:color w:val="173C5D"/>
    </w:rPr>
  </w:style>
  <w:style w:type="paragraph" w:styleId="Heading2">
    <w:name w:val="heading 2"/>
    <w:pPr>
      <w:spacing w:before="210" w:after="115"/>
      <w:keepNext/>
      <w:outlineLvl w:val="1"/>
    </w:pPr>
    <w:rPr>
      <w:b/>
      <w:sz w:val="24"/>
      <w:color w:val="235B80"/>
    </w:rPr>
  </w:style>
  <w:style w:type="paragraph" w:styleId="Metadata">
    <w:name w:val="Metadata"/>
    <w:pPr>
      <w:spacing w:after="90"/>
    </w:pPr>
    <w:rPr>
      <w:color w:val="505F6D"/>
      <w:sz w:val="20"/>
    </w:rPr>
  </w:style>
  <w:style w:type="paragraph" w:styleId="ListText">
    <w:name w:val="ListText"/>
    <w:pPr>
      <w:ind w:left="340" w:hanging="160"/>
      <w:spacing w:after="85"/>
    </w:pPr>
  </w:style>
  <w:style w:type="paragraph" w:styleId="Equation">
    <w:name w:val="Equation"/>
    <w:pPr>
      <w:jc w:val="center"/>
      <w:spacing w:before="100" w:after="110"/>
    </w:pPr>
  </w:style>
  <w:style w:type="paragraph" w:styleId="TableHead">
    <w:name w:val="Table Head"/>
    <w:pPr>
      <w:spacing w:after="0" w:line="255"/>
    </w:pPr>
    <w:rPr>
      <w:b/>
      <w:sz w:val="18"/>
    </w:rPr>
  </w:style>
  <w:style w:type="paragraph" w:styleId="TableText">
    <w:name w:val="Table Text"/>
    <w:pPr>
      <w:spacing w:after="0" w:line="260"/>
    </w:pPr>
    <w:rPr>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历史日频行情数据的缺失结构及其对量化股票筛选决策可靠性的影响</dc:title>
</cp:coreProperties>
</file>