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</w:rPr>
        <w:t>同帆同向</w:t>
      </w:r>
      <w:r>
        <w:rPr>
          <w:rFonts w:hint="eastAsia" w:ascii="黑体" w:eastAsia="黑体" w:cs="黑体"/>
          <w:b w:val="0"/>
          <w:bCs w:val="0"/>
          <w:sz w:val="44"/>
          <w:szCs w:val="44"/>
          <w:lang w:val="en-US" w:eastAsia="zh-CN"/>
        </w:rPr>
        <w:t>业务合作平台</w:t>
      </w:r>
    </w:p>
    <w:p>
      <w:pPr>
        <w:ind w:firstLine="0" w:firstLineChars="0"/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使用说明书</w:t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_Toc25683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_Toc25683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_Toc970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_Toc2320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_Toc22954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_Toc25673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_Toc25673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_Toc13844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25683"/>
      <w:r>
        <w:rPr>
          <w:rFonts w:hint="eastAsia"/>
        </w:rPr>
        <w:t>引言</w:t>
      </w:r>
      <w:bookmarkEnd w:id="0"/>
      <w:bookmarkEnd w:id="1"/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</w:rPr>
        <w:t>同帆同向业务合作平台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是一种实现特定业务领域的抽象工具，旨在快速满足该领域的业务需求，并提供开放的扩展接口以应对特殊需求。具体来说，业务合作平台的功能和作用包括但不限于：项目管理，客户关系管理，供应链管理。</w:t>
      </w:r>
    </w:p>
    <w:p>
      <w:pPr>
        <w:ind w:firstLine="640"/>
      </w:pPr>
      <w:r>
        <w:rPr>
          <w:rFonts w:hint="eastAsia"/>
          <w:lang w:val="en-US" w:eastAsia="zh-CN"/>
        </w:rPr>
        <w:t>此外，同帆同向业务合作平台还是一个持续改进的过程，能够添加业务组件，并对业务组件和业务流程进行持续优化。它具有成本优势，因为平台维护成本不会随着业务的增长而线性增长。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970"/>
      <w:r>
        <w:rPr>
          <w:rFonts w:hint="eastAsia"/>
        </w:rPr>
        <w:t>系统介绍</w:t>
      </w:r>
      <w:bookmarkEnd w:id="2"/>
    </w:p>
    <w:p>
      <w:pPr>
        <w:ind w:firstLine="640"/>
        <w:rPr>
          <w:rFonts w:hint="eastAsia"/>
        </w:rPr>
      </w:pPr>
      <w:r>
        <w:rPr>
          <w:rFonts w:hint="eastAsia"/>
        </w:rPr>
        <w:t>业务合作平台系统是一种实现业务合作的软件平台，它通过提供一系列的工具和功能，帮助企业与合作伙伴、客户以及其他利益相关者进行高效的业务协作。业务合作平台系统通常具有以下特点：</w:t>
      </w:r>
    </w:p>
    <w:p>
      <w:pPr>
        <w:ind w:firstLine="640"/>
        <w:rPr>
          <w:rFonts w:hint="eastAsia"/>
        </w:rPr>
      </w:pPr>
      <w:r>
        <w:rPr>
          <w:rFonts w:hint="eastAsia"/>
        </w:rPr>
        <w:t>集成性：业务合作平台系统能够将多个系统、应用程序和工具集成到一个平台上，方便用户在一个平台上完成各种业务操作和协作任务。</w:t>
      </w:r>
    </w:p>
    <w:p>
      <w:pPr>
        <w:ind w:firstLine="640"/>
        <w:rPr>
          <w:rFonts w:hint="eastAsia"/>
        </w:rPr>
      </w:pPr>
      <w:r>
        <w:rPr>
          <w:rFonts w:hint="eastAsia"/>
        </w:rPr>
        <w:t>协同性：业务合作平台系统能够支持多用户、多部门、多企业的协同工作，通过实时共享信息、任务分配、进度跟踪等功能，提高团队协作效率。</w:t>
      </w:r>
    </w:p>
    <w:p>
      <w:pPr>
        <w:ind w:firstLine="640"/>
        <w:rPr>
          <w:rFonts w:hint="eastAsia"/>
        </w:rPr>
      </w:pPr>
      <w:r>
        <w:rPr>
          <w:rFonts w:hint="eastAsia"/>
        </w:rPr>
        <w:t>开放性：业务合作平台系统具有开放性和可扩展性，能够与第三方系统、应用程序和工具进行集成，满足企业不断变化的业务需求。</w:t>
      </w:r>
    </w:p>
    <w:p>
      <w:pPr>
        <w:ind w:firstLine="640"/>
        <w:rPr>
          <w:rFonts w:hint="eastAsia"/>
        </w:rPr>
      </w:pPr>
      <w:r>
        <w:rPr>
          <w:rFonts w:hint="eastAsia"/>
        </w:rPr>
        <w:t>安全性：业务合作平台系统采取了一系列的安全措施，确保数据和信息的安全性、完整性和可靠性。</w:t>
      </w:r>
    </w:p>
    <w:p>
      <w:pPr>
        <w:ind w:firstLine="640"/>
        <w:rPr>
          <w:rFonts w:hint="eastAsia"/>
        </w:rPr>
      </w:pPr>
      <w:r>
        <w:rPr>
          <w:rFonts w:hint="eastAsia"/>
        </w:rPr>
        <w:t>易用性：业务合作平台系统具有易于使用的界面和功能，降低了用户的学习成本，提高了系统的使用效率。</w:t>
      </w:r>
      <w:bookmarkStart w:id="7" w:name="_GoBack"/>
      <w:bookmarkEnd w:id="7"/>
    </w:p>
    <w:p>
      <w:pPr>
        <w:ind w:firstLine="640"/>
        <w:rPr>
          <w:rFonts w:hint="eastAsia"/>
        </w:rPr>
      </w:pPr>
      <w:r>
        <w:rPr>
          <w:rFonts w:hint="eastAsia"/>
        </w:rPr>
        <w:t>定制性：业务合作平台系统能够根据企业的实际需求进行定制，满足企业的个性化需求。</w:t>
      </w:r>
    </w:p>
    <w:p>
      <w:pPr>
        <w:ind w:firstLine="640"/>
      </w:pPr>
      <w:r>
        <w:rPr>
          <w:rFonts w:hint="eastAsia"/>
        </w:rPr>
        <w:t>业务合作平台系统的应用范围非常广泛，适用于各类企业、组织和个人，可以用于供应链管理、项目管理、客户关系管理、人力资源管理等领域。通过使用业务合作平台系统，企业可以更高效地进行业务协作，优化业务流程，降低成本，提高竞争力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2320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SpringBoot框架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Boot是一款开箱即用框架，提供各种默认配置来简化项目配置。它遵循"约定优先于配置"的原则， 使用SpringBoot只需很少的配置，大部分的时候直接使用默认的配置即可。同时可以与Spring Cloud的微服务无缝结合。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是一个为基于Spring的企业应用系统提供声明式的安全访问控制解决方案的安全框架。它提供了一组可以在Spring应用上下文中配置的Bean，充分利用了Spring的IoC、DI（依赖注入）和AOP（面向切面编程）功能，为应用系统提供声明式的安全访问控制功能，减少了为企业系统安全控制编写大量重复代码的工作。它主要关注“认证”和“授权”这两个方面，这是Web应用安全性的两个主要领域。通过使用Spring Security，企业可以更加容易地实现用户认证和授权管理，提高应用系统的安全性。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MyBatis</w:t>
      </w:r>
      <w:r>
        <w:rPr>
          <w:rFonts w:hint="eastAsia"/>
        </w:rPr>
        <w:t>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是支持普通 SQL查询，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"https://baike.baidu.com/item/%E5%AD%98%E5%82%A8%E8%BF%87%E7%A8%8B/1240317?fromModule=lemma_inlink"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和高级映射的优秀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"https://baike.baidu.com/item/%E6%8C%81%E4%B9%85%E5%B1%82/3584971?fromModule=lemma_inlink"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持久层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框架。MyBatis 消除了几乎所有的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"https://baike.baidu.com/item/JDBC/485214?fromModule=lemma_inlink"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JDBC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代码和参数的手工设置以及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"https://baike.baidu.com/item/%E7%BB%93%E6%9E%9C%E9%9B%86/11040011?fromModule=lemma_inlink"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结果集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的检索。MyBatis 使用简单的 XML或注解用于配置和原始映射，将接口和 Java 的</w:t>
      </w:r>
      <w:r>
        <w:rPr>
          <w:rFonts w:hint="eastAsia"/>
          <w:lang w:val="en-US" w:eastAsia="zh-CN"/>
        </w:rPr>
        <w:fldChar w:fldCharType="begin"/>
      </w:r>
      <w:r>
        <w:instrText xml:space="preserve">HYPERLINK "https://baike.baidu.com/item/POJOs/6656035?fromModule=lemma_inlink"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POJOs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（Plain Ordinary Java Objects，普通的 Java对象）映射成数据库中的记录。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是一个流行的开源关系型数据库管理系统（RDBMS）。它使用结构化查询语言（SQL）来创建、修改和管理数据库。MySQL具有高性能、可扩展性和易用性等特点，广泛应用于各种应用场景，包括Web应用、企业级应用和大数据分析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Server）是一个开源的使用ANSI C语言编写、支持网络、可基于内存亦可持久化的日志型、Key-Value数据库，并提供多种语言的API。它支持存储的value类型相对更多，包括string（字符串）、list（链表）、set（集合）、zset（sorted set --有序集合）和hash（哈希类型）。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RabbitMQ是一个开源的消息代理软件，用于在分布式系统中发送和接收消息。它实现了AMQP（Advanced Message Queuing Protocol）协议，并支持多种语言和平台。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 是一个用于简化应用程序中缓存管理的抽象层。它为开发者提供了一种声明式的方式来使用缓存，使得缓存逻辑与业务逻辑解耦，从而简化应用程序的开发和性能优化。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前端技术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Vue、Ant Design Pro、axios、vue-router、Vuex、Websoket</w:t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22954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</w:rPr>
      </w:pPr>
      <w:r>
        <w:rPr>
          <w:rFonts w:hint="eastAsia"/>
        </w:rPr>
        <w:t>平台可以帮助企业进行项目管理，包括项目计划、进度跟踪、资源分配等。员工可以在平台上查看项目进展情况，及时调整工作计划。</w:t>
      </w:r>
    </w:p>
    <w:p>
      <w:pPr>
        <w:rPr>
          <w:rFonts w:hint="eastAsia"/>
        </w:rPr>
      </w:pPr>
    </w:p>
    <w:p/>
    <w:p>
      <w:pPr>
        <w:pStyle w:val="3"/>
        <w:numPr>
          <w:ilvl w:val="1"/>
          <w:numId w:val="2"/>
        </w:numPr>
      </w:pPr>
      <w:bookmarkStart w:id="5" w:name="_Toc25673"/>
      <w:r>
        <w:rPr>
          <w:rFonts w:hint="eastAsia"/>
        </w:rPr>
        <w:t>登录</w:t>
      </w:r>
      <w:bookmarkEnd w:id="5"/>
    </w:p>
    <w:p>
      <w:pPr>
        <w:bidi w:val="0"/>
      </w:pPr>
      <w:r>
        <w:rPr>
          <w:rFonts w:hint="eastAsia"/>
          <w:lang w:val="en-US" w:eastAsia="zh-CN"/>
        </w:rPr>
        <w:t>用户在登录界面，平台提供三种登录方式。一是平台提供了账号和密码输入框，用户可以通过输入账号和密码进行登录。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71135" cy="2931160"/>
            <wp:effectExtent l="0" t="0" r="1206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69230" cy="2816225"/>
            <wp:effectExtent l="0" t="0" r="127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三是通过第三方插件：支付宝、淘宝和微博进行登录。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6" w:name="_Toc13844"/>
      <w:r>
        <w:rPr>
          <w:rFonts w:hint="eastAsia"/>
        </w:rPr>
        <w:t>注册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820035"/>
            <wp:effectExtent l="0" t="0" r="8255" b="1206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="仿宋_GB2312"/>
          <w:lang w:eastAsia="zh-CN"/>
        </w:rPr>
      </w:pPr>
    </w:p>
    <w:p>
      <w:pPr>
        <w:ind w:firstLine="0" w:firstLineChars="0"/>
        <w:rPr>
          <w:rFonts w:hint="eastAsia" w:eastAsia="仿宋_GB2312"/>
          <w:lang w:eastAsia="zh-CN"/>
        </w:rPr>
      </w:pP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同帆同向业务合作平台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NTQ0Y2JmNDgwNzNmNTUyNTg1NzZjZjhiZTUyMjc3OGE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22A16E3"/>
    <w:rsid w:val="025F4662"/>
    <w:rsid w:val="053C0C8A"/>
    <w:rsid w:val="07470275"/>
    <w:rsid w:val="0817778D"/>
    <w:rsid w:val="0B640F3B"/>
    <w:rsid w:val="0D4C1C87"/>
    <w:rsid w:val="0DC36651"/>
    <w:rsid w:val="0EF20D01"/>
    <w:rsid w:val="10BB784F"/>
    <w:rsid w:val="132A2A6A"/>
    <w:rsid w:val="13DA623E"/>
    <w:rsid w:val="16C60CFC"/>
    <w:rsid w:val="19D13C3F"/>
    <w:rsid w:val="1A0F1C36"/>
    <w:rsid w:val="1C1E0C92"/>
    <w:rsid w:val="1C9D42AD"/>
    <w:rsid w:val="237613B4"/>
    <w:rsid w:val="268A146A"/>
    <w:rsid w:val="2AF05EF0"/>
    <w:rsid w:val="2BE07D12"/>
    <w:rsid w:val="2F0306EB"/>
    <w:rsid w:val="30C85944"/>
    <w:rsid w:val="333003F3"/>
    <w:rsid w:val="359A7184"/>
    <w:rsid w:val="35A34E37"/>
    <w:rsid w:val="3A744447"/>
    <w:rsid w:val="3C1001A0"/>
    <w:rsid w:val="419B675D"/>
    <w:rsid w:val="42B1639B"/>
    <w:rsid w:val="42DE3997"/>
    <w:rsid w:val="46EF7D29"/>
    <w:rsid w:val="48A920B1"/>
    <w:rsid w:val="4D423F31"/>
    <w:rsid w:val="50EB7D9F"/>
    <w:rsid w:val="528F0E18"/>
    <w:rsid w:val="55254864"/>
    <w:rsid w:val="553B7519"/>
    <w:rsid w:val="55D50038"/>
    <w:rsid w:val="59205D38"/>
    <w:rsid w:val="5C4035E0"/>
    <w:rsid w:val="5CA55A22"/>
    <w:rsid w:val="628801E0"/>
    <w:rsid w:val="63E678B4"/>
    <w:rsid w:val="66F2031E"/>
    <w:rsid w:val="6AB06526"/>
    <w:rsid w:val="6EFA2466"/>
    <w:rsid w:val="6F490CF7"/>
    <w:rsid w:val="703F6AB7"/>
    <w:rsid w:val="73D56FFD"/>
    <w:rsid w:val="7A187C44"/>
    <w:rsid w:val="7B3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qFormat/>
    <w:uiPriority w:val="0"/>
    <w:pPr>
      <w:ind w:left="40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200" w:leftChars="200"/>
    </w:pPr>
  </w:style>
  <w:style w:type="paragraph" w:styleId="11">
    <w:name w:val="Normal (Web)"/>
    <w:basedOn w:val="1"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uiPriority w:val="0"/>
    <w:rPr>
      <w:b/>
    </w:rPr>
  </w:style>
  <w:style w:type="character" w:styleId="15">
    <w:name w:val="Hyperlink"/>
    <w:basedOn w:val="13"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502</Words>
  <Characters>2866</Characters>
  <Lines>23</Lines>
  <Paragraphs>6</Paragraphs>
  <TotalTime>138</TotalTime>
  <ScaleCrop>false</ScaleCrop>
  <LinksUpToDate>false</LinksUpToDate>
  <CharactersWithSpaces>3362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v_sujzhou</cp:lastModifiedBy>
  <dcterms:modified xsi:type="dcterms:W3CDTF">2024-02-01T09:56:03Z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03F565BF71CC44DD9C42DF6304238F80_13</vt:lpwstr>
  </property>
</Properties>
</file>