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  <w:lang w:val="en-US" w:eastAsia="zh-CN"/>
        </w:rPr>
        <w:t>基于Nimbus平台的血型卡检测系统</w:t>
      </w:r>
    </w:p>
    <w:p>
      <w:pPr>
        <w:tabs>
          <w:tab w:val="center" w:pos="4212"/>
          <w:tab w:val="left" w:pos="7364"/>
        </w:tabs>
        <w:ind w:firstLine="0" w:firstLineChars="0"/>
        <w:jc w:val="left"/>
        <w:rPr>
          <w:rFonts w:hint="eastAsia" w:ascii="黑体" w:eastAsia="黑体" w:cs="黑体"/>
          <w:sz w:val="44"/>
          <w:szCs w:val="44"/>
          <w:lang w:eastAsia="zh-CN"/>
        </w:rPr>
      </w:pPr>
      <w:r>
        <w:rPr>
          <w:rFonts w:hint="eastAsia" w:ascii="黑体" w:eastAsia="黑体" w:cs="黑体"/>
          <w:sz w:val="44"/>
          <w:szCs w:val="44"/>
          <w:lang w:eastAsia="zh-CN"/>
        </w:rPr>
        <w:tab/>
      </w:r>
      <w:r>
        <w:rPr>
          <w:rFonts w:hint="eastAsia" w:ascii="黑体" w:eastAsia="黑体" w:cs="黑体"/>
          <w:sz w:val="44"/>
          <w:szCs w:val="44"/>
        </w:rPr>
        <w:t>使用说明书</w:t>
      </w:r>
      <w:r>
        <w:rPr>
          <w:rFonts w:hint="eastAsia" w:ascii="黑体" w:eastAsia="黑体" w:cs="黑体"/>
          <w:sz w:val="44"/>
          <w:szCs w:val="44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_Toc7364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_Toc7540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_Toc7540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_Toc27429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_Toc27429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_Toc32255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主页</w:t>
      </w:r>
      <w:r>
        <w:tab/>
      </w:r>
      <w:r>
        <w:fldChar w:fldCharType="begin"/>
      </w:r>
      <w:r>
        <w:instrText xml:space="preserve"> PAGEREF _Toc20507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_Toc32380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_Toc32380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_Toc30511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检测查询</w:t>
      </w:r>
      <w:r>
        <w:tab/>
      </w:r>
      <w:r>
        <w:fldChar w:fldCharType="begin"/>
      </w:r>
      <w:r>
        <w:instrText xml:space="preserve"> PAGEREF _Toc30511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反馈管理</w:t>
      </w:r>
      <w:r>
        <w:tab/>
      </w:r>
      <w:r>
        <w:fldChar w:fldCharType="begin"/>
      </w:r>
      <w:r>
        <w:instrText xml:space="preserve"> PAGEREF _Toc27590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_Toc29531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_Toc26683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  <w:lang w:val="en-US" w:eastAsia="zh-CN"/>
        </w:rPr>
        <w:t>设置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_Toc11329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_Toc11329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_Toc26153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4.9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_Toc26153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tabs>
          <w:tab w:val="left" w:pos="3054"/>
        </w:tabs>
        <w:ind w:firstLine="640"/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7364"/>
      <w:r>
        <w:rPr>
          <w:rFonts w:hint="eastAsia"/>
        </w:rPr>
        <w:t>引言</w:t>
      </w:r>
      <w:bookmarkEnd w:id="0"/>
      <w:bookmarkEnd w:id="1"/>
    </w:p>
    <w:p>
      <w:pPr>
        <w:ind w:firstLine="640"/>
        <w:rPr>
          <w:rFonts w:hint="eastAsia"/>
        </w:rPr>
      </w:pPr>
      <w:r>
        <w:rPr>
          <w:rFonts w:hint="eastAsia"/>
        </w:rPr>
        <w:t>随着医疗技术的不断进步，输血作为临床治疗的重要手段，对血型检测的准确性和效率提出了更高的要求。传统的血型检测方法往往依赖于人工操作，不仅耗时耗力，而且容易受到人为因素的影响，导致血型检测结果的误差。因此，开发一种自动化、智能化的血型检测系统，对于提高输血安全、降低医疗风险具有重要意义。</w:t>
      </w:r>
    </w:p>
    <w:p>
      <w:pPr>
        <w:ind w:firstLine="640"/>
      </w:pPr>
      <w:r>
        <w:rPr>
          <w:rFonts w:hint="eastAsia"/>
        </w:rPr>
        <w:t>Nimbus平台作为一个先进的医疗技术平台，具有强大的数据处理能力和丰富的算法资源，为血型卡检测系统的开发提供了有力支持。基于Nimbus平台的血型卡检测系统能够充分利用平台的优势，实现血型检测的自动化、智能化和高效化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7540"/>
      <w:r>
        <w:rPr>
          <w:rFonts w:hint="eastAsia"/>
        </w:rPr>
        <w:t>系统介绍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基于Nimbus平台的血型卡检测系统</w:t>
      </w:r>
      <w:r>
        <w:rPr>
          <w:rFonts w:hint="eastAsia"/>
          <w:lang w:val="en-US" w:eastAsia="zh-CN"/>
        </w:rPr>
        <w:t>是一款基于人工智能技术的医疗设备，专门用于快速、准确地检测血液样本的血型。该系统结合了图像识别、机器学习等先进技术，能够自动识别和分析血型卡上的反应结果，为医护人员提供准确的血型信息，从而确保输血安全和提高医疗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通过采集血型卡上的图像数据，利用机器学习算法对图像进行预处理、特征提取和分类识别，最终确定血液样本的血型。内置了多种血型识别模型，能够适应不同品牌和型号的血型卡。</w:t>
      </w:r>
      <w:r>
        <w:rPr>
          <w:rFonts w:hint="eastAsia"/>
        </w:rPr>
        <w:t>适用于医院、诊所、实验室等医疗场所，特别是在需要大量快速检测血型的场景下，如紧急输血、手术备血等。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于Nimbus平台的血型卡检测系统不仅提高了血型检测的准确性和效率，还降低了医护人员的工作负担和人为误差。同时，该系统也有助于减少医疗纠纷和医疗事故的风险，保障患者的输血安全和医疗质量。通过血型卡检测系统的应用，医疗机构可以实现血型检测的自动化和智能化，提升整体医疗服务水平。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3" w:name="_Toc27429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Python是一种通用编程语言，因其易读性和丰富的库资源在数据科学、机器学习和Web开发等领域得到广泛应用。在血型卡检测系统中，Python可用于实现图像处理、机器学习模型的训练和部署等功能。</w:t>
      </w:r>
    </w:p>
    <w:p>
      <w:pPr>
        <w:tabs>
          <w:tab w:val="center" w:pos="415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OpenCV（Open Source Computer Vision Library）是一个开源的计算机视觉库，提供了大量的图像处理和计算机视觉功能，如图像读取、预处理、特征提取等。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  <w:bookmarkStart w:id="14" w:name="_GoBack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TensorFlow是Google开发的一个开源机器学习框架，支持分布式训练，并提供了丰富的API和工具，适用于各种机器学习任务，包括图像分类、目标检测等。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Flask是一个轻量级的Web框架，适用于构建小型到中型的应用程序。它提供了基础的路由、模板渲染等功能，并允许开发者根据需求进行扩展。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PostgreSQL是一个强大的开源关系型数据库管理系统，支持复杂查询、事务处理、外键等特性，适用于存储和管理血型检测系统的数据。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一个容器化平台，允许开发者将应用程序及其依赖打包到一个可移植的容器中，便于部署和管理。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一个开源的容器编排系统，用于自动化部署、扩展和管理容器化应用程序。</w:t>
      </w:r>
    </w:p>
    <w:p>
      <w:pPr>
        <w:ind w:firstLine="640"/>
      </w:pPr>
      <w:r>
        <w:rPr>
          <w:rFonts w:hint="eastAsia"/>
        </w:rPr>
        <w:t>前端技术</w:t>
      </w:r>
    </w:p>
    <w:p>
      <w:pPr>
        <w:ind w:firstLine="640"/>
        <w:rPr>
          <w:rFonts w:hint="eastAsia"/>
        </w:rPr>
      </w:pPr>
      <w:r>
        <w:rPr>
          <w:rFonts w:hint="eastAsia"/>
        </w:rPr>
        <w:t>Node、Vue、JavaScript、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"https://www.antdv.com/index" </w:instrText>
      </w:r>
      <w:r>
        <w:rPr>
          <w:rFonts w:hint="eastAsia"/>
        </w:rPr>
        <w:fldChar w:fldCharType="separate"/>
      </w:r>
      <w:r>
        <w:rPr>
          <w:rFonts w:hint="eastAsia"/>
        </w:rPr>
        <w:t> Ant Design Vue</w:t>
      </w:r>
      <w:r>
        <w:rPr>
          <w:rFonts w:hint="eastAsia"/>
        </w:rPr>
        <w:fldChar w:fldCharType="end"/>
      </w:r>
    </w:p>
    <w:p>
      <w:pPr>
        <w:ind w:firstLine="64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32255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20507"/>
      <w:r>
        <w:rPr>
          <w:rFonts w:hint="eastAsia"/>
          <w:lang w:val="en-US" w:eastAsia="zh-CN"/>
        </w:rPr>
        <w:t>主页</w:t>
      </w:r>
      <w:bookmarkEnd w:id="5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主要展示四个模块的内容。一是</w:t>
      </w:r>
      <w:r>
        <w:rPr>
          <w:rFonts w:hint="eastAsia"/>
        </w:rPr>
        <w:t>显示系统通知和公告，及时通知用户关于系统更新、维护或重要信息。</w:t>
      </w:r>
      <w:r>
        <w:rPr>
          <w:rFonts w:hint="eastAsia"/>
          <w:lang w:val="en-US" w:eastAsia="zh-CN"/>
        </w:rPr>
        <w:t>二是通过直方图的形式向用户展示，最近6个月的总检测次数。三是，通过进度圆环展示当前系统中血型卡的检测状态。四是通过折线图展示最近6个月的用户反馈数量情况。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5267325" cy="3787140"/>
            <wp:effectExtent l="0" t="0" r="9525" b="381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32380"/>
      <w:r>
        <w:rPr>
          <w:rFonts w:hint="eastAsia"/>
          <w:lang w:val="en-US" w:eastAsia="zh-CN"/>
        </w:rPr>
        <w:t>用户管理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提供用户输入查询和编辑等功能。可以在当前模块进行新用户基本信息录入、查询已经录入的用户的信息，并进行删除和编辑修改操作。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438525"/>
            <wp:effectExtent l="0" t="0" r="133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7" w:name="_Toc30511"/>
      <w:r>
        <w:rPr>
          <w:rFonts w:hint="eastAsia"/>
          <w:lang w:val="en-US" w:eastAsia="zh-CN"/>
        </w:rPr>
        <w:t>检测查询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提供血型检测结果的查询功能，用户可以根据检测时间、姓名或其他筛选条件查询历史检测结果和其他相关操作（如重新检测、打印报告等）。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585845"/>
            <wp:effectExtent l="0" t="0" r="3810" b="1460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8" w:name="_Toc27590"/>
      <w:r>
        <w:rPr>
          <w:rFonts w:hint="eastAsia"/>
          <w:lang w:val="en-US" w:eastAsia="zh-CN"/>
        </w:rPr>
        <w:t>反馈管理</w:t>
      </w:r>
      <w:bookmarkEnd w:id="8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</w:rPr>
        <w:t>用户向系统提交问题和建议</w:t>
      </w:r>
      <w:r>
        <w:rPr>
          <w:rFonts w:hint="eastAsia"/>
          <w:lang w:val="en-US" w:eastAsia="zh-CN"/>
        </w:rPr>
        <w:t>之后，会汇总到我们的反馈管理模块，进行统一管理。管理员通过反馈列表，对用户的反馈信息进行处理操作，以提高用户的良好体验。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273425"/>
            <wp:effectExtent l="0" t="0" r="8255" b="317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9" w:name="_Toc29531"/>
      <w:r>
        <w:rPr>
          <w:rFonts w:hint="eastAsia"/>
          <w:lang w:val="en-US" w:eastAsia="zh-CN"/>
        </w:rPr>
        <w:t>权限管理</w:t>
      </w:r>
      <w:bookmarkEnd w:id="9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对系统所有用户进行权限管理。每个用户只能查询到自己所拥有的权限的相关信息。避免用户信息的泄露问题。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9230" cy="3004820"/>
            <wp:effectExtent l="0" t="0" r="7620" b="508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0" w:name="_Toc26683"/>
      <w:r>
        <w:rPr>
          <w:rFonts w:hint="eastAsia"/>
          <w:lang w:val="en-US" w:eastAsia="zh-CN"/>
        </w:rPr>
        <w:t>帮助</w:t>
      </w:r>
      <w:bookmarkEnd w:id="10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提供用户帮助支持功能。包括常见问题解答(FAQ)，在线帮助文档和联系客服人员等。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2405" cy="4260850"/>
            <wp:effectExtent l="0" t="0" r="4445" b="635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1" w:name="_Toc29617"/>
      <w:r>
        <w:rPr>
          <w:rFonts w:hint="eastAsia"/>
          <w:lang w:val="en-US" w:eastAsia="zh-CN"/>
        </w:rPr>
        <w:t>设置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</w:pPr>
      <w:r>
        <w:rPr>
          <w:rFonts w:hint="eastAsia"/>
        </w:rPr>
        <w:t>提供系统设置功能，允许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用户修改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界面主题、字体大小等个性化设置。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867785"/>
            <wp:effectExtent l="0" t="0" r="8255" b="1841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11329"/>
      <w:r>
        <w:rPr>
          <w:rFonts w:hint="eastAsia"/>
        </w:rPr>
        <w:t>登录</w:t>
      </w:r>
      <w:bookmarkEnd w:id="12"/>
    </w:p>
    <w:p>
      <w:pPr>
        <w:bidi w:val="0"/>
      </w:pPr>
      <w:r>
        <w:rPr>
          <w:rFonts w:hint="eastAsia"/>
          <w:lang w:val="en-US" w:eastAsia="zh-CN"/>
        </w:rPr>
        <w:t>用户在登录界面，平台提供两种登录方式。一是平台提供了账号和密码输入框，用户可以通过输入账号和密码进行登录。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66690" cy="2769235"/>
            <wp:effectExtent l="0" t="0" r="1016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71135" cy="2797175"/>
            <wp:effectExtent l="0" t="0" r="571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如果没有账号，提供跳转注册账户入口，通过点击“注册账户”按钮，进行界面跳转前往账号注册。如果忘记密码，提供密码找回服务，通过点击“找回密码”按钮，进行界面跳转前往密码修改界面。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26153"/>
      <w:r>
        <w:rPr>
          <w:rFonts w:hint="eastAsia"/>
        </w:rPr>
        <w:t>注册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80030"/>
            <wp:effectExtent l="0" t="0" r="139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仿宋_GB2312"/>
          <w:lang w:eastAsia="zh-CN"/>
        </w:rPr>
      </w:pPr>
    </w:p>
    <w:p>
      <w:pPr>
        <w:ind w:firstLine="0" w:firstLineChars="0"/>
        <w:rPr>
          <w:rFonts w:hint="eastAsia" w:eastAsia="仿宋_GB2312"/>
          <w:lang w:eastAsia="zh-CN"/>
        </w:rPr>
      </w:pP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基于Nimbus平台的血型卡检测系统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NTQ0Y2JmNDgwNzNmNTUyNTg1NzZjZjhiZTUyMjc3OGE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22A16E3"/>
    <w:rsid w:val="025F4662"/>
    <w:rsid w:val="04345F2C"/>
    <w:rsid w:val="046C2CD0"/>
    <w:rsid w:val="053C0C8A"/>
    <w:rsid w:val="07470275"/>
    <w:rsid w:val="07A64AE1"/>
    <w:rsid w:val="0817778D"/>
    <w:rsid w:val="0B640F3B"/>
    <w:rsid w:val="0D296DF5"/>
    <w:rsid w:val="0D4C1C87"/>
    <w:rsid w:val="0DC36651"/>
    <w:rsid w:val="0EF20D01"/>
    <w:rsid w:val="10BB784F"/>
    <w:rsid w:val="116C0B49"/>
    <w:rsid w:val="132A2A6A"/>
    <w:rsid w:val="13DA623E"/>
    <w:rsid w:val="149C1746"/>
    <w:rsid w:val="16C60CFC"/>
    <w:rsid w:val="19D13C3F"/>
    <w:rsid w:val="1A0F1C36"/>
    <w:rsid w:val="1C1E0C92"/>
    <w:rsid w:val="1C6B487E"/>
    <w:rsid w:val="1C9D42AD"/>
    <w:rsid w:val="1D2B36F7"/>
    <w:rsid w:val="237613B4"/>
    <w:rsid w:val="268A146A"/>
    <w:rsid w:val="27453624"/>
    <w:rsid w:val="2AF05EF0"/>
    <w:rsid w:val="2BE07D12"/>
    <w:rsid w:val="2F0306EB"/>
    <w:rsid w:val="30C85944"/>
    <w:rsid w:val="333003F3"/>
    <w:rsid w:val="359A7184"/>
    <w:rsid w:val="35A34E37"/>
    <w:rsid w:val="369754C7"/>
    <w:rsid w:val="36C716C8"/>
    <w:rsid w:val="3A744447"/>
    <w:rsid w:val="3C1001A0"/>
    <w:rsid w:val="3E6E7FB3"/>
    <w:rsid w:val="419B675D"/>
    <w:rsid w:val="42B1639B"/>
    <w:rsid w:val="42DE3997"/>
    <w:rsid w:val="43C95804"/>
    <w:rsid w:val="46EF7D29"/>
    <w:rsid w:val="48A920B1"/>
    <w:rsid w:val="491C63D6"/>
    <w:rsid w:val="4A577F19"/>
    <w:rsid w:val="4C537849"/>
    <w:rsid w:val="4D423F31"/>
    <w:rsid w:val="4DCE7695"/>
    <w:rsid w:val="4E45017D"/>
    <w:rsid w:val="50EB7D9F"/>
    <w:rsid w:val="50F809EE"/>
    <w:rsid w:val="528F0E18"/>
    <w:rsid w:val="55254864"/>
    <w:rsid w:val="553B7519"/>
    <w:rsid w:val="55D50038"/>
    <w:rsid w:val="56692FD1"/>
    <w:rsid w:val="57D460CD"/>
    <w:rsid w:val="57F4051E"/>
    <w:rsid w:val="59205D38"/>
    <w:rsid w:val="5B8404C5"/>
    <w:rsid w:val="5BA55A21"/>
    <w:rsid w:val="5C4035E0"/>
    <w:rsid w:val="5CA55A22"/>
    <w:rsid w:val="628801E0"/>
    <w:rsid w:val="62A82630"/>
    <w:rsid w:val="63715118"/>
    <w:rsid w:val="63E678B4"/>
    <w:rsid w:val="66F2031E"/>
    <w:rsid w:val="68232B48"/>
    <w:rsid w:val="6AB06526"/>
    <w:rsid w:val="6BA72A55"/>
    <w:rsid w:val="6C0A7EB8"/>
    <w:rsid w:val="6DFB3F5C"/>
    <w:rsid w:val="6EFA2466"/>
    <w:rsid w:val="6F490CF7"/>
    <w:rsid w:val="703F6AB7"/>
    <w:rsid w:val="73D56FFD"/>
    <w:rsid w:val="74911176"/>
    <w:rsid w:val="78486CF4"/>
    <w:rsid w:val="79BC6C95"/>
    <w:rsid w:val="7A187C44"/>
    <w:rsid w:val="7A5355BC"/>
    <w:rsid w:val="7B3260CD"/>
    <w:rsid w:val="7D7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autoRedefine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0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qFormat/>
    <w:uiPriority w:val="0"/>
    <w:pPr>
      <w:ind w:left="200" w:leftChars="200"/>
    </w:pPr>
  </w:style>
  <w:style w:type="paragraph" w:styleId="11">
    <w:name w:val="Normal (Web)"/>
    <w:basedOn w:val="1"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autoRedefine/>
    <w:qFormat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2137</Words>
  <Characters>2489</Characters>
  <Lines>23</Lines>
  <Paragraphs>6</Paragraphs>
  <TotalTime>4</TotalTime>
  <ScaleCrop>false</ScaleCrop>
  <LinksUpToDate>false</LinksUpToDate>
  <CharactersWithSpaces>2559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v_sujzhou</cp:lastModifiedBy>
  <dcterms:modified xsi:type="dcterms:W3CDTF">2024-02-22T02:30:27Z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CA9EB9F90EA7492FACDE4BB1F6E12064_13</vt:lpwstr>
  </property>
</Properties>
</file>