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0"/>
      </w:pPr>
    </w:p>
    <w:p>
      <w:pPr>
        <w:ind w:firstLine="0" w:firstLineChars="0"/>
        <w:jc w:val="center"/>
        <w:rPr>
          <w:rFonts w:hint="default" w:ascii="黑体" w:eastAsia="黑体" w:cs="黑体"/>
          <w:sz w:val="44"/>
          <w:szCs w:val="44"/>
          <w:lang w:val="en-US" w:eastAsia="zh-CN"/>
        </w:rPr>
      </w:pPr>
      <w:r>
        <w:rPr>
          <w:rFonts w:hint="eastAsia" w:ascii="黑体" w:eastAsia="黑体" w:cs="黑体"/>
          <w:b w:val="0"/>
          <w:bCs w:val="0"/>
          <w:sz w:val="44"/>
          <w:szCs w:val="44"/>
        </w:rPr>
        <w:t>NH-VANTAGE仪器加液校验程序系统</w:t>
      </w:r>
    </w:p>
    <w:p>
      <w:pPr>
        <w:tabs>
          <w:tab w:val="center" w:pos="4212"/>
          <w:tab w:val="left" w:pos="7364"/>
        </w:tabs>
        <w:ind w:firstLine="0" w:firstLineChars="0"/>
        <w:jc w:val="left"/>
        <w:rPr>
          <w:rFonts w:hint="eastAsia" w:ascii="黑体" w:eastAsia="黑体" w:cs="黑体"/>
          <w:sz w:val="44"/>
          <w:szCs w:val="44"/>
          <w:lang w:eastAsia="zh-CN"/>
        </w:rPr>
      </w:pPr>
      <w:r>
        <w:rPr>
          <w:rFonts w:hint="eastAsia" w:ascii="黑体" w:eastAsia="黑体" w:cs="黑体"/>
          <w:sz w:val="44"/>
          <w:szCs w:val="44"/>
          <w:lang w:eastAsia="zh-CN"/>
        </w:rPr>
        <w:tab/>
      </w:r>
      <w:r>
        <w:rPr>
          <w:rFonts w:hint="eastAsia" w:ascii="黑体" w:eastAsia="黑体" w:cs="黑体"/>
          <w:sz w:val="44"/>
          <w:szCs w:val="44"/>
        </w:rPr>
        <w:t>使用说明书</w:t>
      </w:r>
      <w:r>
        <w:rPr>
          <w:rFonts w:hint="eastAsia" w:ascii="黑体" w:eastAsia="黑体" w:cs="黑体"/>
          <w:sz w:val="44"/>
          <w:szCs w:val="44"/>
          <w:lang w:eastAsia="zh-CN"/>
        </w:rPr>
        <w:tab/>
      </w: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0" w:firstLineChars="0"/>
      </w:pPr>
    </w:p>
    <w:p>
      <w:pPr>
        <w:ind w:firstLine="0" w:firstLineChars="0"/>
        <w:jc w:val="center"/>
      </w:pPr>
      <w:r>
        <w:rPr>
          <w:rFonts w:hint="eastAsia"/>
        </w:rPr>
        <w:t>2024年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月</w:t>
      </w:r>
    </w:p>
    <w:p>
      <w:pPr>
        <w:ind w:firstLine="0" w:firstLineChars="0"/>
      </w:pPr>
    </w:p>
    <w:p>
      <w:pPr>
        <w:ind w:firstLine="0" w:firstLineChars="0"/>
        <w:jc w:val="center"/>
        <w:rPr>
          <w:rFonts w:ascii="黑体" w:eastAsia="黑体" w:cs="黑体"/>
        </w:rPr>
      </w:pPr>
      <w:r>
        <w:rPr>
          <w:rFonts w:hint="eastAsia" w:ascii="黑体" w:eastAsia="黑体" w:cs="黑体"/>
        </w:rPr>
        <w:t>目  录</w:t>
      </w:r>
    </w:p>
    <w:p>
      <w:pPr>
        <w:ind w:firstLine="640"/>
      </w:pPr>
    </w:p>
    <w:p>
      <w:pPr>
        <w:pStyle w:val="9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_Toc28286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_Toc28286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_Toc17951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</w:rPr>
        <w:t>系统介绍</w:t>
      </w:r>
      <w:r>
        <w:tab/>
      </w:r>
      <w:r>
        <w:fldChar w:fldCharType="begin"/>
      </w:r>
      <w:r>
        <w:instrText xml:space="preserve"> PAGEREF _Toc17951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_Toc513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/>
        </w:rPr>
        <w:t>技术概述</w:t>
      </w:r>
      <w:r>
        <w:tab/>
      </w:r>
      <w:r>
        <w:fldChar w:fldCharType="begin"/>
      </w:r>
      <w:r>
        <w:instrText xml:space="preserve"> PAGEREF _Toc513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_Toc18363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</w:rPr>
        <w:t>功能介绍</w:t>
      </w:r>
      <w:r>
        <w:tab/>
      </w:r>
      <w:r>
        <w:fldChar w:fldCharType="begin"/>
      </w:r>
      <w:r>
        <w:instrText xml:space="preserve"> PAGEREF _Toc18363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_Toc1367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4.1 </w:t>
      </w:r>
      <w:r>
        <w:rPr>
          <w:rFonts w:hint="eastAsia"/>
          <w:lang w:val="en-US" w:eastAsia="zh-CN"/>
        </w:rPr>
        <w:t>可观测性平台</w:t>
      </w:r>
      <w:r>
        <w:tab/>
      </w:r>
      <w:r>
        <w:fldChar w:fldCharType="begin"/>
      </w:r>
      <w:r>
        <w:instrText xml:space="preserve"> PAGEREF _Toc1367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_Toc28502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4.2 </w:t>
      </w:r>
      <w:r>
        <w:rPr>
          <w:rFonts w:hint="eastAsia"/>
          <w:lang w:val="en-US" w:eastAsia="zh-CN"/>
        </w:rPr>
        <w:t>项目管理</w:t>
      </w:r>
      <w:r>
        <w:tab/>
      </w:r>
      <w:r>
        <w:fldChar w:fldCharType="begin"/>
      </w:r>
      <w:r>
        <w:instrText xml:space="preserve"> PAGEREF _Toc28502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_Toc6994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4.3 </w:t>
      </w:r>
      <w:r>
        <w:rPr>
          <w:rFonts w:hint="eastAsia"/>
          <w:lang w:val="en-US" w:eastAsia="zh-CN"/>
        </w:rPr>
        <w:t>发布管理</w:t>
      </w:r>
      <w:r>
        <w:tab/>
      </w:r>
      <w:r>
        <w:fldChar w:fldCharType="begin"/>
      </w:r>
      <w:r>
        <w:instrText xml:space="preserve"> PAGEREF _Toc6994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_Toc8735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4.4 </w:t>
      </w:r>
      <w:r>
        <w:rPr>
          <w:rFonts w:hint="eastAsia"/>
          <w:lang w:val="en-US" w:eastAsia="zh-CN"/>
        </w:rPr>
        <w:t>监控告警</w:t>
      </w:r>
      <w:r>
        <w:tab/>
      </w:r>
      <w:r>
        <w:fldChar w:fldCharType="begin"/>
      </w:r>
      <w:r>
        <w:instrText xml:space="preserve"> PAGEREF _Toc8735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_Toc21350 </w:instrText>
      </w:r>
      <w:r>
        <w:rPr>
          <w:rFonts w:hint="eastAsia"/>
        </w:rPr>
        <w:fldChar w:fldCharType="separate"/>
      </w:r>
      <w:r>
        <w:rPr>
          <w:rFonts w:hint="eastAsia" w:ascii="仿宋_GB2312" w:hAnsi="Times New Roman" w:eastAsia="仿宋_GB2312" w:cs="Arial"/>
          <w:bCs w:val="0"/>
          <w:kern w:val="2"/>
          <w:szCs w:val="24"/>
          <w:lang w:val="en-US" w:eastAsia="zh-CN" w:bidi="ar-SA"/>
        </w:rPr>
        <w:t>4.</w:t>
      </w:r>
      <w:r>
        <w:rPr>
          <w:rFonts w:hint="eastAsia" w:ascii="仿宋_GB2312" w:eastAsia="仿宋_GB2312" w:cs="Arial"/>
          <w:bCs w:val="0"/>
          <w:kern w:val="2"/>
          <w:szCs w:val="24"/>
          <w:lang w:val="en-US" w:eastAsia="zh-CN" w:bidi="ar-SA"/>
        </w:rPr>
        <w:t>4</w:t>
      </w:r>
      <w:r>
        <w:rPr>
          <w:rFonts w:hint="eastAsia" w:ascii="仿宋_GB2312" w:hAnsi="Times New Roman" w:eastAsia="仿宋_GB2312" w:cs="Arial"/>
          <w:bCs w:val="0"/>
          <w:kern w:val="2"/>
          <w:szCs w:val="24"/>
          <w:lang w:val="en-US" w:eastAsia="zh-CN" w:bidi="ar-SA"/>
        </w:rPr>
        <w:t xml:space="preserve">.1 </w:t>
      </w:r>
      <w:r>
        <w:rPr>
          <w:rFonts w:hint="eastAsia" w:ascii="仿宋_GB2312" w:eastAsia="仿宋_GB2312" w:cs="Arial"/>
          <w:bCs w:val="0"/>
          <w:kern w:val="2"/>
          <w:szCs w:val="24"/>
          <w:lang w:val="en-US" w:eastAsia="zh-CN" w:bidi="ar-SA"/>
        </w:rPr>
        <w:t>告警记录</w:t>
      </w:r>
      <w:r>
        <w:tab/>
      </w:r>
      <w:r>
        <w:fldChar w:fldCharType="begin"/>
      </w:r>
      <w:r>
        <w:instrText xml:space="preserve"> PAGEREF _Toc21350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_Toc31929 </w:instrText>
      </w:r>
      <w:r>
        <w:rPr>
          <w:rFonts w:hint="eastAsia"/>
        </w:rPr>
        <w:fldChar w:fldCharType="separate"/>
      </w:r>
      <w:r>
        <w:rPr>
          <w:rFonts w:hint="eastAsia" w:ascii="仿宋_GB2312" w:hAnsi="Times New Roman" w:eastAsia="仿宋_GB2312" w:cs="Arial"/>
          <w:bCs w:val="0"/>
          <w:kern w:val="2"/>
          <w:szCs w:val="24"/>
          <w:lang w:val="en-US" w:eastAsia="zh-CN" w:bidi="ar-SA"/>
        </w:rPr>
        <w:t>4.</w:t>
      </w:r>
      <w:r>
        <w:rPr>
          <w:rFonts w:hint="eastAsia" w:ascii="仿宋_GB2312" w:eastAsia="仿宋_GB2312" w:cs="Arial"/>
          <w:bCs w:val="0"/>
          <w:kern w:val="2"/>
          <w:szCs w:val="24"/>
          <w:lang w:val="en-US" w:eastAsia="zh-CN" w:bidi="ar-SA"/>
        </w:rPr>
        <w:t>4</w:t>
      </w:r>
      <w:r>
        <w:rPr>
          <w:rFonts w:hint="eastAsia" w:ascii="仿宋_GB2312" w:hAnsi="Times New Roman" w:eastAsia="仿宋_GB2312" w:cs="Arial"/>
          <w:bCs w:val="0"/>
          <w:kern w:val="2"/>
          <w:szCs w:val="24"/>
          <w:lang w:val="en-US" w:eastAsia="zh-CN" w:bidi="ar-SA"/>
        </w:rPr>
        <w:t>.</w:t>
      </w:r>
      <w:r>
        <w:rPr>
          <w:rFonts w:hint="eastAsia" w:ascii="仿宋_GB2312" w:eastAsia="仿宋_GB2312" w:cs="Arial"/>
          <w:bCs w:val="0"/>
          <w:kern w:val="2"/>
          <w:szCs w:val="24"/>
          <w:lang w:val="en-US" w:eastAsia="zh-CN" w:bidi="ar-SA"/>
        </w:rPr>
        <w:t>2</w:t>
      </w:r>
      <w:r>
        <w:rPr>
          <w:rFonts w:hint="eastAsia" w:ascii="仿宋_GB2312" w:hAnsi="Times New Roman" w:eastAsia="仿宋_GB2312" w:cs="Arial"/>
          <w:bCs w:val="0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仿宋_GB2312" w:eastAsia="仿宋_GB2312" w:cs="Arial"/>
          <w:bCs w:val="0"/>
          <w:kern w:val="2"/>
          <w:szCs w:val="24"/>
          <w:lang w:val="en-US" w:eastAsia="zh-CN" w:bidi="ar-SA"/>
        </w:rPr>
        <w:t>告警配置</w:t>
      </w:r>
      <w:r>
        <w:tab/>
      </w:r>
      <w:r>
        <w:fldChar w:fldCharType="begin"/>
      </w:r>
      <w:r>
        <w:instrText xml:space="preserve"> PAGEREF _Toc31929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_Toc24252 </w:instrText>
      </w:r>
      <w:r>
        <w:rPr>
          <w:rFonts w:hint="eastAsia"/>
        </w:rPr>
        <w:fldChar w:fldCharType="separate"/>
      </w:r>
      <w:r>
        <w:rPr>
          <w:rFonts w:hint="eastAsia" w:ascii="仿宋_GB2312" w:hAnsi="Times New Roman" w:eastAsia="仿宋_GB2312" w:cs="Arial"/>
          <w:bCs w:val="0"/>
          <w:kern w:val="2"/>
          <w:szCs w:val="24"/>
          <w:lang w:val="en-US" w:eastAsia="zh-CN" w:bidi="ar-SA"/>
        </w:rPr>
        <w:t>4.</w:t>
      </w:r>
      <w:r>
        <w:rPr>
          <w:rFonts w:hint="eastAsia" w:ascii="仿宋_GB2312" w:eastAsia="仿宋_GB2312" w:cs="Arial"/>
          <w:bCs w:val="0"/>
          <w:kern w:val="2"/>
          <w:szCs w:val="24"/>
          <w:lang w:val="en-US" w:eastAsia="zh-CN" w:bidi="ar-SA"/>
        </w:rPr>
        <w:t>4</w:t>
      </w:r>
      <w:r>
        <w:rPr>
          <w:rFonts w:hint="eastAsia" w:ascii="仿宋_GB2312" w:hAnsi="Times New Roman" w:eastAsia="仿宋_GB2312" w:cs="Arial"/>
          <w:bCs w:val="0"/>
          <w:kern w:val="2"/>
          <w:szCs w:val="24"/>
          <w:lang w:val="en-US" w:eastAsia="zh-CN" w:bidi="ar-SA"/>
        </w:rPr>
        <w:t>.</w:t>
      </w:r>
      <w:r>
        <w:rPr>
          <w:rFonts w:hint="eastAsia" w:ascii="仿宋_GB2312" w:eastAsia="仿宋_GB2312" w:cs="Arial"/>
          <w:bCs w:val="0"/>
          <w:kern w:val="2"/>
          <w:szCs w:val="24"/>
          <w:lang w:val="en-US" w:eastAsia="zh-CN" w:bidi="ar-SA"/>
        </w:rPr>
        <w:t>3</w:t>
      </w:r>
      <w:r>
        <w:rPr>
          <w:rFonts w:hint="eastAsia" w:ascii="仿宋_GB2312" w:hAnsi="Times New Roman" w:eastAsia="仿宋_GB2312" w:cs="Arial"/>
          <w:bCs w:val="0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仿宋_GB2312" w:eastAsia="仿宋_GB2312" w:cs="Arial"/>
          <w:bCs w:val="0"/>
          <w:kern w:val="2"/>
          <w:szCs w:val="24"/>
          <w:lang w:val="en-US" w:eastAsia="zh-CN" w:bidi="ar-SA"/>
        </w:rPr>
        <w:t>监控查询</w:t>
      </w:r>
      <w:r>
        <w:tab/>
      </w:r>
      <w:r>
        <w:fldChar w:fldCharType="begin"/>
      </w:r>
      <w:r>
        <w:instrText xml:space="preserve"> PAGEREF _Toc24252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_Toc7791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4.5 </w:t>
      </w:r>
      <w:r>
        <w:rPr>
          <w:rFonts w:hint="eastAsia"/>
          <w:lang w:val="en-US" w:eastAsia="zh-CN"/>
        </w:rPr>
        <w:t>权限管理</w:t>
      </w:r>
      <w:r>
        <w:tab/>
      </w:r>
      <w:r>
        <w:fldChar w:fldCharType="begin"/>
      </w:r>
      <w:r>
        <w:instrText xml:space="preserve"> PAGEREF _Toc7791 \h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_Toc28436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4.6 </w:t>
      </w:r>
      <w:r>
        <w:rPr>
          <w:rFonts w:hint="eastAsia"/>
          <w:lang w:val="en-US" w:eastAsia="zh-CN"/>
        </w:rPr>
        <w:t>帮助</w:t>
      </w:r>
      <w:r>
        <w:tab/>
      </w:r>
      <w:r>
        <w:fldChar w:fldCharType="begin"/>
      </w:r>
      <w:r>
        <w:instrText xml:space="preserve"> PAGEREF _Toc28436 \h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_Toc19228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4.7 </w:t>
      </w:r>
      <w:r>
        <w:rPr>
          <w:rFonts w:hint="eastAsia"/>
        </w:rPr>
        <w:t>登录</w:t>
      </w:r>
      <w:r>
        <w:tab/>
      </w:r>
      <w:r>
        <w:fldChar w:fldCharType="begin"/>
      </w:r>
      <w:r>
        <w:instrText xml:space="preserve"> PAGEREF _Toc19228 \h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_Toc5517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4.8 </w:t>
      </w:r>
      <w:r>
        <w:rPr>
          <w:rFonts w:hint="eastAsia"/>
        </w:rPr>
        <w:t>注册</w:t>
      </w:r>
      <w:r>
        <w:tab/>
      </w:r>
      <w:r>
        <w:fldChar w:fldCharType="begin"/>
      </w:r>
      <w:r>
        <w:instrText xml:space="preserve"> PAGEREF _Toc5517 \h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  <w:ind w:left="0" w:leftChars="0" w:firstLine="0" w:firstLineChars="0"/>
      </w:pPr>
      <w:r>
        <w:rPr>
          <w:rFonts w:hint="eastAsia"/>
        </w:rPr>
        <w:fldChar w:fldCharType="end"/>
      </w:r>
    </w:p>
    <w:p>
      <w:pPr>
        <w:ind w:firstLine="640"/>
      </w:pPr>
      <w:bookmarkStart w:id="17" w:name="_GoBack"/>
      <w:bookmarkEnd w:id="17"/>
    </w:p>
    <w:p>
      <w:pPr>
        <w:ind w:firstLine="640"/>
      </w:pPr>
    </w:p>
    <w:p>
      <w:pPr>
        <w:ind w:firstLine="640"/>
      </w:pPr>
    </w:p>
    <w:p>
      <w:pPr>
        <w:ind w:firstLine="640"/>
      </w:pPr>
      <w:bookmarkStart w:id="0" w:name="_Toc144219870"/>
      <w:r>
        <w:rPr>
          <w:rFonts w:hint="eastAsia"/>
        </w:rPr>
        <w:br w:type="page"/>
      </w:r>
    </w:p>
    <w:p>
      <w:pPr>
        <w:pStyle w:val="2"/>
        <w:numPr>
          <w:ilvl w:val="0"/>
          <w:numId w:val="1"/>
        </w:numPr>
      </w:pPr>
      <w:bookmarkStart w:id="1" w:name="_Toc28286"/>
      <w:r>
        <w:rPr>
          <w:rFonts w:hint="eastAsia"/>
        </w:rPr>
        <w:t>引言</w:t>
      </w:r>
      <w:bookmarkEnd w:id="0"/>
      <w:bookmarkEnd w:id="1"/>
    </w:p>
    <w:p>
      <w:pPr>
        <w:ind w:firstLine="640"/>
        <w:rPr>
          <w:rFonts w:hint="eastAsia"/>
        </w:rPr>
      </w:pPr>
      <w:r>
        <w:rPr>
          <w:rFonts w:hint="eastAsia"/>
        </w:rPr>
        <w:t>随着科学技术的不断进步和工业生产对精确度的日益提高，液体处理设备在医药、生物科技、食品加工、化学分析等众多领域扮演着越来越重要的角色。其中，加液操作的精确度和稳定性对于确保产品质量、提升生产效率以及保障操作安全至关重要。</w:t>
      </w:r>
    </w:p>
    <w:p>
      <w:pPr>
        <w:ind w:firstLine="640"/>
        <w:rPr>
          <w:rFonts w:hint="eastAsia"/>
        </w:rPr>
      </w:pPr>
      <w:r>
        <w:rPr>
          <w:rFonts w:hint="eastAsia"/>
        </w:rPr>
        <w:t>为了实现对加液设备性能的有效监控和管理，NH-VANTAGE仪器加液校验程序系统应运而生。该系统通过集成先进的控制算法和精密传感器技术，能够对加液过程中的各项参数进行精确测量和实时分析，从而确保加液操作的准确性和一致性。</w:t>
      </w:r>
    </w:p>
    <w:p>
      <w:pPr>
        <w:ind w:firstLine="640"/>
        <w:rPr>
          <w:rFonts w:hint="eastAsia"/>
        </w:rPr>
      </w:pPr>
      <w:r>
        <w:rPr>
          <w:rFonts w:hint="eastAsia"/>
        </w:rPr>
        <w:t>NH-VANTAGE仪器加液校验程序系统不仅具备高度的自动化和智能化特点，而且操作简便、功能全面。它能够快速识别潜在的故障和误差，提供及时的报警和故障定位，帮助用户迅速解决问题，提高生产效率。同时，该系统还能够生成详细的校验报告和数据统计，为用户提供全面的数据支持和分析依据。</w:t>
      </w:r>
    </w:p>
    <w:p>
      <w:pPr>
        <w:ind w:firstLine="640"/>
      </w:pPr>
      <w:r>
        <w:rPr>
          <w:rFonts w:hint="eastAsia"/>
        </w:rPr>
        <w:t>总之，NH-VANTAGE仪器加液校验程序系统是一款高效、精准、可靠的液体处理校验工具，它将为各行业的液体处理设备提供强大的技术支持和保障，推动工业生产向更高水平迈进。</w:t>
      </w:r>
      <w:r>
        <w:rPr>
          <w:rFonts w:hint="eastAsia"/>
        </w:rPr>
        <w:br w:type="page"/>
      </w:r>
    </w:p>
    <w:p>
      <w:pPr>
        <w:pStyle w:val="2"/>
        <w:numPr>
          <w:ilvl w:val="0"/>
          <w:numId w:val="1"/>
        </w:numPr>
      </w:pPr>
      <w:bookmarkStart w:id="2" w:name="_Toc17951"/>
      <w:r>
        <w:rPr>
          <w:rFonts w:hint="eastAsia"/>
        </w:rPr>
        <w:t>系统介绍</w:t>
      </w:r>
      <w:bookmarkEnd w:id="2"/>
    </w:p>
    <w:p>
      <w:pPr>
        <w:ind w:firstLine="640"/>
        <w:rPr>
          <w:rFonts w:hint="eastAsia"/>
        </w:rPr>
      </w:pPr>
      <w:r>
        <w:rPr>
          <w:rFonts w:hint="eastAsia"/>
        </w:rPr>
        <w:t>NH-VANTAGE仪器加液校验程序系统NH-VANTAGE仪器加液校验程序系统是一款专为液体处理设备设计的校验工具，旨在确保加液操作的精确性、稳定性和安全性。该系统结合了先进的控制算法、精密传感器技术和智能化数据分析，为液体处理设备提供全面、高效的校验解决方案。</w:t>
      </w:r>
    </w:p>
    <w:p>
      <w:pPr>
        <w:ind w:firstLine="640"/>
        <w:rPr>
          <w:rFonts w:hint="eastAsia"/>
        </w:rPr>
      </w:pPr>
      <w:r>
        <w:rPr>
          <w:rFonts w:hint="eastAsia"/>
        </w:rPr>
        <w:t>NH-VANTAGE仪器加液校验程序系统广泛应用于医药、生物科技、食品加工、化学分析等领域，为各类液体处理设备提供精确的校验服务，确保产品质量和生产效率。</w:t>
      </w:r>
    </w:p>
    <w:p>
      <w:pPr>
        <w:ind w:firstLine="640"/>
      </w:pPr>
      <w:r>
        <w:rPr>
          <w:rFonts w:hint="eastAsia"/>
        </w:rPr>
        <w:t>总之，NH-VANTAGE仪器加液校验程序系统是一款集高精度测量、智能化控制、实时数据分析和故障检测于一体的先进校验工具，将为各行业的液体处理设备提供可靠的技术保障和支持。</w:t>
      </w:r>
      <w:r>
        <w:rPr>
          <w:rFonts w:hint="eastAsia"/>
        </w:rPr>
        <w:br w:type="page"/>
      </w:r>
    </w:p>
    <w:p>
      <w:pPr>
        <w:pStyle w:val="2"/>
        <w:numPr>
          <w:ilvl w:val="0"/>
          <w:numId w:val="1"/>
        </w:numPr>
      </w:pPr>
      <w:bookmarkStart w:id="3" w:name="_Toc513"/>
      <w:r>
        <w:rPr>
          <w:rFonts w:hint="eastAsia"/>
        </w:rPr>
        <w:t>技术概述</w:t>
      </w:r>
      <w:bookmarkEnd w:id="3"/>
    </w:p>
    <w:p>
      <w:pPr>
        <w:bidi w:val="0"/>
        <w:rPr>
          <w:rFonts w:hint="eastAsia"/>
        </w:rPr>
      </w:pPr>
      <w:r>
        <w:rPr>
          <w:rFonts w:hint="eastAsia"/>
        </w:rPr>
        <w:t>SpringBoot框架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Boot是一款开箱即用框架，提供各种默认配置来简化项目配置。它遵循"约定优先于配置"的原则， 使用SpringBoot只需很少的配置，大部分的时候直接使用默认的配置即可。同时可以与Spring Cloud的微服务无缝结合。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Security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Security是一个为基于Spring的企业应用系统提供声明式的安全访问控制解决方案的安全框架。它提供了一组可以在Spring应用上下文中配置的Bean，充分利用了Spring的IoC、DI（依赖注入）和AOP（面向切面编程）功能，为应用系统提供声明式的安全访问控制功能，减少了为企业系统安全控制编写大量重复代码的工作。它主要关注“认证”和“授权”这两个方面，这是Web应用安全性的两个主要领域。通过使用Spring Security，企业可以更加容易地实现用户认证和授权管理，提高应用系统的安全性。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MyBatis</w:t>
      </w:r>
      <w:r>
        <w:rPr>
          <w:rFonts w:hint="eastAsia"/>
        </w:rPr>
        <w:t>框架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是支持普通 SQL查询，</w:t>
      </w:r>
      <w:r>
        <w:rPr>
          <w:rFonts w:hint="eastAsia"/>
          <w:lang w:val="en-US" w:eastAsia="zh-CN"/>
        </w:rPr>
        <w:fldChar w:fldCharType="begin"/>
      </w:r>
      <w:r>
        <w:instrText xml:space="preserve">HYPERLINK "https://baike.baidu.com/item/%E5%AD%98%E5%82%A8%E8%BF%87%E7%A8%8B/1240317?fromModule=lemma_inlink"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存储过程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和高级映射的优秀</w:t>
      </w:r>
      <w:r>
        <w:rPr>
          <w:rFonts w:hint="eastAsia"/>
          <w:lang w:val="en-US" w:eastAsia="zh-CN"/>
        </w:rPr>
        <w:fldChar w:fldCharType="begin"/>
      </w:r>
      <w:r>
        <w:instrText xml:space="preserve">HYPERLINK "https://baike.baidu.com/item/%E6%8C%81%E4%B9%85%E5%B1%82/3584971?fromModule=lemma_inlink"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持久层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框架。MyBatis 消除了几乎所有的</w:t>
      </w:r>
      <w:r>
        <w:rPr>
          <w:rFonts w:hint="eastAsia"/>
          <w:lang w:val="en-US" w:eastAsia="zh-CN"/>
        </w:rPr>
        <w:fldChar w:fldCharType="begin"/>
      </w:r>
      <w:r>
        <w:instrText xml:space="preserve">HYPERLINK "https://baike.baidu.com/item/JDBC/485214?fromModule=lemma_inlink"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JDBC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代码和参数的手工设置以及</w:t>
      </w:r>
      <w:r>
        <w:rPr>
          <w:rFonts w:hint="eastAsia"/>
          <w:lang w:val="en-US" w:eastAsia="zh-CN"/>
        </w:rPr>
        <w:fldChar w:fldCharType="begin"/>
      </w:r>
      <w:r>
        <w:instrText xml:space="preserve">HYPERLINK "https://baike.baidu.com/item/%E7%BB%93%E6%9E%9C%E9%9B%86/11040011?fromModule=lemma_inlink"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结果集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的检索。MyBatis 使用简单的 XML或注解用于配置和原始映射，将接口和 Java 的</w:t>
      </w:r>
      <w:r>
        <w:rPr>
          <w:rFonts w:hint="eastAsia"/>
          <w:lang w:val="en-US" w:eastAsia="zh-CN"/>
        </w:rPr>
        <w:fldChar w:fldCharType="begin"/>
      </w:r>
      <w:r>
        <w:instrText xml:space="preserve">HYPERLINK "https://baike.baidu.com/item/POJOs/6656035?fromModule=lemma_inlink"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POJOs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（Plain Ordinary Java Objects，普通的 Java对象）映射成数据库中的记录。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是一个流行的开源关系型数据库管理系统（RDBMS）。它使用结构化查询语言（SQL）来创建、修改和管理数据库。MySQL具有高性能、可扩展性和易用性等特点，广泛应用于各种应用场景，包括Web应用、企业级应用和大数据分析等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Redis（Remote Dictionary Server）是一个开源的使用ANSI C语言编写、支持网络、可基于内存亦可持久化的日志型、Key-Value数据库，并提供多种语言的API。它支持存储的value类型相对更多，包括string（字符串）、list（链表）、set（集合）、zset（sorted set --有序集合）和hash（哈希类型）。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RabbitMQ是一个开源的消息代理软件，用于在分布式系统中发送和接收消息。它实现了AMQP（Advanced Message Queuing Protocol）协议，并支持多种语言和平台。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Cache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Cache 是一个用于简化应用程序中缓存管理的抽象层。它为开发者提供了一种声明式的方式来使用缓存，使得缓存逻辑与业务逻辑解耦，从而简化应用程序的开发和性能优化。</w:t>
      </w:r>
    </w:p>
    <w:p>
      <w:pPr>
        <w:bidi w:val="0"/>
        <w:rPr>
          <w:rFonts w:hint="eastAsia"/>
        </w:rPr>
      </w:pPr>
      <w:r>
        <w:rPr>
          <w:rFonts w:hint="eastAsia"/>
        </w:rPr>
        <w:t>前端技术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Vue、Ant Design Pro、axios、vue-router、Vuex</w:t>
      </w:r>
    </w:p>
    <w:p>
      <w:pPr>
        <w:pStyle w:val="2"/>
        <w:keepNext/>
        <w:keepLines/>
        <w:pageBreakBefore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ind w:left="425" w:hanging="425"/>
        <w:textAlignment w:val="auto"/>
      </w:pPr>
      <w:bookmarkStart w:id="4" w:name="_Toc18363"/>
      <w:r>
        <w:rPr>
          <w:rFonts w:hint="eastAsia"/>
        </w:rPr>
        <w:t>功能介绍</w:t>
      </w:r>
      <w:bookmarkEnd w:id="4"/>
    </w:p>
    <w:p>
      <w:pPr>
        <w:pStyle w:val="3"/>
        <w:numPr>
          <w:ilvl w:val="1"/>
          <w:numId w:val="2"/>
        </w:numPr>
      </w:pPr>
      <w:bookmarkStart w:id="5" w:name="_Toc1367"/>
      <w:r>
        <w:rPr>
          <w:rFonts w:hint="eastAsia"/>
          <w:lang w:val="en-US" w:eastAsia="zh-CN"/>
        </w:rPr>
        <w:t>可观测性平台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可观测性平台界面，通过大数据可视化方案。可以直观的查看当前校验程序的实时情况。报错处理次数、程序合格率、告警信息等。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4032250"/>
            <wp:effectExtent l="0" t="0" r="8890" b="635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</w:rPr>
      </w:pPr>
    </w:p>
    <w:p>
      <w:pPr>
        <w:pStyle w:val="3"/>
        <w:keepNext/>
        <w:keepLines/>
        <w:pageBreakBefore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567" w:hanging="567"/>
        <w:textAlignment w:val="auto"/>
      </w:pPr>
      <w:bookmarkStart w:id="6" w:name="_Toc28502"/>
      <w:r>
        <w:rPr>
          <w:rFonts w:hint="eastAsia"/>
          <w:lang w:val="en-US" w:eastAsia="zh-CN"/>
        </w:rPr>
        <w:t>项目管理</w:t>
      </w:r>
      <w:bookmarkEnd w:id="6"/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项目管理模块，帮助团队进行项目管理。用户可以在这个界面检索到所有的自己权限下的相关项目。并在拥有权限的前提下，进行编辑。点击编辑之后，用户可以在编辑界面，进行当前项目下的实验的相关配置编辑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2585085"/>
            <wp:effectExtent l="0" t="0" r="14605" b="571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keepNext/>
        <w:keepLines/>
        <w:pageBreakBefore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567" w:hanging="567"/>
        <w:textAlignment w:val="auto"/>
        <w:rPr>
          <w:rFonts w:hint="eastAsia"/>
        </w:rPr>
      </w:pPr>
      <w:bookmarkStart w:id="7" w:name="_Toc6994"/>
      <w:r>
        <w:rPr>
          <w:rFonts w:hint="eastAsia"/>
          <w:lang w:val="en-US" w:eastAsia="zh-CN"/>
        </w:rPr>
        <w:t>发布管理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每个项目下的每个实验，都会有不同的加液过程配置。在对项目管理中的单个实验中进行配置之后，需要用户进行发布，才能正常操作。发布管理界面，用于管理这些配置的发布流程。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639185"/>
            <wp:effectExtent l="0" t="0" r="6350" b="1841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pStyle w:val="3"/>
        <w:keepNext/>
        <w:keepLines/>
        <w:pageBreakBefore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567" w:hanging="567"/>
        <w:textAlignment w:val="auto"/>
      </w:pPr>
      <w:bookmarkStart w:id="8" w:name="_Toc8735"/>
      <w:r>
        <w:rPr>
          <w:rFonts w:hint="eastAsia"/>
          <w:lang w:val="en-US" w:eastAsia="zh-CN"/>
        </w:rPr>
        <w:t>监控告警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实时监控加液校验程序的运行状态，并在发现异常的时候，并且在发现异常的时候，及时发出告警，以便于平台管理者能够及时作出迅速的响应。</w:t>
      </w:r>
    </w:p>
    <w:p>
      <w:pPr>
        <w:pStyle w:val="4"/>
        <w:bidi w:val="0"/>
        <w:rPr>
          <w:rFonts w:hint="eastAsia" w:ascii="仿宋_GB2312" w:eastAsia="仿宋_GB2312" w:cs="Arial"/>
          <w:b w:val="0"/>
          <w:bCs w:val="0"/>
          <w:kern w:val="2"/>
          <w:sz w:val="32"/>
          <w:szCs w:val="24"/>
          <w:lang w:val="en-US" w:eastAsia="zh-CN" w:bidi="ar-SA"/>
        </w:rPr>
      </w:pPr>
      <w:bookmarkStart w:id="9" w:name="_Toc21350"/>
      <w:r>
        <w:rPr>
          <w:rFonts w:hint="eastAsia" w:ascii="仿宋_GB2312" w:hAnsi="Times New Roman" w:eastAsia="仿宋_GB2312" w:cs="Arial"/>
          <w:b w:val="0"/>
          <w:bCs w:val="0"/>
          <w:kern w:val="2"/>
          <w:sz w:val="32"/>
          <w:szCs w:val="24"/>
          <w:lang w:val="en-US" w:eastAsia="zh-CN" w:bidi="ar-SA"/>
        </w:rPr>
        <w:t>4.</w:t>
      </w:r>
      <w:r>
        <w:rPr>
          <w:rFonts w:hint="eastAsia" w:ascii="仿宋_GB2312" w:eastAsia="仿宋_GB2312" w:cs="Arial"/>
          <w:b w:val="0"/>
          <w:bCs w:val="0"/>
          <w:kern w:val="2"/>
          <w:sz w:val="32"/>
          <w:szCs w:val="24"/>
          <w:lang w:val="en-US" w:eastAsia="zh-CN" w:bidi="ar-SA"/>
        </w:rPr>
        <w:t>4</w:t>
      </w:r>
      <w:r>
        <w:rPr>
          <w:rFonts w:hint="eastAsia" w:ascii="仿宋_GB2312" w:hAnsi="Times New Roman" w:eastAsia="仿宋_GB2312" w:cs="Arial"/>
          <w:b w:val="0"/>
          <w:bCs w:val="0"/>
          <w:kern w:val="2"/>
          <w:sz w:val="32"/>
          <w:szCs w:val="24"/>
          <w:lang w:val="en-US" w:eastAsia="zh-CN" w:bidi="ar-SA"/>
        </w:rPr>
        <w:t xml:space="preserve">.1 </w:t>
      </w:r>
      <w:r>
        <w:rPr>
          <w:rFonts w:hint="eastAsia" w:ascii="仿宋_GB2312" w:eastAsia="仿宋_GB2312" w:cs="Arial"/>
          <w:b w:val="0"/>
          <w:bCs w:val="0"/>
          <w:kern w:val="2"/>
          <w:sz w:val="32"/>
          <w:szCs w:val="24"/>
          <w:lang w:val="en-US" w:eastAsia="zh-CN" w:bidi="ar-SA"/>
        </w:rPr>
        <w:t>告警记录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监控告警模块会详细记录每一次的告警信息，包括告警时间、告警内容、告警级别等。这些日志信息对于后续的问题排查和性能优化具有重要的参考价值。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3496945"/>
            <wp:effectExtent l="0" t="0" r="13335" b="825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 w:ascii="仿宋_GB2312" w:eastAsia="仿宋_GB2312" w:cs="Arial"/>
          <w:b w:val="0"/>
          <w:bCs w:val="0"/>
          <w:kern w:val="2"/>
          <w:sz w:val="32"/>
          <w:szCs w:val="24"/>
          <w:lang w:val="en-US" w:eastAsia="zh-CN" w:bidi="ar-SA"/>
        </w:rPr>
      </w:pPr>
      <w:bookmarkStart w:id="10" w:name="_Toc31929"/>
      <w:r>
        <w:rPr>
          <w:rFonts w:hint="eastAsia" w:ascii="仿宋_GB2312" w:hAnsi="Times New Roman" w:eastAsia="仿宋_GB2312" w:cs="Arial"/>
          <w:b w:val="0"/>
          <w:bCs w:val="0"/>
          <w:kern w:val="2"/>
          <w:sz w:val="32"/>
          <w:szCs w:val="24"/>
          <w:lang w:val="en-US" w:eastAsia="zh-CN" w:bidi="ar-SA"/>
        </w:rPr>
        <w:t>4.</w:t>
      </w:r>
      <w:r>
        <w:rPr>
          <w:rFonts w:hint="eastAsia" w:ascii="仿宋_GB2312" w:eastAsia="仿宋_GB2312" w:cs="Arial"/>
          <w:b w:val="0"/>
          <w:bCs w:val="0"/>
          <w:kern w:val="2"/>
          <w:sz w:val="32"/>
          <w:szCs w:val="24"/>
          <w:lang w:val="en-US" w:eastAsia="zh-CN" w:bidi="ar-SA"/>
        </w:rPr>
        <w:t>4</w:t>
      </w:r>
      <w:r>
        <w:rPr>
          <w:rFonts w:hint="eastAsia" w:ascii="仿宋_GB2312" w:hAnsi="Times New Roman" w:eastAsia="仿宋_GB2312" w:cs="Arial"/>
          <w:b w:val="0"/>
          <w:bCs w:val="0"/>
          <w:kern w:val="2"/>
          <w:sz w:val="32"/>
          <w:szCs w:val="24"/>
          <w:lang w:val="en-US" w:eastAsia="zh-CN" w:bidi="ar-SA"/>
        </w:rPr>
        <w:t>.</w:t>
      </w:r>
      <w:r>
        <w:rPr>
          <w:rFonts w:hint="eastAsia" w:ascii="仿宋_GB2312" w:eastAsia="仿宋_GB2312" w:cs="Arial"/>
          <w:b w:val="0"/>
          <w:bCs w:val="0"/>
          <w:kern w:val="2"/>
          <w:sz w:val="32"/>
          <w:szCs w:val="24"/>
          <w:lang w:val="en-US" w:eastAsia="zh-CN" w:bidi="ar-SA"/>
        </w:rPr>
        <w:t>2</w:t>
      </w:r>
      <w:r>
        <w:rPr>
          <w:rFonts w:hint="eastAsia" w:ascii="仿宋_GB2312" w:hAnsi="Times New Roman" w:eastAsia="仿宋_GB2312" w:cs="Arial"/>
          <w:b w:val="0"/>
          <w:bCs w:val="0"/>
          <w:kern w:val="2"/>
          <w:sz w:val="32"/>
          <w:szCs w:val="24"/>
          <w:lang w:val="en-US" w:eastAsia="zh-CN" w:bidi="ar-SA"/>
        </w:rPr>
        <w:t xml:space="preserve"> </w:t>
      </w:r>
      <w:r>
        <w:rPr>
          <w:rFonts w:hint="eastAsia" w:ascii="仿宋_GB2312" w:eastAsia="仿宋_GB2312" w:cs="Arial"/>
          <w:b w:val="0"/>
          <w:bCs w:val="0"/>
          <w:kern w:val="2"/>
          <w:sz w:val="32"/>
          <w:szCs w:val="24"/>
          <w:lang w:val="en-US" w:eastAsia="zh-CN" w:bidi="ar-SA"/>
        </w:rPr>
        <w:t>告警配置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为了满足不同学习者和平台管理者的需求，监控告警模块还支持自定义告警规则。用户和平台管理者可以根据自己的需求和经验，设置个性化的告警条件，以便更好地监控系统的运行状态。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0340" cy="3710305"/>
            <wp:effectExtent l="0" t="0" r="16510" b="444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 w:ascii="仿宋_GB2312" w:eastAsia="仿宋_GB2312" w:cs="Arial"/>
          <w:b w:val="0"/>
          <w:bCs w:val="0"/>
          <w:kern w:val="2"/>
          <w:sz w:val="32"/>
          <w:szCs w:val="24"/>
          <w:lang w:val="en-US" w:eastAsia="zh-CN" w:bidi="ar-SA"/>
        </w:rPr>
      </w:pPr>
      <w:bookmarkStart w:id="11" w:name="_Toc24252"/>
      <w:r>
        <w:rPr>
          <w:rFonts w:hint="eastAsia" w:ascii="仿宋_GB2312" w:hAnsi="Times New Roman" w:eastAsia="仿宋_GB2312" w:cs="Arial"/>
          <w:b w:val="0"/>
          <w:bCs w:val="0"/>
          <w:kern w:val="2"/>
          <w:sz w:val="32"/>
          <w:szCs w:val="24"/>
          <w:lang w:val="en-US" w:eastAsia="zh-CN" w:bidi="ar-SA"/>
        </w:rPr>
        <w:t>4.</w:t>
      </w:r>
      <w:r>
        <w:rPr>
          <w:rFonts w:hint="eastAsia" w:ascii="仿宋_GB2312" w:eastAsia="仿宋_GB2312" w:cs="Arial"/>
          <w:b w:val="0"/>
          <w:bCs w:val="0"/>
          <w:kern w:val="2"/>
          <w:sz w:val="32"/>
          <w:szCs w:val="24"/>
          <w:lang w:val="en-US" w:eastAsia="zh-CN" w:bidi="ar-SA"/>
        </w:rPr>
        <w:t>4</w:t>
      </w:r>
      <w:r>
        <w:rPr>
          <w:rFonts w:hint="eastAsia" w:ascii="仿宋_GB2312" w:hAnsi="Times New Roman" w:eastAsia="仿宋_GB2312" w:cs="Arial"/>
          <w:b w:val="0"/>
          <w:bCs w:val="0"/>
          <w:kern w:val="2"/>
          <w:sz w:val="32"/>
          <w:szCs w:val="24"/>
          <w:lang w:val="en-US" w:eastAsia="zh-CN" w:bidi="ar-SA"/>
        </w:rPr>
        <w:t>.</w:t>
      </w:r>
      <w:r>
        <w:rPr>
          <w:rFonts w:hint="eastAsia" w:ascii="仿宋_GB2312" w:eastAsia="仿宋_GB2312" w:cs="Arial"/>
          <w:b w:val="0"/>
          <w:bCs w:val="0"/>
          <w:kern w:val="2"/>
          <w:sz w:val="32"/>
          <w:szCs w:val="24"/>
          <w:lang w:val="en-US" w:eastAsia="zh-CN" w:bidi="ar-SA"/>
        </w:rPr>
        <w:t>3</w:t>
      </w:r>
      <w:r>
        <w:rPr>
          <w:rFonts w:hint="eastAsia" w:ascii="仿宋_GB2312" w:hAnsi="Times New Roman" w:eastAsia="仿宋_GB2312" w:cs="Arial"/>
          <w:b w:val="0"/>
          <w:bCs w:val="0"/>
          <w:kern w:val="2"/>
          <w:sz w:val="32"/>
          <w:szCs w:val="24"/>
          <w:lang w:val="en-US" w:eastAsia="zh-CN" w:bidi="ar-SA"/>
        </w:rPr>
        <w:t xml:space="preserve"> </w:t>
      </w:r>
      <w:r>
        <w:rPr>
          <w:rFonts w:hint="eastAsia" w:ascii="仿宋_GB2312" w:eastAsia="仿宋_GB2312" w:cs="Arial"/>
          <w:b w:val="0"/>
          <w:bCs w:val="0"/>
          <w:kern w:val="2"/>
          <w:sz w:val="32"/>
          <w:szCs w:val="24"/>
          <w:lang w:val="en-US" w:eastAsia="zh-CN" w:bidi="ar-SA"/>
        </w:rPr>
        <w:t>监控查询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监控某短时间的历史运行数据，并且以图表的形式向用户展示出来。在图表中就可以很明显的观察到，系统负载数值变化巨大的时间。从而快速定位到异常原因。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778250"/>
            <wp:effectExtent l="0" t="0" r="6350" b="1270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0" w:leftChars="0" w:firstLine="0" w:firstLineChars="0"/>
      </w:pPr>
    </w:p>
    <w:p>
      <w:pPr>
        <w:pStyle w:val="3"/>
        <w:keepNext/>
        <w:keepLines/>
        <w:pageBreakBefore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567" w:hanging="567"/>
        <w:textAlignment w:val="auto"/>
      </w:pPr>
      <w:bookmarkStart w:id="12" w:name="_Toc7791"/>
      <w:r>
        <w:rPr>
          <w:rFonts w:hint="eastAsia"/>
          <w:lang w:val="en-US" w:eastAsia="zh-CN"/>
        </w:rPr>
        <w:t>权限管理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对系统所有用户进行权限管理。每个用户只能查询到自己所拥有的权限的相关项目和实验组信息。避免用户信息的泄露问题。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186430"/>
            <wp:effectExtent l="0" t="0" r="3810" b="1397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567" w:hanging="567"/>
        <w:textAlignment w:val="auto"/>
      </w:pPr>
      <w:bookmarkStart w:id="13" w:name="_Toc26683"/>
      <w:bookmarkStart w:id="14" w:name="_Toc28436"/>
      <w:r>
        <w:rPr>
          <w:rFonts w:hint="eastAsia"/>
          <w:lang w:val="en-US" w:eastAsia="zh-CN"/>
        </w:rPr>
        <w:t>帮助</w:t>
      </w:r>
      <w:bookmarkEnd w:id="13"/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提供用户帮助支持功能。包括常见问题解答(FAQ)，在线帮助文档和联系客服人员等。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912870"/>
            <wp:effectExtent l="0" t="0" r="3810" b="1143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3"/>
        <w:keepNext/>
        <w:keepLines/>
        <w:pageBreakBefore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567" w:hanging="567"/>
        <w:textAlignment w:val="auto"/>
      </w:pPr>
      <w:bookmarkStart w:id="15" w:name="_Toc19228"/>
      <w:r>
        <w:rPr>
          <w:rFonts w:hint="eastAsia"/>
        </w:rPr>
        <w:t>登录</w:t>
      </w:r>
      <w:bookmarkEnd w:id="15"/>
    </w:p>
    <w:p>
      <w:pPr>
        <w:bidi w:val="0"/>
      </w:pPr>
      <w:r>
        <w:rPr>
          <w:rFonts w:hint="eastAsia"/>
          <w:lang w:val="en-US" w:eastAsia="zh-CN"/>
        </w:rPr>
        <w:t>用户在登录界面，平台提供三种登录方式。一是平台提供了账号和密码输入框，用户可以通过输入账号和密码进行登录。</w:t>
      </w:r>
    </w:p>
    <w:p>
      <w:pPr>
        <w:ind w:firstLine="0" w:firstLineChars="0"/>
      </w:pPr>
      <w:r>
        <w:drawing>
          <wp:inline distT="0" distB="0" distL="114300" distR="114300">
            <wp:extent cx="5266690" cy="3041015"/>
            <wp:effectExtent l="0" t="0" r="10160" b="698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二是平台提供手机号登录。用户通过输入手机号，获得验证码并且输入验证进行登录。</w:t>
      </w:r>
    </w:p>
    <w:p>
      <w:pPr>
        <w:ind w:firstLine="0" w:firstLineChars="0"/>
      </w:pPr>
      <w:r>
        <w:drawing>
          <wp:inline distT="0" distB="0" distL="114300" distR="114300">
            <wp:extent cx="5271135" cy="2865755"/>
            <wp:effectExtent l="0" t="0" r="5715" b="1079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如果没有账号，提供跳转注册账户入口，通过点击“注册账户”按钮，进行界面跳转前往账号注册。如果忘记密码，提供密码找回服务，通过点击“找回密码”按钮，进行界面跳转前往密码修改界面。</w:t>
      </w:r>
    </w:p>
    <w:p>
      <w:pPr>
        <w:pStyle w:val="3"/>
        <w:keepNext/>
        <w:keepLines/>
        <w:pageBreakBefore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567" w:hanging="567"/>
        <w:textAlignment w:val="auto"/>
      </w:pPr>
      <w:bookmarkStart w:id="16" w:name="_Toc5517"/>
      <w:r>
        <w:rPr>
          <w:rFonts w:hint="eastAsia"/>
        </w:rPr>
        <w:t>注册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用户在注册界面，可以通过输入邮箱、密码、手机号和验证码进行注册。</w:t>
      </w:r>
    </w:p>
    <w:p>
      <w:pPr>
        <w:ind w:left="0" w:leftChars="0" w:firstLine="0" w:firstLineChars="0"/>
        <w:rPr>
          <w:rFonts w:hint="eastAsia" w:eastAsia="仿宋_GB2312"/>
          <w:lang w:eastAsia="zh-CN"/>
        </w:rPr>
      </w:pPr>
      <w:r>
        <w:drawing>
          <wp:inline distT="0" distB="0" distL="114300" distR="114300">
            <wp:extent cx="5273675" cy="3457575"/>
            <wp:effectExtent l="0" t="0" r="3175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5" w:h="16840"/>
      <w:pgMar w:top="1440" w:right="1800" w:bottom="1440" w:left="1800" w:header="720" w:footer="720" w:gutter="0"/>
      <w:pgNumType w:chapStyle="1"/>
      <w:cols w:space="720" w:num="1"/>
      <w:docGrid w:linePitch="43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enter" w:pos="4332"/>
        <w:tab w:val="clear" w:pos="4153"/>
        <w:tab w:val="clear" w:pos="8306"/>
      </w:tabs>
      <w:ind w:firstLine="360"/>
    </w:pPr>
    <w:r>
      <mc:AlternateContent>
        <mc:Choice Requires="wps">
          <w:drawing>
            <wp:anchor distT="0" distB="0" distL="113665" distR="113665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90195" cy="22225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322" cy="222027"/>
                      </a:xfrm>
                      <a:prstGeom prst="rect">
                        <a:avLst/>
                      </a:prstGeom>
                      <a:noFill/>
                      <a:ln w="6350" cap="flat" cmpd="sng">
                        <a:noFill/>
                        <a:prstDash val="solid"/>
                        <a:round/>
                      </a:ln>
                    </wps:spPr>
                    <wps:txbx>
                      <w:txbxContent>
                        <w:p>
                          <w:pPr>
                            <w:pStyle w:val="7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4" o:spid="_x0000_s1026" o:spt="1" style="position:absolute;left:0pt;margin-top:0pt;height:17.5pt;width:22.85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L4E629cAAAADAQAADwAAAAAAAAABACAAAAAiAAAAZHJzL2Rvd25yZXYu&#10;eG1sUEsBAhQAFAAAAAgAh07iQPrT3dT8AQAA6AMAAA4AAAAAAAAAAQAgAAAAJgEAAGRycy9lMm9E&#10;b2MueG1sUEsFBgAAAAAGAAYAWQEAAJQFAAAAAA==&#10;">
              <v:fill on="f" focussize="0,0"/>
              <v:stroke on="f" weight="0.5pt" joinstyle="round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640"/>
      </w:pPr>
      <w:r>
        <w:separator/>
      </w:r>
    </w:p>
  </w:footnote>
  <w:footnote w:type="continuationSeparator" w:id="1">
    <w:p>
      <w:pPr>
        <w:spacing w:line="36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000000" w:sz="4" w:space="0"/>
      </w:pBdr>
      <w:spacing w:before="120" w:after="120" w:line="288" w:lineRule="auto"/>
      <w:ind w:firstLine="400"/>
      <w:rPr>
        <w:rFonts w:ascii="等线" w:eastAsia="等线" w:cs="等线"/>
        <w:bCs/>
        <w:sz w:val="20"/>
        <w:szCs w:val="20"/>
        <w:u w:val="single"/>
      </w:rPr>
    </w:pPr>
    <w:r>
      <w:rPr>
        <w:sz w:val="20"/>
      </w:rPr>
      <mc:AlternateContent>
        <mc:Choice Requires="wps">
          <w:drawing>
            <wp:anchor distT="0" distB="0" distL="113665" distR="113665" simplePos="0" relativeHeight="251659264" behindDoc="0" locked="0" layoutInCell="1" allowOverlap="1">
              <wp:simplePos x="0" y="0"/>
              <wp:positionH relativeFrom="margin">
                <wp:posOffset>4097655</wp:posOffset>
              </wp:positionH>
              <wp:positionV relativeFrom="paragraph">
                <wp:posOffset>99695</wp:posOffset>
              </wp:positionV>
              <wp:extent cx="1001395" cy="16192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1267" cy="161925"/>
                      </a:xfrm>
                      <a:prstGeom prst="rect">
                        <a:avLst/>
                      </a:prstGeom>
                      <a:noFill/>
                      <a:ln w="6350" cap="flat" cmpd="sng">
                        <a:noFill/>
                        <a:prstDash val="solid"/>
                        <a:round/>
                      </a:ln>
                    </wps:spPr>
                    <wps:txbx>
                      <w:txbxContent>
                        <w:p>
                          <w:pPr>
                            <w:pStyle w:val="8"/>
                            <w:ind w:firstLine="360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文本框 1" o:spid="_x0000_s1026" o:spt="1" style="position:absolute;left:0pt;margin-left:322.65pt;margin-top:7.85pt;height:12.75pt;width:78.85pt;mso-position-horizontal-relative:margin;mso-wrap-style:none;z-index:251659264;mso-width-relative:page;mso-height-relative:page;" filled="f" stroked="f" coordsize="21600,21600" o:gfxdata="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J2ygC2QAAAAkBAAAPAAAAAAAAAAEAIAAAACIAAABkcnMvZG93bnJl&#10;di54bWxQSwECFAAUAAAACACHTuJAd7adTPwBAADpAwAADgAAAAAAAAABACAAAAAoAQAAZHJzL2Uy&#10;b0RvYy54bWxQSwUGAAAAAAYABgBZAQAAlgUAAAAA&#10;">
              <v:fill on="f" focussize="0,0"/>
              <v:stroke on="f" weight="0.5pt" joinstyle="round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ind w:firstLine="360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  <w:r>
      <w:rPr>
        <w:rFonts w:hint="eastAsia"/>
        <w:sz w:val="20"/>
        <w:lang w:val="en-US" w:eastAsia="zh-CN"/>
      </w:rPr>
      <w:t>NH-VANTAGE仪器加液校验程序系统</w:t>
    </w:r>
    <w:r>
      <w:rPr>
        <w:rFonts w:hint="eastAsia" w:ascii="等线" w:eastAsia="等线" w:cs="等线"/>
        <w:bCs/>
        <w:sz w:val="20"/>
        <w:szCs w:val="20"/>
      </w:rPr>
      <w:tab/>
    </w:r>
    <w:r>
      <w:rPr>
        <w:rFonts w:hint="eastAsia" w:ascii="等线" w:eastAsia="等线" w:cs="等线"/>
        <w:bCs/>
        <w:sz w:val="20"/>
        <w:szCs w:val="20"/>
      </w:rPr>
      <w:t xml:space="preserve">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4"/>
      <w:numFmt w:val="decimal"/>
      <w:lvlText w:val="%1."/>
      <w:legacy w:legacy="1" w:legacySpace="0" w:legacyIndent="425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nothing"/>
      <w:lvlText w:val="%1.%2"/>
      <w:legacy w:legacy="1" w:legacySpace="0" w:legacyIndent="567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egacy w:legacy="1" w:legacySpace="0" w:legacyIndent="709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egacy w:legacy="1" w:legacySpace="0" w:legacyIndent="850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egacy w:legacy="1" w:legacySpace="0" w:legacyIndent="991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egacy w:legacy="1" w:legacySpace="0" w:legacyIndent="1134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egacy w:legacy="1" w:legacySpace="0" w:legacyIndent="1275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egacy w:legacy="1" w:legacySpace="0" w:legacyIndent="1418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egacy w:legacy="1" w:legacySpace="0" w:legacyIndent="1558"/>
      <w:lvlJc w:val="left"/>
      <w:pPr>
        <w:ind w:left="1558" w:hanging="1558"/>
      </w:pPr>
      <w:rPr>
        <w:rFonts w:hint="default"/>
      </w:rPr>
    </w:lvl>
  </w:abstractNum>
  <w:abstractNum w:abstractNumId="1">
    <w:nsid w:val="0053208E"/>
    <w:multiLevelType w:val="singleLevel"/>
    <w:tmpl w:val="0053208E"/>
    <w:lvl w:ilvl="0" w:tentative="0">
      <w:start w:val="1"/>
      <w:numFmt w:val="decimal"/>
      <w:suff w:val="nothing"/>
      <w:lvlText w:val="%1."/>
      <w:legacy w:legacy="1" w:legacySpace="0" w:legacyIndent="425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60"/>
  <w:drawingGridVerticalSpacing w:val="217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ExpandShiftReturn/>
    <w:doNotWrapTextWithPunct/>
    <w:doNotUseEastAsianBreakRules/>
    <w:growAutofit/>
    <w:useFELayout/>
    <w:doNotUseIndentAsNumberingTabStop/>
    <w:compatSetting w:name="compatibilityMode" w:uri="http://schemas.microsoft.com/office/word" w:val="14"/>
  </w:compat>
  <w:docVars>
    <w:docVar w:name="commondata" w:val="eyJoZGlkIjoiYmU5NWIwOWQ3YzNiNzhlNjM5ZjI3NzQ1Nzc4YzgwNjMifQ=="/>
  </w:docVars>
  <w:rsids>
    <w:rsidRoot w:val="00A227D3"/>
    <w:rsid w:val="000A5F3E"/>
    <w:rsid w:val="000A6FBD"/>
    <w:rsid w:val="0019036A"/>
    <w:rsid w:val="001927FB"/>
    <w:rsid w:val="002D1E04"/>
    <w:rsid w:val="002F141B"/>
    <w:rsid w:val="00691851"/>
    <w:rsid w:val="0073462F"/>
    <w:rsid w:val="008E4EA6"/>
    <w:rsid w:val="00925A36"/>
    <w:rsid w:val="00993857"/>
    <w:rsid w:val="00A227D3"/>
    <w:rsid w:val="00AB4FBC"/>
    <w:rsid w:val="00CD1788"/>
    <w:rsid w:val="00CF3D5C"/>
    <w:rsid w:val="00DC77CC"/>
    <w:rsid w:val="00E12C37"/>
    <w:rsid w:val="00F1675C"/>
    <w:rsid w:val="00F2277A"/>
    <w:rsid w:val="01BD420B"/>
    <w:rsid w:val="022A16E3"/>
    <w:rsid w:val="025F4662"/>
    <w:rsid w:val="027C7D59"/>
    <w:rsid w:val="03442625"/>
    <w:rsid w:val="039B791C"/>
    <w:rsid w:val="04277401"/>
    <w:rsid w:val="04B54A0D"/>
    <w:rsid w:val="053C0C8A"/>
    <w:rsid w:val="05B33A91"/>
    <w:rsid w:val="07470275"/>
    <w:rsid w:val="0817778D"/>
    <w:rsid w:val="082853F7"/>
    <w:rsid w:val="0B534F80"/>
    <w:rsid w:val="0B5D195B"/>
    <w:rsid w:val="0B640F3B"/>
    <w:rsid w:val="0D295F98"/>
    <w:rsid w:val="0D4C1C87"/>
    <w:rsid w:val="0DA815B3"/>
    <w:rsid w:val="0DC36651"/>
    <w:rsid w:val="0EF20D01"/>
    <w:rsid w:val="10525806"/>
    <w:rsid w:val="10BB784F"/>
    <w:rsid w:val="132A2A6A"/>
    <w:rsid w:val="13DA623E"/>
    <w:rsid w:val="15064E11"/>
    <w:rsid w:val="16C60CFC"/>
    <w:rsid w:val="19D13C3F"/>
    <w:rsid w:val="1A0F1C36"/>
    <w:rsid w:val="1AD10DB0"/>
    <w:rsid w:val="1C1E0C92"/>
    <w:rsid w:val="1C2A5889"/>
    <w:rsid w:val="1C333E62"/>
    <w:rsid w:val="1C9D42AD"/>
    <w:rsid w:val="1F077923"/>
    <w:rsid w:val="22603DB2"/>
    <w:rsid w:val="237613B4"/>
    <w:rsid w:val="268A146A"/>
    <w:rsid w:val="2AED16A6"/>
    <w:rsid w:val="2AF05EF0"/>
    <w:rsid w:val="2BE07D12"/>
    <w:rsid w:val="2D496906"/>
    <w:rsid w:val="2F0306EB"/>
    <w:rsid w:val="3006288C"/>
    <w:rsid w:val="30C85944"/>
    <w:rsid w:val="323B5CA2"/>
    <w:rsid w:val="333003F3"/>
    <w:rsid w:val="33FC76B3"/>
    <w:rsid w:val="34F62354"/>
    <w:rsid w:val="358362DE"/>
    <w:rsid w:val="359A7184"/>
    <w:rsid w:val="35A34E37"/>
    <w:rsid w:val="3762240D"/>
    <w:rsid w:val="39CD5D7A"/>
    <w:rsid w:val="3A744447"/>
    <w:rsid w:val="3C1001A0"/>
    <w:rsid w:val="401903BA"/>
    <w:rsid w:val="419B675D"/>
    <w:rsid w:val="42B1639B"/>
    <w:rsid w:val="42DE3997"/>
    <w:rsid w:val="45324E67"/>
    <w:rsid w:val="45D97854"/>
    <w:rsid w:val="46E841F3"/>
    <w:rsid w:val="46EF7D29"/>
    <w:rsid w:val="475C4F46"/>
    <w:rsid w:val="48A920B1"/>
    <w:rsid w:val="49042E3A"/>
    <w:rsid w:val="4A577F19"/>
    <w:rsid w:val="4A6718D3"/>
    <w:rsid w:val="4A7C1C71"/>
    <w:rsid w:val="4D423F31"/>
    <w:rsid w:val="4DED20EF"/>
    <w:rsid w:val="50EB7D9F"/>
    <w:rsid w:val="51420C21"/>
    <w:rsid w:val="528F0E18"/>
    <w:rsid w:val="53124626"/>
    <w:rsid w:val="54994D7E"/>
    <w:rsid w:val="55254864"/>
    <w:rsid w:val="553B7519"/>
    <w:rsid w:val="55D50038"/>
    <w:rsid w:val="589B4B5D"/>
    <w:rsid w:val="59205D38"/>
    <w:rsid w:val="59D67DE5"/>
    <w:rsid w:val="59E940B2"/>
    <w:rsid w:val="5B0B44FC"/>
    <w:rsid w:val="5B4F0CDC"/>
    <w:rsid w:val="5B6559BA"/>
    <w:rsid w:val="5C4035E0"/>
    <w:rsid w:val="5C5D3D2F"/>
    <w:rsid w:val="5CA55A22"/>
    <w:rsid w:val="5D5B3968"/>
    <w:rsid w:val="5F5521EA"/>
    <w:rsid w:val="5FA10F8B"/>
    <w:rsid w:val="609A2A16"/>
    <w:rsid w:val="62500A46"/>
    <w:rsid w:val="62570027"/>
    <w:rsid w:val="628801E0"/>
    <w:rsid w:val="63E678B4"/>
    <w:rsid w:val="66E07428"/>
    <w:rsid w:val="66F2031E"/>
    <w:rsid w:val="68232B48"/>
    <w:rsid w:val="6AB06526"/>
    <w:rsid w:val="6EFA2466"/>
    <w:rsid w:val="6F2D6397"/>
    <w:rsid w:val="6F490CF7"/>
    <w:rsid w:val="6F6A0833"/>
    <w:rsid w:val="6FEF2BB1"/>
    <w:rsid w:val="703F6AB7"/>
    <w:rsid w:val="710D6480"/>
    <w:rsid w:val="73D56FFD"/>
    <w:rsid w:val="75F75951"/>
    <w:rsid w:val="76746FA2"/>
    <w:rsid w:val="77590AC0"/>
    <w:rsid w:val="7A187C44"/>
    <w:rsid w:val="7AD34512"/>
    <w:rsid w:val="7B3260CD"/>
    <w:rsid w:val="7C29438A"/>
    <w:rsid w:val="7D78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ascii="仿宋_GB2312" w:hAnsi="Times New Roman" w:eastAsia="仿宋_GB2312" w:cs="Arial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8" w:lineRule="auto"/>
      <w:ind w:firstLine="0" w:firstLineChars="0"/>
      <w:outlineLvl w:val="0"/>
    </w:pPr>
    <w:rPr>
      <w:rFonts w:ascii="黑体" w:eastAsia="黑体"/>
      <w:bCs/>
      <w:kern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ind w:firstLine="0" w:firstLineChars="0"/>
      <w:outlineLvl w:val="1"/>
    </w:pPr>
    <w:rPr>
      <w:rFonts w:ascii="楷体_GB2312" w:eastAsia="楷体_GB2312" w:cs="Times New Roman"/>
      <w:bCs/>
      <w:szCs w:val="32"/>
    </w:rPr>
  </w:style>
  <w:style w:type="paragraph" w:styleId="4">
    <w:name w:val="heading 3"/>
    <w:basedOn w:val="1"/>
    <w:next w:val="1"/>
    <w:qFormat/>
    <w:uiPriority w:val="0"/>
    <w:pPr>
      <w:spacing w:beforeAutospacing="1" w:afterAutospacing="1"/>
      <w:outlineLvl w:val="2"/>
    </w:pPr>
    <w:rPr>
      <w:rFonts w:asci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qFormat/>
    <w:uiPriority w:val="0"/>
    <w:pPr>
      <w:spacing w:beforeAutospacing="1" w:afterAutospacing="1"/>
      <w:outlineLvl w:val="3"/>
    </w:pPr>
    <w:rPr>
      <w:rFonts w:ascii="宋体" w:eastAsia="宋体" w:cs="宋体"/>
      <w:b/>
      <w:bCs/>
      <w:kern w:val="0"/>
      <w:sz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40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200" w:leftChars="200"/>
    </w:pPr>
  </w:style>
  <w:style w:type="paragraph" w:styleId="11">
    <w:name w:val="Normal (Web)"/>
    <w:basedOn w:val="1"/>
    <w:qFormat/>
    <w:uiPriority w:val="0"/>
    <w:pPr>
      <w:spacing w:beforeAutospacing="1" w:afterAutospacing="1"/>
    </w:pPr>
    <w:rPr>
      <w:rFonts w:cs="Times New Roman"/>
      <w:kern w:val="0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qFormat/>
    <w:uiPriority w:val="0"/>
    <w:rPr>
      <w:color w:val="0563C1"/>
      <w:u w:val="single"/>
    </w:rPr>
  </w:style>
  <w:style w:type="character" w:styleId="16">
    <w:name w:val="HTML Code"/>
    <w:basedOn w:val="13"/>
    <w:qFormat/>
    <w:uiPriority w:val="0"/>
    <w:rPr>
      <w:rFonts w:ascii="Courier New" w:hAnsi="Courier New"/>
      <w:sz w:val="20"/>
    </w:rPr>
  </w:style>
  <w:style w:type="paragraph" w:customStyle="1" w:styleId="17">
    <w:name w:val="TOC 标题1"/>
    <w:basedOn w:val="2"/>
    <w:next w:val="1"/>
    <w:qFormat/>
    <w:uiPriority w:val="0"/>
    <w:pPr>
      <w:widowControl/>
      <w:spacing w:before="240" w:line="259" w:lineRule="auto"/>
      <w:outlineLvl w:val="9"/>
    </w:pPr>
    <w:rPr>
      <w:rFonts w:ascii="Calibri Light" w:hAnsi="Calibri Light" w:eastAsia="宋体" w:cs="Times New Roman"/>
      <w:bCs w:val="0"/>
      <w:color w:val="2E75B6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502</Words>
  <Characters>2866</Characters>
  <Lines>23</Lines>
  <Paragraphs>6</Paragraphs>
  <TotalTime>1</TotalTime>
  <ScaleCrop>false</ScaleCrop>
  <LinksUpToDate>false</LinksUpToDate>
  <CharactersWithSpaces>3362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2024-01-29T01:54:00Z</dcterms:created>
  <dc:creator>Apache POI</dc:creator>
  <cp:lastModifiedBy>zhousujuan</cp:lastModifiedBy>
  <dcterms:modified xsi:type="dcterms:W3CDTF">2024-02-25T18:19:58Z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1D14075678B64AD1AC36CF3267648A83_13</vt:lpwstr>
  </property>
</Properties>
</file>