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sz w:val="52"/>
        </w:rPr>
      </w:r>
    </w:p>
    <w:p>
      <w:pPr>
        <w:spacing w:before="0" w:after="120" w:line="324" w:lineRule="auto"/>
      </w:pPr>
      <w:r>
        <w:rPr>
          <w:rFonts w:ascii="微软雅黑" w:hAnsi="微软雅黑" w:eastAsia="微软雅黑" w:cs="微软雅黑"/>
          <w:b/>
          <w:i w:val="0"/>
          <w:color w:val="BF9000"/>
          <w:sz w:val="15"/>
          <w:u w:val="none"/>
          <w:spacing w:val="32"/>
        </w:rPr>
        <w:t>PRODUCT STRATEGY  /  COMPETITIVE ANALYSIS &amp; DEVELOPMENT BLUEPRINT</w:t>
      </w:r>
    </w:p>
    <w:p>
      <w:pPr>
        <w:spacing w:before="0" w:after="160" w:line="252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54"/>
          <w:u w:val="none"/>
        </w:rPr>
        <w:t>竞品分析与开发方案设计</w:t>
      </w:r>
    </w:p>
    <w:p>
      <w:pPr>
        <w:spacing w:before="0" w:after="80" w:line="276" w:lineRule="auto"/>
      </w:pPr>
      <w:r>
        <w:rPr>
          <w:rFonts w:ascii="微软雅黑" w:hAnsi="微软雅黑" w:eastAsia="微软雅黑" w:cs="微软雅黑"/>
          <w:b w:val="0"/>
          <w:i w:val="0"/>
          <w:color w:val="2F5597"/>
          <w:sz w:val="31"/>
          <w:u w:val="none"/>
        </w:rPr>
        <w:t>营销日周动态汇总与风险预警</w:t>
      </w:r>
    </w:p>
    <w:p>
      <w:pPr>
        <w:spacing w:before="0" w:after="200" w:line="288" w:lineRule="auto"/>
      </w:pPr>
      <w:r>
        <w:rPr>
          <w:rFonts w:ascii="微软雅黑" w:hAnsi="微软雅黑" w:eastAsia="微软雅黑" w:cs="微软雅黑"/>
          <w:b w:val="0"/>
          <w:i w:val="0"/>
          <w:color w:val="666666"/>
          <w:sz w:val="23"/>
          <w:u w:val="none"/>
        </w:rPr>
        <w:t>从“买一张看板”到“建一套经营闭环”</w:t>
      </w:r>
    </w:p>
    <w:p>
      <w:pPr>
        <w:spacing w:before="0" w:after="280" w:line="240" w:lineRule="auto"/>
        <w:pBdr>
          <w:bottom w:val="single" w:sz="18" w:space="1" w:color="BF9000"/>
        </w:pBdr>
      </w:pPr>
    </w:p>
    <w:p>
      <w:pPr>
        <w:spacing w:before="0" w:after="60" w:line="324" w:lineRule="auto"/>
      </w:pPr>
      <w:r>
        <w:rPr>
          <w:rFonts w:ascii="微软雅黑" w:hAnsi="微软雅黑" w:eastAsia="微软雅黑" w:cs="微软雅黑"/>
          <w:b/>
          <w:i w:val="0"/>
          <w:color w:val="666666"/>
          <w:sz w:val="16"/>
          <w:u w:val="none"/>
        </w:rPr>
        <w:t xml:space="preserve">版本 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  <w:u w:val="none"/>
        </w:rPr>
        <w:t>V0.1</w:t>
      </w:r>
      <w:r>
        <w:rPr>
          <w:rFonts w:ascii="微软雅黑" w:hAnsi="微软雅黑" w:eastAsia="微软雅黑" w:cs="微软雅黑"/>
          <w:b/>
          <w:i w:val="0"/>
          <w:color w:val="666666"/>
          <w:sz w:val="16"/>
          <w:u w:val="none"/>
        </w:rPr>
        <w:t xml:space="preserve">    ｜    日期 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  <w:u w:val="none"/>
        </w:rPr>
        <w:t>2026-10-24</w:t>
      </w:r>
      <w:r>
        <w:rPr>
          <w:rFonts w:ascii="微软雅黑" w:hAnsi="微软雅黑" w:eastAsia="微软雅黑" w:cs="微软雅黑"/>
          <w:b/>
          <w:i w:val="0"/>
          <w:color w:val="666666"/>
          <w:sz w:val="16"/>
          <w:u w:val="none"/>
        </w:rPr>
        <w:t xml:space="preserve">    ｜    交付 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  <w:u w:val="none"/>
        </w:rPr>
        <w:t>Web 优先（钉钉 / 企微 H5）</w:t>
      </w:r>
    </w:p>
    <w:p>
      <w:pPr>
        <w:spacing w:before="0" w:after="480" w:line="324" w:lineRule="auto"/>
      </w:pPr>
      <w:r>
        <w:rPr>
          <w:rFonts w:ascii="微软雅黑" w:hAnsi="微软雅黑" w:eastAsia="微软雅黑" w:cs="微软雅黑"/>
          <w:b/>
          <w:i w:val="0"/>
          <w:color w:val="666666"/>
          <w:sz w:val="16"/>
          <w:u w:val="none"/>
        </w:rPr>
        <w:t xml:space="preserve">适用范围 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  <w:u w:val="none"/>
        </w:rPr>
        <w:t>产品 / 研发 / 数据 / 安全 / 法务</w:t>
      </w:r>
      <w:r>
        <w:rPr>
          <w:rFonts w:ascii="微软雅黑" w:hAnsi="微软雅黑" w:eastAsia="微软雅黑" w:cs="微软雅黑"/>
          <w:b/>
          <w:i w:val="0"/>
          <w:color w:val="666666"/>
          <w:sz w:val="16"/>
          <w:u w:val="none"/>
        </w:rPr>
        <w:t xml:space="preserve">    ｜    资料检索截止 </w:t>
      </w:r>
      <w:r>
        <w:rPr>
          <w:rFonts w:ascii="微软雅黑" w:hAnsi="微软雅黑" w:eastAsia="微软雅黑" w:cs="微软雅黑"/>
          <w:b w:val="0"/>
          <w:i w:val="0"/>
          <w:color w:val="333333"/>
          <w:sz w:val="16"/>
          <w:u w:val="none"/>
        </w:rPr>
        <w:t>2026-10-24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3214"/>
            <w:tcMar>
              <w:top w:w="9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微软雅黑" w:hAnsi="微软雅黑" w:eastAsia="微软雅黑" w:cs="微软雅黑"/>
                <w:b/>
                <w:i w:val="0"/>
                <w:color w:val="BF9000"/>
                <w:sz w:val="46"/>
                <w:u w:val="none"/>
              </w:rPr>
              <w:t>13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代表产品 / 产品组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4"/>
                <w:u w:val="none"/>
              </w:rPr>
              <w:t>通用 BI、CRM 分析、营收智能、低代码与开源 BI</w:t>
            </w:r>
          </w:p>
        </w:tc>
        <w:tc>
          <w:tcPr>
            <w:tcW w:type="dxa" w:w="3214"/>
            <w:tcMar>
              <w:top w:w="9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微软雅黑" w:hAnsi="微软雅黑" w:eastAsia="微软雅黑" w:cs="微软雅黑"/>
                <w:b/>
                <w:i w:val="0"/>
                <w:color w:val="BF9000"/>
                <w:sz w:val="46"/>
                <w:u w:val="none"/>
              </w:rPr>
              <w:t>19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重点开源项目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4"/>
                <w:u w:val="none"/>
              </w:rPr>
              <w:t>从 30+ 候选中筛选，逐一核对许可证与活跃度</w:t>
            </w:r>
          </w:p>
        </w:tc>
        <w:tc>
          <w:tcPr>
            <w:tcW w:type="dxa" w:w="3214"/>
            <w:tcMar>
              <w:top w:w="90" w:type="dxa"/>
              <w:left w:w="120" w:type="dxa"/>
              <w:bottom w:w="7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微软雅黑" w:hAnsi="微软雅黑" w:eastAsia="微软雅黑" w:cs="微软雅黑"/>
                <w:b/>
                <w:i w:val="0"/>
                <w:color w:val="BF9000"/>
                <w:sz w:val="46"/>
                <w:u w:val="none"/>
              </w:rPr>
              <w:t>20 周</w:t>
            </w:r>
          </w:p>
          <w:p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16 周功能 + 4 周试点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4"/>
                <w:u w:val="none"/>
              </w:rPr>
              <w:t>峰值 8.5 人，27–30 人月，首年 90–150 万元量级</w:t>
            </w:r>
          </w:p>
        </w:tc>
      </w:tr>
    </w:tbl>
    <w:p>
      <w:pPr>
        <w:spacing w:before="0" w:after="0" w:line="240" w:lineRule="auto"/>
      </w:pPr>
      <w:r>
        <w:rPr>
          <w:sz w:val="52"/>
        </w:rPr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7F3E7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结论先行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不造通用 BI，不造 CRM；买数据底座与组件，自研指标语义、角色简报、风险闭环。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7"/>
                <w:u w:val="none"/>
              </w:rPr>
              <w:t>市场上没有开箱即用的直接竞品，但有足够成熟的开源件，把 20 周用在该用的地方。</w:t>
            </w:r>
          </w:p>
        </w:tc>
      </w:tr>
    </w:tbl>
    <w:p>
      <w:pPr>
        <w:spacing w:before="0" w:after="0" w:line="324" w:lineRule="auto"/>
      </w:pPr>
      <w:r>
        <w:rPr>
          <w:rFonts w:ascii="微软雅黑" w:hAnsi="微软雅黑" w:eastAsia="微软雅黑" w:cs="微软雅黑"/>
          <w:b w:val="0"/>
          <w:i/>
          <w:color w:val="1F3864"/>
          <w:sz w:val="21"/>
          <w:u w:val="none"/>
        </w:rPr>
        <w:t>“技术壁垒可以外购，产品壁垒必须自建。”</w:t>
      </w:r>
    </w:p>
    <w:p>
      <w:pPr>
        <w:spacing w:before="40" w:after="0" w:line="324" w:lineRule="auto"/>
      </w:pPr>
      <w:r>
        <w:rPr>
          <w:rFonts w:ascii="微软雅黑" w:hAnsi="微软雅黑" w:eastAsia="微软雅黑" w:cs="微软雅黑"/>
          <w:b w:val="0"/>
          <w:i w:val="0"/>
          <w:color w:val="666666"/>
          <w:sz w:val="14"/>
          <w:u w:val="none"/>
        </w:rPr>
        <w:t>—— 竞品分析与开发方案设计 · 第 04 章</w:t>
      </w:r>
    </w:p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00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执行摘要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这份报告回答三个问题：市场上有没有现成产品？哪些能力必须自研？如果自研，怎么在 20 周内交付一个可试点、可验收的 Web 产品？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结论先行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没有开箱即用的直接竞品，但有大量可复用的底座。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  <w:u w:val="none"/>
              </w:rPr>
              <w:t>建议采用“买底座、自研闭环”的混合路线：通用 BI / 数据 / 权限 / 导出用开源或采购；指标语义、角色简报、风险规则、SLA 闭环自己造。功能开发 16 周，含 30 天试运行 20 周；峰值 8.5 人、27–30 人月。</w:t>
            </w:r>
          </w:p>
        </w:tc>
      </w:tr>
    </w:tbl>
    <w:p>
      <w:pPr>
        <w:keepNext/>
        <w:spacing w:before="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四个判断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01  </w:t>
      </w: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市场空位：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通用 BI 强在“看数”，CRM / 营收智能强在“单域闭环”，轻量工具强在“快”。没有产品同时满足：跨系统取数 × 角色化日周简报 × 6 类风险分级 × 认领 / SLA / 升级 / 关闭 × 国内 IM × 私有化。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02  </w:t>
      </w: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直接竞品：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Niona Reports 最接近“角色化日报”，但只支持 HubSpot、安装量 &lt;10；观远 / 帆软有订阅和预警，停在“提醒”；销售易有 CRM 任务闭环，数据边界停在 CRM。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03  </w:t>
      </w: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可复用：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BI 图表、ETL、调度、SSO、授权、PDF / Excel 导出都有成熟开源件；自研这些不构成壁垒，反而拖慢上线。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04  </w:t>
      </w: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真壁垒：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12 项指标的统一口径、6 类风险的规则库、4 类角色的简报结构、SLA / 升级 / 闭环的审计，是采购不到、必须自己沉淀的资产。</w:t>
      </w:r>
    </w:p>
    <w:p>
      <w:pPr>
        <w:keepNext/>
        <w:spacing w:before="12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三个问题，三个答案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3" w:space="0" w:color="D9D9D9"/>
          <w:insideV w:val="single" w:sz="3" w:space="0" w:color="D9D9D9"/>
        </w:tblBorders>
      </w:tblPr>
      <w:tblGrid>
        <w:gridCol w:w="3213"/>
        <w:gridCol w:w="3213"/>
        <w:gridCol w:w="3213"/>
      </w:tblGrid>
      <w:tr>
        <w:tc>
          <w:tcPr>
            <w:tcW w:type="dxa" w:w="3214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BF9000"/>
                <w:sz w:val="18"/>
                <w:u w:val="none"/>
              </w:rPr>
              <w:t>买什么</w:t>
            </w:r>
          </w:p>
          <w:p>
            <w:pPr>
              <w:spacing w:before="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数据接入、调度、图表、权限、导出、通知通道。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4"/>
                <w:u w:val="none"/>
              </w:rPr>
              <w:t>用 Apache / MIT 组件，别为通用能力付商业 license。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BF9000"/>
                <w:sz w:val="18"/>
                <w:u w:val="none"/>
              </w:rPr>
              <w:t>造什么</w:t>
            </w:r>
          </w:p>
          <w:p>
            <w:pPr>
              <w:spacing w:before="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指标语义、简报编排、风险规则、闭环工作流。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4"/>
                <w:u w:val="none"/>
              </w:rPr>
              <w:t>这四件事决定产品上限，必须自己写。</w:t>
            </w:r>
          </w:p>
        </w:tc>
        <w:tc>
          <w:tcPr>
            <w:tcW w:type="dxa" w:w="3214"/>
            <w:shd w:val="clear" w:color="auto" w:fill="F7F9FC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BF9000"/>
                <w:sz w:val="18"/>
                <w:u w:val="none"/>
              </w:rPr>
              <w:t>怎么交付</w:t>
            </w:r>
          </w:p>
          <w:p>
            <w:pPr>
              <w:spacing w:before="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Web 主入口，钉钉 / 企微 H5 + 机器人卡片触达。</w:t>
            </w:r>
          </w:p>
          <w:p>
            <w:pPr>
              <w:spacing w:before="0" w:after="0" w:line="288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4"/>
                <w:u w:val="none"/>
              </w:rPr>
              <w:t>16 周功能冻结，4 周试点，邮件 / PDF 兜底。</w:t>
            </w:r>
          </w:p>
        </w:tc>
      </w:tr>
    </w:tbl>
    <w:p>
      <w:pPr>
        <w:keepNext/>
        <w:spacing w:before="14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阅读导航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680"/>
        <w:gridCol w:w="1701"/>
        <w:gridCol w:w="4649"/>
        <w:gridCol w:w="2608"/>
      </w:tblGrid>
      <w:tr>
        <w:trPr>
          <w:cantSplit/>
          <w:tblHeader w:val="true"/>
          <w:trHeight w:val="360" w:hRule="atLeast"/>
        </w:trPr>
        <w:tc>
          <w:tcPr>
            <w:tcW w:type="dxa" w:w="680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章</w:t>
            </w:r>
          </w:p>
        </w:tc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内容</w:t>
            </w:r>
          </w:p>
        </w:tc>
        <w:tc>
          <w:tcPr>
            <w:tcW w:type="dxa" w:w="4649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关键产出</w:t>
            </w:r>
          </w:p>
        </w:tc>
        <w:tc>
          <w:tcPr>
            <w:tcW w:type="dxa" w:w="260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回答的问题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01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竞品分析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市场地图、13 个产品对比、竞争空位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哪些必须做、哪些不要做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02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Make-or-Buy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13 项能力的自研 / 开源 / 采购决策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钱花在哪、团队做什么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03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GitHub 调研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19 个重点项目的 stars / license / 适用性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选哪个、许可证怎么避坑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04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开发方案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技术路线、架构、数据流、交付、里程碑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20 周怎么落地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05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结论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决策请求与下一步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现在拍板什么</w:t>
            </w:r>
          </w:p>
        </w:tc>
      </w:tr>
    </w:tbl>
    <w:p>
      <w:pPr>
        <w:spacing w:before="100" w:after="0" w:line="324" w:lineRule="auto"/>
      </w:pPr>
      <w:r>
        <w:rPr>
          <w:rFonts w:ascii="微软雅黑" w:hAnsi="微软雅黑" w:eastAsia="微软雅黑" w:cs="微软雅黑"/>
          <w:b/>
          <w:i w:val="0"/>
          <w:color w:val="666666"/>
          <w:sz w:val="14"/>
          <w:u w:val="none"/>
        </w:rPr>
        <w:t>文档控制：</w:t>
      </w:r>
      <w:r>
        <w:rPr>
          <w:rFonts w:ascii="微软雅黑" w:hAnsi="微软雅黑" w:eastAsia="微软雅黑" w:cs="微软雅黑"/>
          <w:b w:val="0"/>
          <w:i w:val="0"/>
          <w:color w:val="8C8C8C"/>
          <w:sz w:val="14"/>
          <w:u w:val="none"/>
        </w:rPr>
        <w:t>V0.1 首版 ｜ 2026-10-24 ｜ 产品团队 ｜ 竞品信息来自公开资料，未做 POC；许可证结论不构成法律意见。</w:t>
      </w:r>
    </w:p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01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竞品分析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竞品分析的目的不是列产品，而是判断：哪些能力已经商品化，哪些位置还空着，我们的钱和人也应该放在哪里。</w:t>
      </w:r>
    </w:p>
    <w:p>
      <w:pPr>
        <w:keepNext/>
        <w:spacing w:before="8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1.1  竞争边界：真正的对手是“手工流程的惯性”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如果只把 BI 看板当竞品，会低估产品难度；如果只把 CRM 当竞品，会错过真正的空位。对用户来说，替代方案往往不是另一个软件，而是 Excel + 微信群 + 人工催办。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3" w:space="0" w:color="D9D9D9"/>
          <w:insideV w:val="single" w:sz="3" w:space="0" w:color="D9D9D9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竞争层次</w:t>
            </w:r>
          </w:p>
        </w:tc>
        <w:tc>
          <w:tcPr>
            <w:tcW w:type="dxa" w:w="2381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代表</w:t>
            </w:r>
          </w:p>
        </w:tc>
        <w:tc>
          <w:tcPr>
            <w:tcW w:type="dxa" w:w="3005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用户为什么选</w:t>
            </w:r>
          </w:p>
        </w:tc>
        <w:tc>
          <w:tcPr>
            <w:tcW w:type="dxa" w:w="2835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我们的应对</w:t>
            </w:r>
          </w:p>
        </w:tc>
      </w:tr>
      <w:tr>
        <w:tc>
          <w:tcPr>
            <w:tcW w:type="dxa" w:w="1417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直接竞品</w:t>
            </w:r>
          </w:p>
        </w:tc>
        <w:tc>
          <w:tcPr>
            <w:tcW w:type="dxa" w:w="2381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Niona、观远、帆软、销售易</w:t>
            </w:r>
          </w:p>
        </w:tc>
        <w:tc>
          <w:tcPr>
            <w:tcW w:type="dxa" w:w="3005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功能邻近、品牌 / 交付能力</w:t>
            </w:r>
          </w:p>
        </w:tc>
        <w:tc>
          <w:tcPr>
            <w:tcW w:type="dxa" w:w="2835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跨系统、角色简报、闭环、私有化做差异</w:t>
            </w:r>
          </w:p>
        </w:tc>
      </w:tr>
      <w:tr>
        <w:tc>
          <w:tcPr>
            <w:tcW w:type="dxa" w:w="1417"/>
            <w:tcMar>
              <w:top w:w="46" w:type="dxa"/>
              <w:left w:w="70" w:type="dxa"/>
              <w:bottom w:w="46" w:type="dxa"/>
              <w:right w:w="70" w:type="dxa"/>
            </w:tcMar>
            <w:shd w:val="clear" w:color="auto" w:fill="F7F9FC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替代方案</w:t>
            </w:r>
          </w:p>
        </w:tc>
        <w:tc>
          <w:tcPr>
            <w:tcW w:type="dxa" w:w="2381"/>
            <w:tcMar>
              <w:top w:w="46" w:type="dxa"/>
              <w:left w:w="70" w:type="dxa"/>
              <w:bottom w:w="46" w:type="dxa"/>
              <w:right w:w="70" w:type="dxa"/>
            </w:tcMar>
            <w:shd w:val="clear" w:color="auto" w:fill="F7F9FC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Excel / PPT / 微信群</w:t>
            </w:r>
          </w:p>
        </w:tc>
        <w:tc>
          <w:tcPr>
            <w:tcW w:type="dxa" w:w="3005"/>
            <w:tcMar>
              <w:top w:w="46" w:type="dxa"/>
              <w:left w:w="70" w:type="dxa"/>
              <w:bottom w:w="46" w:type="dxa"/>
              <w:right w:w="70" w:type="dxa"/>
            </w:tcMar>
            <w:shd w:val="clear" w:color="auto" w:fill="F7F9FC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便宜、灵活、已经会用</w:t>
            </w:r>
          </w:p>
        </w:tc>
        <w:tc>
          <w:tcPr>
            <w:tcW w:type="dxa" w:w="2835"/>
            <w:tcMar>
              <w:top w:w="46" w:type="dxa"/>
              <w:left w:w="70" w:type="dxa"/>
              <w:bottom w:w="46" w:type="dxa"/>
              <w:right w:w="70" w:type="dxa"/>
            </w:tcMar>
            <w:shd w:val="clear" w:color="auto" w:fill="F7F9FC"/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自动化、时效、审计、闭环击败</w:t>
            </w:r>
          </w:p>
        </w:tc>
      </w:tr>
      <w:tr>
        <w:tc>
          <w:tcPr>
            <w:tcW w:type="dxa" w:w="1417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潜在竞品</w:t>
            </w:r>
          </w:p>
        </w:tc>
        <w:tc>
          <w:tcPr>
            <w:tcW w:type="dxa" w:w="2381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钉钉 / 企微原生卡片、CRM Copilot</w:t>
            </w:r>
          </w:p>
        </w:tc>
        <w:tc>
          <w:tcPr>
            <w:tcW w:type="dxa" w:w="3005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入口强、捆绑、免费</w:t>
            </w:r>
          </w:p>
        </w:tc>
        <w:tc>
          <w:tcPr>
            <w:tcW w:type="dxa" w:w="2835"/>
            <w:tcMar>
              <w:top w:w="46" w:type="dxa"/>
              <w:left w:w="70" w:type="dxa"/>
              <w:bottom w:w="46" w:type="dxa"/>
              <w:right w:w="70" w:type="dxa"/>
            </w:tcMar>
          </w:tcPr>
          <w:p>
            <w:pPr>
              <w:spacing w:before="0" w:after="0" w:line="26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做深业务规则和脏活，做它们不愿做的部分</w:t>
            </w:r>
          </w:p>
        </w:tc>
      </w:tr>
    </w:tbl>
    <w:p>
      <w:pPr>
        <w:spacing w:before="10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结论：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短期直接竞品少，替代方案强；真正的对手是“手工流程的惯性”。产品必须比 Excel 快、比微信群有据、比人工催办更可追踪。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1.2  市场地图：右上角是空位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45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4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  <w:jc w:val="center"/>
      </w:pPr>
      <w:r>
        <w:rPr>
          <w:rFonts w:ascii="微软雅黑" w:hAnsi="微软雅黑" w:eastAsia="微软雅黑" w:cs="微软雅黑"/>
          <w:b w:val="0"/>
          <w:i w:val="0"/>
          <w:color w:val="666666"/>
          <w:sz w:val="14"/>
          <w:u w:val="none"/>
        </w:rPr>
        <w:t>图 1  竞品地图：横轴从“看数”到“管事”，纵轴从“单系统”到“跨系统”；右上角是跨系统经营闭环的空位。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四类玩家的能力分布很清晰：通用 BI 在“跨系统 + 权限 + 私有化”上强，但缺少业务语义和闭环；CRM / 营收智能在“风险 + 动作”上强，但数据边界窄；轻量工具在“快 + 便宜”上强，但治理和复杂规则弱。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7"/>
        <w:gridCol w:w="2835"/>
        <w:gridCol w:w="2098"/>
        <w:gridCol w:w="2268"/>
        <w:gridCol w:w="1020"/>
      </w:tblGrid>
      <w:tr>
        <w:trPr>
          <w:cantSplit/>
          <w:tblHeader w:val="true"/>
          <w:trHeight w:val="360" w:hRule="atLeast"/>
        </w:trPr>
        <w:tc>
          <w:tcPr>
            <w:tcW w:type="dxa" w:w="141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阵营</w:t>
            </w:r>
          </w:p>
        </w:tc>
        <w:tc>
          <w:tcPr>
            <w:tcW w:type="dxa" w:w="283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代表</w:t>
            </w:r>
          </w:p>
        </w:tc>
        <w:tc>
          <w:tcPr>
            <w:tcW w:type="dxa" w:w="209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强项</w:t>
            </w:r>
          </w:p>
        </w:tc>
        <w:tc>
          <w:tcPr>
            <w:tcW w:type="dxa" w:w="226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缺口</w:t>
            </w:r>
          </w:p>
        </w:tc>
        <w:tc>
          <w:tcPr>
            <w:tcW w:type="dxa" w:w="1020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威胁度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通用 BI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Power BI、Tableau、FineBI、观远、Superset、Metabase</w:t>
            </w:r>
          </w:p>
        </w:tc>
        <w:tc>
          <w:tcPr>
            <w:tcW w:type="dxa" w:w="209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连接、可视化、权限、订阅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业务语义、闭环、行业模板</w:t>
            </w:r>
          </w:p>
        </w:tc>
        <w:tc>
          <w:tcPr>
            <w:tcW w:type="dxa" w:w="102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中（常被当替代方案）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CRM 原生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Salesforce RI、销售易</w:t>
            </w:r>
          </w:p>
        </w:tc>
        <w:tc>
          <w:tcPr>
            <w:tcW w:type="dxa" w:w="209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销售过程、组织、任务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广告 / 财务 / 目标跨系统、国内 IM</w:t>
            </w:r>
          </w:p>
        </w:tc>
        <w:tc>
          <w:tcPr>
            <w:tcW w:type="dxa" w:w="102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高（入口绑定）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营收智能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Clari / Salesloft、Niona</w:t>
            </w:r>
          </w:p>
        </w:tc>
        <w:tc>
          <w:tcPr>
            <w:tcW w:type="dxa" w:w="209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预测、商机风险、动作建议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中国本地化、ERP / 投放、私有化</w:t>
            </w:r>
          </w:p>
        </w:tc>
        <w:tc>
          <w:tcPr>
            <w:tcW w:type="dxa" w:w="102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中高（概念领先）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轻量工具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Databox、九数云、简道云</w:t>
            </w:r>
          </w:p>
        </w:tc>
        <w:tc>
          <w:tcPr>
            <w:tcW w:type="dxa" w:w="209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快、便宜、易用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治理、复杂规则、闭环</w:t>
            </w:r>
          </w:p>
        </w:tc>
        <w:tc>
          <w:tcPr>
            <w:tcW w:type="dxa" w:w="102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低（切入门槛低）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垂直方案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有赞 AI 数据分析师</w:t>
            </w:r>
          </w:p>
        </w:tc>
        <w:tc>
          <w:tcPr>
            <w:tcW w:type="dxa" w:w="209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行业模板、老板简报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通用营销 / 销售、私有化</w:t>
            </w:r>
          </w:p>
        </w:tc>
        <w:tc>
          <w:tcPr>
            <w:tcW w:type="dxa" w:w="102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低（行业局限）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来源：各产品公开文档与官网，检索日期 2026-10-24；威胁度为定性判断。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1.3  代表产品速写：值得借鉴什么，不能学什么</w:t>
      </w:r>
    </w:p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国际通用 BI：Power BI / Tableau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订阅、阈值告警、行级权限、嵌入都很成熟，生态和连接器是最大优势。它们解决“把数看清楚”，不解决“把事管到底”：订阅是发报表，不是写结论；告警是指标异常，不是经营风险；没有认领、SLA、升级和关闭。</w:t>
      </w:r>
    </w:p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营收智能：Clari / Salesloft、Salesforce RI、Niona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把“商机风险、预测、动作建议”做得很深，尤其是风险评分、商机健康、停滞提醒和角色化摘要。共性缺口是销售单域、国外 IM、SaaS-only；Niona 的角色化日报最值得借鉴，但只在 HubSpot 生态内，安装量 &lt;10，说明这个方向仍处早期。</w:t>
      </w:r>
    </w:p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中国 BI：帆软 FineBI / FineReport、观远数据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把国内 IM 推送、私有化、订阅 / 预警、项目交付做成了基线，值得对齐。问题是“工具太通用”：指标、规则、流程要客户自己搭，项目期长，产品上限取决于实施团队；对本项目来说，它们是替代方案，不是产品内核。</w:t>
      </w:r>
    </w:p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中国 CRM / 轻量工具：销售易、简道云、九数云、Databox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销售易的目标管理和 CRM 任务闭环、简道云的低代码配置、九数云 / Databox 的快速上线，都是可借鉴的。但数据边界、治理深度、跨系统能力不足；它们更像“单点工具”，不是“经营操作系统”。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速写小结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可借鉴：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订阅 + 阈值告警、角色化摘要、风险评分、国内 IM 推送、私有化交付。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不能学：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把订阅当结论、把告警当闭环、把 CRM 当全域数据、把 BI 工具当产品。</w:t>
            </w:r>
          </w:p>
        </w:tc>
      </w:tr>
    </w:tbl>
    <w:p>
      <w:pPr>
        <w:keepNext/>
        <w:pageBreakBefore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1.4  功能对比矩阵：没有一行同时满足五个关键格</w:t>
      </w:r>
    </w:p>
    <w:p>
      <w:pPr>
        <w:spacing w:before="0" w:after="80" w:line="324" w:lineRule="auto"/>
      </w:pPr>
      <w:r>
        <w:rPr>
          <w:rFonts w:ascii="微软雅黑" w:hAnsi="微软雅黑" w:eastAsia="微软雅黑" w:cs="微软雅黑"/>
          <w:b/>
          <w:i w:val="0"/>
          <w:color w:val="666666"/>
          <w:sz w:val="15"/>
          <w:u w:val="none"/>
        </w:rPr>
        <w:t>图例：</w:t>
      </w:r>
      <w:r>
        <w:rPr>
          <w:rFonts w:ascii="微软雅黑" w:hAnsi="微软雅黑" w:eastAsia="微软雅黑" w:cs="微软雅黑"/>
          <w:b w:val="0"/>
          <w:i w:val="0"/>
          <w:color w:val="666666"/>
          <w:sz w:val="15"/>
          <w:u w:val="none"/>
        </w:rPr>
        <w:t>● 原生 / 强    ◐ 需配置或部分支持    ○ 弱 / 不支持。基于公开资料定性评估，未做 POC；成本为典型量级，不代表报价。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8"/>
        <w:gridCol w:w="765"/>
        <w:gridCol w:w="879"/>
        <w:gridCol w:w="935"/>
        <w:gridCol w:w="822"/>
        <w:gridCol w:w="737"/>
        <w:gridCol w:w="879"/>
        <w:gridCol w:w="737"/>
        <w:gridCol w:w="709"/>
        <w:gridCol w:w="1247"/>
      </w:tblGrid>
      <w:tr>
        <w:trPr>
          <w:cantSplit/>
          <w:tblHeader w:val="true"/>
          <w:trHeight w:val="360" w:hRule="atLeast"/>
        </w:trPr>
        <w:tc>
          <w:tcPr>
            <w:tcW w:type="dxa" w:w="1928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产品 / 产品组</w:t>
            </w:r>
          </w:p>
        </w:tc>
        <w:tc>
          <w:tcPr>
            <w:tcW w:type="dxa" w:w="765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跨系统</w:t>
            </w:r>
          </w:p>
        </w:tc>
        <w:tc>
          <w:tcPr>
            <w:tcW w:type="dxa" w:w="879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预置营销指标</w:t>
            </w:r>
          </w:p>
        </w:tc>
        <w:tc>
          <w:tcPr>
            <w:tcW w:type="dxa" w:w="935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角色化日周简报</w:t>
            </w:r>
          </w:p>
        </w:tc>
        <w:tc>
          <w:tcPr>
            <w:tcW w:type="dxa" w:w="822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国内 IM 推送</w:t>
            </w:r>
          </w:p>
        </w:tc>
        <w:tc>
          <w:tcPr>
            <w:tcW w:type="dxa" w:w="737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风险分级</w:t>
            </w:r>
          </w:p>
        </w:tc>
        <w:tc>
          <w:tcPr>
            <w:tcW w:type="dxa" w:w="879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认领 / SLA 闭环</w:t>
            </w:r>
          </w:p>
        </w:tc>
        <w:tc>
          <w:tcPr>
            <w:tcW w:type="dxa" w:w="737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行级权限</w:t>
            </w:r>
          </w:p>
        </w:tc>
        <w:tc>
          <w:tcPr>
            <w:tcW w:type="dxa" w:w="709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私有化</w:t>
            </w:r>
          </w:p>
        </w:tc>
        <w:tc>
          <w:tcPr>
            <w:tcW w:type="dxa" w:w="1247"/>
            <w:shd w:val="clear" w:color="auto" w:fill="1F3864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典型成本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Power BI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高（按用户）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Tableau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高（按用户）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Databox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中（订阅）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Clari / Salesloft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高（企业）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Salesforce RI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高（企业）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Niona Reports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低（免费 / 订阅）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FineBI / FineReport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中高（项目）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观远数据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中高（项目）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销售易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中高（订阅）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简道云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中（订阅）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九数云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中低（订阅）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Apache Superset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低（开源 + 实施）</w:t>
            </w:r>
          </w:p>
        </w:tc>
      </w:tr>
      <w:tr>
        <w:trPr>
          <w:cantSplit/>
        </w:trPr>
        <w:tc>
          <w:tcPr>
            <w:tcW w:type="dxa" w:w="1928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6"/>
                <w:u w:val="none"/>
              </w:rPr>
              <w:t>Metabase</w:t>
            </w:r>
          </w:p>
        </w:tc>
        <w:tc>
          <w:tcPr>
            <w:tcW w:type="dxa" w:w="76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935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22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87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○</w:t>
            </w:r>
          </w:p>
        </w:tc>
        <w:tc>
          <w:tcPr>
            <w:tcW w:type="dxa" w:w="73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◐</w:t>
            </w:r>
          </w:p>
        </w:tc>
        <w:tc>
          <w:tcPr>
            <w:tcW w:type="dxa" w:w="709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●</w:t>
            </w:r>
          </w:p>
        </w:tc>
        <w:tc>
          <w:tcPr>
            <w:tcW w:type="dxa" w:w="1247"/>
            <w:tcMar>
              <w:top w:w="38" w:type="dxa"/>
              <w:left w:w="52" w:type="dxa"/>
              <w:bottom w:w="38" w:type="dxa"/>
              <w:right w:w="52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6"/>
                <w:u w:val="none"/>
              </w:rPr>
              <w:t>低（开源 + 实施）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1  13 个代表产品 / 产品组的能力对比。来源：各产品公开文档、应用市场页面、GitHub 仓库，检索日期 2026-10-24。</w:t>
      </w:r>
    </w:p>
    <w:p>
      <w:pPr>
        <w:spacing w:before="10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读表结论：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通用 BI 在“跨系统、权限、私有化”得分高，但在“角色简报、闭环”普遍弱；CRM / 营收智能在“风险分级、闭环”得分高，但“跨系统、国内 IM、私有化”弱；开源 BI 是底座，不是成品。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没有一行同时拿到五个关键格：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跨系统、角色化简报、国内 IM、风险分级、认领 / SLA 闭环。这就是产品空位。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Niona 是最近的产品信号：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证明“角色化日报 + 风险提醒”有需求，但 HubSpot-only、安装量小，说明市场尚未被占领。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中国 BI 的基线必须对齐：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国内 IM 推送、私有化、订阅 / 预警是入场券；只做“网页看板”不够。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1.5  竞品启示：哪些必须做，哪些不要做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948"/>
        <w:gridCol w:w="1361"/>
        <w:gridCol w:w="1134"/>
        <w:gridCol w:w="4195"/>
      </w:tblGrid>
      <w:tr>
        <w:trPr>
          <w:cantSplit/>
          <w:tblHeader w:val="true"/>
          <w:trHeight w:val="360" w:hRule="atLeast"/>
        </w:trPr>
        <w:tc>
          <w:tcPr>
            <w:tcW w:type="dxa" w:w="294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能力层</w:t>
            </w:r>
          </w:p>
        </w:tc>
        <w:tc>
          <w:tcPr>
            <w:tcW w:type="dxa" w:w="136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市场供给</w:t>
            </w:r>
          </w:p>
        </w:tc>
        <w:tc>
          <w:tcPr>
            <w:tcW w:type="dxa" w:w="113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建议</w:t>
            </w:r>
          </w:p>
        </w:tc>
        <w:tc>
          <w:tcPr>
            <w:tcW w:type="dxa" w:w="419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理由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数据连接 / 调度 / 图表 / 权限 / 导出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成熟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买 / 开源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不构成差异化，自研拖慢上线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12 项指标口径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半成熟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自研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口径是客户信任的基础，必须可解释、可版本化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角色化日周简报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稀缺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自研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决定用户“看不看”，是产品体验的核心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6 类风险规则库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半成熟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自研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决定“准不准”，需要行业知识与回测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认领 / SLA / 升级 / 关闭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稀缺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自研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决定“有没有用”，是经营闭环的核心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国内 IM 卡片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成熟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集成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不自建 IM，做官方 API 适配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CRM / ERP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成熟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集成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不自建源系统，只读接入</w:t>
            </w:r>
          </w:p>
        </w:tc>
      </w:tr>
      <w:tr>
        <w:trPr>
          <w:cantSplit/>
        </w:trPr>
        <w:tc>
          <w:tcPr>
            <w:tcW w:type="dxa" w:w="294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AI 摘要 / 归因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早期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二期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先模板化，避免幻觉；LLM 只做润色</w:t>
            </w:r>
          </w:p>
        </w:tc>
      </w:tr>
    </w:tbl>
    <w:p>
      <w:pPr>
        <w:spacing w:before="100" w:after="40" w:line="324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三条不要做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01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不做通用自助 BI。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PRD 明确非目标，且市场红海；固定模板 + 受限下钻足够覆盖 4 类角色。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02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不做 CRM / ERP。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它们是数据源，不是本产品的价值；自建会陷入无底洞。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03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不做原生 App / 小程序。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Web + 钉钉 / 企微 H5 已覆盖；首版做原生是 ROI 最低的投入。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一句话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竞品告诉我们：BI 已过剩，经营闭环稀缺；不要用自研去补通用能力，要用自研去占空位。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1.6  我们的竞争定位：跨系统经营闭环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定位句：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给四类管理者的一套跨系统经营简报与风险闭环系统——每天 08:30 把结论、Top3 和风险送到 IM，责任人 4 小时内认领，超时升级，关闭留痕。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74"/>
        <w:gridCol w:w="8164"/>
      </w:tblGrid>
      <w:tr>
        <w:trPr>
          <w:cantSplit/>
          <w:tblHeader w:val="true"/>
          <w:trHeight w:val="360" w:hRule="atLeast"/>
        </w:trPr>
        <w:tc>
          <w:tcPr>
            <w:tcW w:type="dxa" w:w="147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维度</w:t>
            </w:r>
          </w:p>
        </w:tc>
        <w:tc>
          <w:tcPr>
            <w:tcW w:type="dxa" w:w="816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我们的定义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数据边界</w:t>
            </w:r>
          </w:p>
        </w:tc>
        <w:tc>
          <w:tcPr>
            <w:tcW w:type="dxa" w:w="81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 + ERP / 财务 + 投放 + 目标 + HR，统一到客户 / 商机 / 合同 / 回款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用户</w:t>
            </w:r>
          </w:p>
        </w:tc>
        <w:tc>
          <w:tcPr>
            <w:tcW w:type="dxa" w:w="81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四类管理角色，不是只给销售，也不是只给老板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输出</w:t>
            </w:r>
          </w:p>
        </w:tc>
        <w:tc>
          <w:tcPr>
            <w:tcW w:type="dxa" w:w="81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角色化日 / 周简报：3 条结论 + Top3 + 风险 + 动作，不是一张看板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动作</w:t>
            </w:r>
          </w:p>
        </w:tc>
        <w:tc>
          <w:tcPr>
            <w:tcW w:type="dxa" w:w="81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 类风险分级、责任人、SLA、两级升级、关闭留痕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交付</w:t>
            </w:r>
          </w:p>
        </w:tc>
        <w:tc>
          <w:tcPr>
            <w:tcW w:type="dxa" w:w="81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PC Web + 钉钉 / 企微 H5 + 机器人卡片；可私有化</w:t>
            </w:r>
          </w:p>
        </w:tc>
      </w:tr>
    </w:tbl>
    <w:p>
      <w:pPr>
        <w:spacing w:before="6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三个壁垒：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口径资产（12 项指标可版本化）、工作流资产（SLA / 升级 / 审计）、使用习惯（晨会 / 周会 / IM 卡片）。这三件事越用越难替换，才是产品护城河。</w:t>
      </w:r>
    </w:p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02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Make-or-Buy：买底座，自研闭环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Make-or-Buy 不是“自己做还是买”的二选一，而是“哪一层自己做、哪一层买”。判断标准只有四个：个性化需求、可获取性、总拥有成本、整合难度；再加两个约束：战略壁垒、合规 / 数据主权。</w:t>
      </w:r>
    </w:p>
    <w:p>
      <w:pPr>
        <w:keepNext/>
        <w:spacing w:before="8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2.1  决策框架：六个维度，一条规则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4082"/>
        <w:gridCol w:w="1814"/>
        <w:gridCol w:w="2041"/>
      </w:tblGrid>
      <w:tr>
        <w:trPr>
          <w:cantSplit/>
          <w:tblHeader w:val="true"/>
          <w:trHeight w:val="360" w:hRule="atLeast"/>
        </w:trPr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维度</w:t>
            </w:r>
          </w:p>
        </w:tc>
        <w:tc>
          <w:tcPr>
            <w:tcW w:type="dxa" w:w="408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要问的问题</w:t>
            </w:r>
          </w:p>
        </w:tc>
        <w:tc>
          <w:tcPr>
            <w:tcW w:type="dxa" w:w="181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评分 1–5</w:t>
            </w:r>
          </w:p>
        </w:tc>
        <w:tc>
          <w:tcPr>
            <w:tcW w:type="dxa" w:w="204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  <w:u w:val="none"/>
              </w:rPr>
              <w:t>用法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个性化需求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是否只有我们能定义？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5 = 强差异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≥4 优先自研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可获取性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市场是否有成熟产品 / 开源？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5 = 很成熟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≥4 优先买 / 开源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整合难度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数据、权限、UI、运维是否复杂？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5 = 很难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高则倾向买底座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总拥有成本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3 年许可 + 实施 + 维护 + 迁移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5 = 很高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不只看首年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战略壁垒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是否形成数据 / 工作流资产？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5 = 核心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核心必须自研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合规 / 主权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是否涉及敏感数据 / 私有化？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5 = 高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优先可私有化</w:t>
            </w:r>
          </w:p>
        </w:tc>
      </w:tr>
    </w:tbl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决策规则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差异化 ≥4 且可获取性 ≤2 → 自研；差异化 ≤2 且可获取性 ≥4 → 买 / 开源；中间地带 → 买底座 + 自研配料。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7"/>
                <w:u w:val="none"/>
              </w:rPr>
              <w:t>评分用于排序和讨论，不作为财务测算；最终决策还要看数据可得性、团队能力和上线时间。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2.2  能力拆解与决策：13 项能力，4 造 6 开源 3 集成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14"/>
        <w:gridCol w:w="680"/>
        <w:gridCol w:w="680"/>
        <w:gridCol w:w="794"/>
        <w:gridCol w:w="1814"/>
        <w:gridCol w:w="3855"/>
      </w:tblGrid>
      <w:tr>
        <w:trPr>
          <w:cantSplit/>
          <w:tblHeader w:val="true"/>
          <w:trHeight w:val="360" w:hRule="atLeast"/>
        </w:trPr>
        <w:tc>
          <w:tcPr>
            <w:tcW w:type="dxa" w:w="181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能力</w:t>
            </w:r>
          </w:p>
        </w:tc>
        <w:tc>
          <w:tcPr>
            <w:tcW w:type="dxa" w:w="680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差异化</w:t>
            </w:r>
          </w:p>
        </w:tc>
        <w:tc>
          <w:tcPr>
            <w:tcW w:type="dxa" w:w="680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可获取</w:t>
            </w:r>
          </w:p>
        </w:tc>
        <w:tc>
          <w:tcPr>
            <w:tcW w:type="dxa" w:w="79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整合难度</w:t>
            </w:r>
          </w:p>
        </w:tc>
        <w:tc>
          <w:tcPr>
            <w:tcW w:type="dxa" w:w="181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决策</w:t>
            </w:r>
          </w:p>
        </w:tc>
        <w:tc>
          <w:tcPr>
            <w:tcW w:type="dxa" w:w="385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具体方案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数据接入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 + 自研连接器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SeaTunnel / DataX；CRM、ERP、广告 API 连接器自研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调度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DolphinScheduler；团队已用 Airflow 则沿用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数仓 / 建模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PostgreSQL + dbt；明细 &gt;5,000 万行再引入 ClickHouse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指标语义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自研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 项指标 DSL + dbt + 指标 API，口径可版本化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图表 / 前端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Next.js + Ant Design + ECharts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角色简报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自研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 角色 × 日 / 周模板 + 结论 / Top3 / 动作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风险规则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自研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 类 / ≥12 条 + 回测 + 影子运行 + 版本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闭环工作流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自研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状态机 + SLA 计时 + 两级升级 + 审计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权限 / 审计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 + 自研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Keycloak + Casbin + 行级策略 + 审计日志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通知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集成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钉钉 / 企微 / 邮件适配器，不自建 IM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PDF / Excel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Gotenberg / Playwright + openpyxl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AI 摘要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二期外购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模板优先；LLM 只润色，不生成事实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CRM / ERP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</w:t>
            </w:r>
          </w:p>
        </w:tc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不造</w:t>
            </w:r>
          </w:p>
        </w:tc>
        <w:tc>
          <w:tcPr>
            <w:tcW w:type="dxa" w:w="385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只读集成，不回写；源系统仍是唯一事实源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评分：5 = 最强 / 最难 / 最高；整合难度 5 = 最难。表 2  Make-or-Buy 能力决策矩阵。</w:t>
      </w:r>
    </w:p>
    <w:p>
      <w:pPr>
        <w:spacing w:before="8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读表结论：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自研集中在 4 个领域（指标、简报、风险、闭环）；开源集中在 6 个底座（前端、图表、调度、集成、权限、导出）；集成集中在 3 类（源系统、IM、AI API）。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2.3  三条路线：为什么混合路线赢</w:t>
      </w:r>
    </w:p>
    <w:tbl>
      <w:tblPr>
        <w:tblStyle w:val="TableGrid"/>
        <w:tblW w:type="dxa" w:w="119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7"/>
        <w:gridCol w:w="2835"/>
        <w:gridCol w:w="1701"/>
        <w:gridCol w:w="1134"/>
        <w:gridCol w:w="1701"/>
        <w:gridCol w:w="3118"/>
      </w:tblGrid>
      <w:tr>
        <w:trPr>
          <w:cantSplit/>
          <w:tblHeader w:val="true"/>
          <w:trHeight w:val="360" w:hRule="atLeast"/>
        </w:trPr>
        <w:tc>
          <w:tcPr>
            <w:tcW w:type="dxa" w:w="141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路线</w:t>
            </w:r>
          </w:p>
        </w:tc>
        <w:tc>
          <w:tcPr>
            <w:tcW w:type="dxa" w:w="283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技术组合</w:t>
            </w:r>
          </w:p>
        </w:tc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周期</w:t>
            </w:r>
          </w:p>
        </w:tc>
        <w:tc>
          <w:tcPr>
            <w:tcW w:type="dxa" w:w="113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人月</w:t>
            </w:r>
          </w:p>
        </w:tc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优点</w:t>
            </w:r>
          </w:p>
        </w:tc>
        <w:tc>
          <w:tcPr>
            <w:tcW w:type="dxa" w:w="311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风险 / 结论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全自研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自建 BI、调度、权限、前端、导出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20–24 周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35–45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完全可控、无 license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重复造轮子、招聘难、上线慢；不推荐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全采购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FineBI / 观远 + 定制门户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10–12 周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12–18 + 厂商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快、成熟、有支持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产品上限被锁死、许可 / 绑定、闭环仍需定制；仅适合短期</w:t>
            </w:r>
          </w:p>
        </w:tc>
      </w:tr>
      <w:tr>
        <w:trPr>
          <w:cantSplit/>
        </w:trPr>
        <w:tc>
          <w:tcPr>
            <w:tcW w:type="dxa" w:w="141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混合（推荐）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开源底座 + 自研产品层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16 周 + 4 周试点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27–30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快、可控、形成资产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需要架构与数据能力；推荐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人月为量级估算，含产品、前端、后端、数据、测试；不含企业数据治理人力。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全采购看似最快，但产品上限被厂商锁死：订阅、预警、权限都是通用能力，无法按你的 6 类风险、4 类角色、SLA 去改；深度定制又回到项目制。全自研看似最可控，但 3–4 个月会耗在权限、导出、图表、调度这些已经商品化的坑里。混合路线把“底座”变成别人的成本，把“闭环”变成自己的资产。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2.4  自研边界：只做四件事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01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指标语义层。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12 项指标不是 12 个 SQL，而是一套可版本化的口径：分子 / 分母、时间窗口、组织归属、含税 / 币种、退款 / 冲减、迟到数据。所有页面、导出、预警必须引用同一套定义。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02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简报编排。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四类角色 × 日 / 周 × 固定结构：3 条结论、指标卡、增长 / 下滑 Top3、风险 Top3、动作建议、数据说明。不是自由拖拽，而是“把结论写给人看”。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03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风险规则库。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6 类、≥12 条；每条含规则、阈值、级别、责任人、动作模板；支持 12 个月回测、2 周影子运行、版本与灰度。规则是业务资产，不是 if-else 堆砌。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04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闭环工作流。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待认领 → 处理中 → 已关闭 / 误报 / 长期跟踪；红 4h、橙 8h、黄 1d 认领；3 / 5 / 10 个工作日关闭；超时最多两级升级；全程审计，周报汇总闭环率。</w:t>
      </w:r>
    </w:p>
    <w:p>
      <w:pPr>
        <w:spacing w:before="80" w:after="40" w:line="324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同样重要的是“不做什么”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不做拖拽式报表设计器。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固定模板 + 受限下钻，降低交付与测试成本。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不做通用 BPMN。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只做风险生命周期，状态机足够；复杂审批交给 OA。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首版不做 AI 自动归因。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模板 / 规则先生成事实，LLM 只做润色；避免“说得像真的”。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不自建 CRM / ERP / IM。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只读集成，保持源系统权威。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Make-or-Buy 结论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买底座、自研闭环、集成源系统。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  <w:u w:val="none"/>
              </w:rPr>
              <w:t>钱花在：数据接入与治理、产品层研发、试点运营。不花在：通用 BI license、重复造图表 / 权限 / 导出。</w:t>
            </w:r>
          </w:p>
        </w:tc>
      </w:tr>
    </w:tbl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03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GitHub 开源组件调研：找底座，不找“大而全”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GitHub 调研的目标不是“找一个大而全的项目直接改”，而是找可组装的底座，并提前识别许可证风险。</w:t>
      </w:r>
    </w:p>
    <w:p>
      <w:pPr>
        <w:keepNext/>
        <w:spacing w:before="8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3.1  检索方法：从 30+ 候选到 19 个重点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关键词：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sales analytics dashboard、revenue intelligence、business intelligence、semantic layer、workflow engine、dingtalk bot、wecom bot、html to pdf、excel export、risk alert。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筛选标准：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stars &gt;1k、近 12 个月有提交、许可证明确、文档 / issue 活跃、与 PRD 能力匹配；不只看 stars。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结果：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30+ 候选 → 19 个重点评估。搜索“销售看板 / 销售日报”返回大量课程、演示、Streamlit 项目，不是生产级产品；这本身说明“开箱即用”的供给很少。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日期：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2026-10-24。stars 会变化，仅作社区热度参考；生产成熟度看 release、issue 响应、文档与许可证。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3.2  推荐核心组件：14 个可以进生产清单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47"/>
        <w:gridCol w:w="2438"/>
        <w:gridCol w:w="794"/>
        <w:gridCol w:w="1474"/>
        <w:gridCol w:w="964"/>
        <w:gridCol w:w="2041"/>
        <w:gridCol w:w="680"/>
      </w:tblGrid>
      <w:tr>
        <w:trPr>
          <w:cantSplit/>
          <w:tblHeader w:val="true"/>
          <w:trHeight w:val="360" w:hRule="atLeast"/>
        </w:trPr>
        <w:tc>
          <w:tcPr>
            <w:tcW w:type="dxa" w:w="1247"/>
            <w:shd w:val="clear" w:color="auto" w:fill="1F38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层</w:t>
            </w:r>
          </w:p>
        </w:tc>
        <w:tc>
          <w:tcPr>
            <w:tcW w:type="dxa" w:w="2438"/>
            <w:shd w:val="clear" w:color="auto" w:fill="1F38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仓库</w:t>
            </w:r>
          </w:p>
        </w:tc>
        <w:tc>
          <w:tcPr>
            <w:tcW w:type="dxa" w:w="794"/>
            <w:shd w:val="clear" w:color="auto" w:fill="1F38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Stars</w:t>
            </w:r>
          </w:p>
        </w:tc>
        <w:tc>
          <w:tcPr>
            <w:tcW w:type="dxa" w:w="1474"/>
            <w:shd w:val="clear" w:color="auto" w:fill="1F38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License</w:t>
            </w:r>
          </w:p>
        </w:tc>
        <w:tc>
          <w:tcPr>
            <w:tcW w:type="dxa" w:w="964"/>
            <w:shd w:val="clear" w:color="auto" w:fill="1F38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最近提交</w:t>
            </w:r>
          </w:p>
        </w:tc>
        <w:tc>
          <w:tcPr>
            <w:tcW w:type="dxa" w:w="2041"/>
            <w:shd w:val="clear" w:color="auto" w:fill="1F38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在本项目中的角色</w:t>
            </w:r>
          </w:p>
        </w:tc>
        <w:tc>
          <w:tcPr>
            <w:tcW w:type="dxa" w:w="680"/>
            <w:shd w:val="clear" w:color="auto" w:fill="1F38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结论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前端框架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vercel/next.js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143.2k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PC Web / H5 同构、SSR、路由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UI 组件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ant-design/ant-design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99.9k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中后台、表格、表单、弹窗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图表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apache/echarts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67.6k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指标卡、趋势、漏斗、下钻图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API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fastapi/fastapi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104.1k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OpenAPI、异步、Python 数据栈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调度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apache/dolphinscheduler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14.5k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可视化 DAG、日批、重跑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数据集成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apache/seatunnel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9.8k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批量 / 增量同步、国内连接器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数据建模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dbt-labs/dbt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14.1k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DWD / ADS、测试、文档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SSO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keycloak/keycloak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37.5k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OIDC / SAML、组织、角色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授权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casbin/casbin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20.5k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2026-10-21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RBAC / ABAC、策略模型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PDF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gotenberg/gotenberg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13.4k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HTML → PDF、页眉页脚、水印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Excel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exceljs/exceljs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15.5k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2025-01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前端 / Node 导出；后端可用 openpyxl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可用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缓存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valkey-io/valkey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27.5k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BSD-3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会话、热点缓存、分布式锁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采用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BI 探索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apache/superset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75.3k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内部数据分析师探索，非客户侧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可选</w:t>
            </w:r>
          </w:p>
        </w:tc>
      </w:tr>
      <w:tr>
        <w:trPr>
          <w:cantSplit/>
        </w:trPr>
        <w:tc>
          <w:tcPr>
            <w:tcW w:type="dxa" w:w="1247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语义层</w:t>
            </w:r>
          </w:p>
        </w:tc>
        <w:tc>
          <w:tcPr>
            <w:tcW w:type="dxa" w:w="2438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cube-js/cube</w:t>
            </w:r>
          </w:p>
        </w:tc>
        <w:tc>
          <w:tcPr>
            <w:tcW w:type="dxa" w:w="79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21.1k</w:t>
            </w:r>
          </w:p>
        </w:tc>
        <w:tc>
          <w:tcPr>
            <w:tcW w:type="dxa" w:w="147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964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2026-10-24</w:t>
            </w:r>
          </w:p>
        </w:tc>
        <w:tc>
          <w:tcPr>
            <w:tcW w:type="dxa" w:w="2041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二期语义层 / API 备选</w:t>
            </w:r>
          </w:p>
        </w:tc>
        <w:tc>
          <w:tcPr>
            <w:tcW w:type="dxa" w:w="680"/>
            <w:tcMar>
              <w:top w:w="36" w:type="dxa"/>
              <w:left w:w="50" w:type="dxa"/>
              <w:bottom w:w="36" w:type="dxa"/>
              <w:right w:w="50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备选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3  推荐核心组件。Stars / 最近提交来自 GitHub API，检索日期 2026-10-24；License 以仓库 LICENSE 为准。</w:t>
      </w:r>
    </w:p>
    <w:p>
      <w:pPr>
        <w:spacing w:before="8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选型逻辑：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前端和后端都选“生态大、文档好、招人容易”的框架；数据层选 Apache-2.0、可私有化、国内资料多的项目；BI 只给内部用，避免把通用 BI 变成客户侧产品。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3.3  备选与不建议：许可证先于功能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7"/>
        <w:gridCol w:w="794"/>
        <w:gridCol w:w="1701"/>
        <w:gridCol w:w="2041"/>
        <w:gridCol w:w="3515"/>
      </w:tblGrid>
      <w:tr>
        <w:trPr>
          <w:cantSplit/>
          <w:tblHeader w:val="true"/>
          <w:trHeight w:val="360" w:hRule="atLeast"/>
        </w:trPr>
        <w:tc>
          <w:tcPr>
            <w:tcW w:type="dxa" w:w="158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项目</w:t>
            </w:r>
          </w:p>
        </w:tc>
        <w:tc>
          <w:tcPr>
            <w:tcW w:type="dxa" w:w="79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Stars</w:t>
            </w:r>
          </w:p>
        </w:tc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License</w:t>
            </w:r>
          </w:p>
        </w:tc>
        <w:tc>
          <w:tcPr>
            <w:tcW w:type="dxa" w:w="204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用途</w:t>
            </w:r>
          </w:p>
        </w:tc>
        <w:tc>
          <w:tcPr>
            <w:tcW w:type="dxa" w:w="351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结论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Metabase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49.8k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AGPL-3.0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易用 BI、告警 / 订阅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不嵌入闭源产品；可内部试用或买商业许可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Lightdash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6.2k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 core + EE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dbt 原生 BI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备选；注意 EE 功能边界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Airbyte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22.3k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Elastic-2.0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600+ 连接器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不提供托管服务；内部使用或商业许可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n8n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208.4k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Sustainable Use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自动化编排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不转售 / 不托管；避免产品内核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DataEase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24.6k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GPLv3（修改版）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国产 BI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不嵌入；仅独立部署参考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Twenty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59.6k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AGPL-3.0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现代 CRM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不嵌入；可参考 UX / 数据模型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ERPNext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40.5k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GPL-3.0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ERP / CRM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仅作为客户现有系统集成，不打包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Redash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28.8k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BSD-2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SQL 看板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维护放缓，不选</w:t>
            </w:r>
          </w:p>
        </w:tc>
      </w:tr>
      <w:tr>
        <w:trPr>
          <w:cantSplit/>
        </w:trPr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Kettle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8.4k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BSL 1.1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ETL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生产使用限制，不选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4  备选与不建议项目。AGPL / GPL / ELv2 / SUL / BSL 均需法务评审，不能只看“开源”二字。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3.4  推荐组合：一条能落地的技术栈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47"/>
        <w:gridCol w:w="3515"/>
        <w:gridCol w:w="3175"/>
        <w:gridCol w:w="1701"/>
      </w:tblGrid>
      <w:tr>
        <w:trPr>
          <w:cantSplit/>
          <w:tblHeader w:val="true"/>
          <w:trHeight w:val="360" w:hRule="atLeast"/>
        </w:trPr>
        <w:tc>
          <w:tcPr>
            <w:tcW w:type="dxa" w:w="124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层</w:t>
            </w:r>
          </w:p>
        </w:tc>
        <w:tc>
          <w:tcPr>
            <w:tcW w:type="dxa" w:w="351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选型</w:t>
            </w:r>
          </w:p>
        </w:tc>
        <w:tc>
          <w:tcPr>
            <w:tcW w:type="dxa" w:w="317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理由</w:t>
            </w:r>
          </w:p>
        </w:tc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备选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前端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Next.js + Ant Design + ECharts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TS 生态、SSR、组件全、图表强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Vue / Nuxt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API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FastAPI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Python 数据栈、OpenAPI、异步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NestJS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数据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PostgreSQL + dbt + DolphinScheduler + SeaTunnel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成熟、可私有化、国内资料多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Airflow + DataX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语义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自研指标服务；Cube 二期备选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12 项指标简单，避免过度设计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Cube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权限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Keycloak + Casbin + 行级策略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标准 SSO / RBAC / ABAC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OpenFGA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导出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Gotenberg + openpyxl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HTML→PDF、Excel、水印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Playwright + ExcelJS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通知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钉钉 / 企微官方 API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原生卡片、免登、回跳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邮件兜底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部署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Docker Compose → Kubernetes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试点快、生产可扩展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托管 K8s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监控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Prometheus + Loki + Grafana（内部）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标准、便宜、可观测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云监控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3.5  许可证风险：四条红线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41"/>
        <w:gridCol w:w="3628"/>
        <w:gridCol w:w="850"/>
        <w:gridCol w:w="3118"/>
      </w:tblGrid>
      <w:tr>
        <w:trPr>
          <w:cantSplit/>
          <w:tblHeader w:val="true"/>
          <w:trHeight w:val="360" w:hRule="atLeast"/>
        </w:trPr>
        <w:tc>
          <w:tcPr>
            <w:tcW w:type="dxa" w:w="204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许可证</w:t>
            </w:r>
          </w:p>
        </w:tc>
        <w:tc>
          <w:tcPr>
            <w:tcW w:type="dxa" w:w="362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代表项目</w:t>
            </w:r>
          </w:p>
        </w:tc>
        <w:tc>
          <w:tcPr>
            <w:tcW w:type="dxa" w:w="850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风险</w:t>
            </w:r>
          </w:p>
        </w:tc>
        <w:tc>
          <w:tcPr>
            <w:tcW w:type="dxa" w:w="311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使用边界</w:t>
            </w:r>
          </w:p>
        </w:tc>
      </w:tr>
      <w:tr>
        <w:trPr>
          <w:cantSplit/>
        </w:trPr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MIT / BSD / Apache-2.0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Next.js、Ant Design、ECharts、FastAPI、Keycloak、Casbin、DolphinScheduler、SeaTunnel、dbt、Gotenberg、Valkey</w:t>
            </w:r>
          </w:p>
        </w:tc>
        <w:tc>
          <w:tcPr>
            <w:tcW w:type="dxa" w:w="85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低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保留版权 / NOTICE；Apache 含专利授权，适合闭源产品</w:t>
            </w:r>
          </w:p>
        </w:tc>
      </w:tr>
      <w:tr>
        <w:trPr>
          <w:cantSplit/>
        </w:trPr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AGPL-3.0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Metabase、Twenty、ToolJet、Grafana</w:t>
            </w:r>
          </w:p>
        </w:tc>
        <w:tc>
          <w:tcPr>
            <w:tcW w:type="dxa" w:w="85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网络服务也可能触发源码披露；不嵌入闭源核心，独立进程也需法务评审</w:t>
            </w:r>
          </w:p>
        </w:tc>
      </w:tr>
      <w:tr>
        <w:trPr>
          <w:cantSplit/>
        </w:trPr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GPL-3.0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ERPNext、DataEase（修改版）</w:t>
            </w:r>
          </w:p>
        </w:tc>
        <w:tc>
          <w:tcPr>
            <w:tcW w:type="dxa" w:w="85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分发 / 链接可能传染；仅独立集成，不打包</w:t>
            </w:r>
          </w:p>
        </w:tc>
      </w:tr>
      <w:tr>
        <w:trPr>
          <w:cantSplit/>
        </w:trPr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Elastic-2.0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Airbyte</w:t>
            </w:r>
          </w:p>
        </w:tc>
        <w:tc>
          <w:tcPr>
            <w:tcW w:type="dxa" w:w="85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中高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禁止把产品作为托管服务提供；内部使用或商业许可</w:t>
            </w:r>
          </w:p>
        </w:tc>
      </w:tr>
      <w:tr>
        <w:trPr>
          <w:cantSplit/>
        </w:trPr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Sustainable Use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n8n</w:t>
            </w:r>
          </w:p>
        </w:tc>
        <w:tc>
          <w:tcPr>
            <w:tcW w:type="dxa" w:w="85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中高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限制转售 / 托管；不作为产品内核</w:t>
            </w:r>
          </w:p>
        </w:tc>
      </w:tr>
      <w:tr>
        <w:trPr>
          <w:cantSplit/>
        </w:trPr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BSL 1.1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Kettle</w:t>
            </w:r>
          </w:p>
        </w:tc>
        <w:tc>
          <w:tcPr>
            <w:tcW w:type="dxa" w:w="85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生产使用限制，直到变更日期；避免</w:t>
            </w:r>
          </w:p>
        </w:tc>
      </w:tr>
      <w:tr>
        <w:trPr>
          <w:cantSplit/>
        </w:trPr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自定义 Apache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Dify</w:t>
            </w:r>
          </w:p>
        </w:tc>
        <w:tc>
          <w:tcPr>
            <w:tcW w:type="dxa" w:w="85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311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多租户限制；二期若用需逐条审查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5  许可证风险清单。本报告不是法律意见；最终以法务评审和 SPDX 扫描为准。</w:t>
      </w:r>
    </w:p>
    <w:p>
      <w:pPr>
        <w:spacing w:before="80" w:after="40" w:line="324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合规动作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建立 SBOM：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每个交付版本生成软件物料清单，记录组件、版本、许可证、来源。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许可证扫描：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用 ScanCode / FOSSA / Syft 做 CI 门禁；AGPL / GPL / ELv2 / SUL 出现即阻断。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隔离与替换：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所有第三方组件通过适配层接入；关键位置保留可替换实现。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NOTICE 与源码义务：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Apache / BSD 保留声明；如使用 copyleft，按许可证履行源码提供义务。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一个原则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能 Apache / MIT 就不 GPL；能独立进程就不链接；能替换就不深度绑定。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3.6  选型检查清单：六个问题，缺一不可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74"/>
        <w:gridCol w:w="4762"/>
        <w:gridCol w:w="3402"/>
      </w:tblGrid>
      <w:tr>
        <w:trPr>
          <w:cantSplit/>
          <w:tblHeader w:val="true"/>
          <w:trHeight w:val="360" w:hRule="atLeast"/>
        </w:trPr>
        <w:tc>
          <w:tcPr>
            <w:tcW w:type="dxa" w:w="147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检查项</w:t>
            </w:r>
          </w:p>
        </w:tc>
        <w:tc>
          <w:tcPr>
            <w:tcW w:type="dxa" w:w="476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必须回答</w:t>
            </w:r>
          </w:p>
        </w:tc>
        <w:tc>
          <w:tcPr>
            <w:tcW w:type="dxa" w:w="340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通过标准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许可证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是否 OSI？是否 copyleft？能否闭源分发 / 托管？</w:t>
            </w:r>
          </w:p>
        </w:tc>
        <w:tc>
          <w:tcPr>
            <w:tcW w:type="dxa" w:w="34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法务签字；AGPL / GPL / ELv2 / SUL 不进核心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维护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近 12 个月是否有 release？issue 是否响应？</w:t>
            </w:r>
          </w:p>
        </w:tc>
        <w:tc>
          <w:tcPr>
            <w:tcW w:type="dxa" w:w="34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最近提交 &lt;6 个月；核心贡献者 ≥3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安全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是否有未修高危 CVE？依赖是否干净？</w:t>
            </w:r>
          </w:p>
        </w:tc>
        <w:tc>
          <w:tcPr>
            <w:tcW w:type="dxa" w:w="34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无高危未修；SBOM 可生成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可运维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能否私有化？监控、备份、升级是否完整？</w:t>
            </w:r>
          </w:p>
        </w:tc>
        <w:tc>
          <w:tcPr>
            <w:tcW w:type="dxa" w:w="34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有 Docker / Helm；有 runbook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可替换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是否有适配层？数据能否导出？</w:t>
            </w:r>
          </w:p>
        </w:tc>
        <w:tc>
          <w:tcPr>
            <w:tcW w:type="dxa" w:w="34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不锁定；关键位置可替换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成本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license + 实施 + 运维 + 迁移</w:t>
            </w:r>
          </w:p>
        </w:tc>
        <w:tc>
          <w:tcPr>
            <w:tcW w:type="dxa" w:w="34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 年 TCO 可接受；不只看首年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3.7  开源使用清单：每个交付物用到什么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按交付物列一遍，避免“选了但没用上”或“用了却没审”。所有组件以独立进程或标准库方式接入，核心业务代码不复制开源实现。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61"/>
        <w:gridCol w:w="3969"/>
        <w:gridCol w:w="1928"/>
        <w:gridCol w:w="2381"/>
      </w:tblGrid>
      <w:tr>
        <w:trPr>
          <w:cantSplit/>
          <w:tblHeader w:val="true"/>
          <w:trHeight w:val="360" w:hRule="atLeast"/>
        </w:trPr>
        <w:tc>
          <w:tcPr>
            <w:tcW w:type="dxa" w:w="136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交付物</w:t>
            </w:r>
          </w:p>
        </w:tc>
        <w:tc>
          <w:tcPr>
            <w:tcW w:type="dxa" w:w="3969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组件</w:t>
            </w:r>
          </w:p>
        </w:tc>
        <w:tc>
          <w:tcPr>
            <w:tcW w:type="dxa" w:w="192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许可证</w:t>
            </w:r>
          </w:p>
        </w:tc>
        <w:tc>
          <w:tcPr>
            <w:tcW w:type="dxa" w:w="238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使用方式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Web 前端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Next.js、Ant Design、ECharts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 / Apache-2.0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直接依赖，打包进前端产物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API 服务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FastAPI、Pydantic、SQLAlchemy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后端主框架，自研业务逻辑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数据同步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SeaTunnel、DolphinScheduler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独立进程，只做采集与调度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数据建模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PostgreSQL、dbt-core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PostgreSQL / Apache-2.0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仓库与分析转换层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身份权限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Keycloak、Casbin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OIDC 登录 + 接口级鉴权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导出打印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Gotenberg、openpyxl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MIT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独立服务 + 报表生成库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缓存会话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Valkey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BSD-3-Clause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缓存、会话、限流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内部 BI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Superset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仅内部分析，不对客户交付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二期可选</w:t>
            </w:r>
          </w:p>
        </w:tc>
        <w:tc>
          <w:tcPr>
            <w:tcW w:type="dxa" w:w="396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Cube</w:t>
            </w:r>
          </w:p>
        </w:tc>
        <w:tc>
          <w:tcPr>
            <w:tcW w:type="dxa" w:w="19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Apache-2.0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指标语义层，MVP 不引入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5-1  开源使用清单。版本与许可证以交付时 SBOM 为准；标“二期可选”的不进入 MVP 关键路径。</w:t>
      </w:r>
    </w:p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04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开发方案设计：20 周，从数据到闭环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开发方案设计的目标不是“技术先进”，而是“20 周内可试点、可验收、可运维”。以下方案按“模块化单体 + 数据批处理 + Web 优先”组织。</w:t>
      </w:r>
    </w:p>
    <w:p>
      <w:pPr>
        <w:keepNext/>
        <w:spacing w:before="8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4.1  参考与许可：借鉴思路，不复制代码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参考对象有三类：PRD V0.2（范围、角色、指标、风险、SLA）、竞品公开文档（交互与能力）、GitHub 项目（组件与许可证）。参考产品思路不等于复制代码；所有第三方代码按许可证使用，交付物附 NOTICE 与 SBOM。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4195"/>
        <w:gridCol w:w="3742"/>
      </w:tblGrid>
      <w:tr>
        <w:trPr>
          <w:cantSplit/>
          <w:tblHeader w:val="true"/>
          <w:trHeight w:val="360" w:hRule="atLeast"/>
        </w:trPr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参考</w:t>
            </w:r>
          </w:p>
        </w:tc>
        <w:tc>
          <w:tcPr>
            <w:tcW w:type="dxa" w:w="419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用途</w:t>
            </w:r>
          </w:p>
        </w:tc>
        <w:tc>
          <w:tcPr>
            <w:tcW w:type="dxa" w:w="374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许可 / 边界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PRD V0.2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范围、角色、12 项指标、6 类风险、SLA、验收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内部文档；口径以评审冻结版为准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竞品公开文档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订阅、预警、权限、交互、交付形态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只借鉴思路；不复制受版权保护的文案 / UI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Apache / MIT 项目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代码复用、组件集成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保留版权 / NOTICE；Apache 含专利授权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AGPL / GPL 项目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参考、独立集成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不链接 / 不嵌入闭源核心；法务评审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5"/>
                <w:u w:val="none"/>
              </w:rPr>
              <w:t>字体 / 图标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Web 字体、图标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5"/>
                <w:u w:val="none"/>
              </w:rPr>
              <w:t>Noto Sans SC（OFL）/ Ant Design Icons（MIT）；不打包微软雅黑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4.2  技术路线：混合路线，模块化单体</w:t>
      </w:r>
    </w:p>
    <w:tbl>
      <w:tblPr>
        <w:tblStyle w:val="TableGrid"/>
        <w:tblW w:type="dxa" w:w="1077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47"/>
        <w:gridCol w:w="4082"/>
        <w:gridCol w:w="1814"/>
        <w:gridCol w:w="1361"/>
        <w:gridCol w:w="2268"/>
      </w:tblGrid>
      <w:tr>
        <w:trPr>
          <w:cantSplit/>
          <w:tblHeader w:val="true"/>
          <w:trHeight w:val="360" w:hRule="atLeast"/>
        </w:trPr>
        <w:tc>
          <w:tcPr>
            <w:tcW w:type="dxa" w:w="124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路线</w:t>
            </w:r>
          </w:p>
        </w:tc>
        <w:tc>
          <w:tcPr>
            <w:tcW w:type="dxa" w:w="408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技术组合</w:t>
            </w:r>
          </w:p>
        </w:tc>
        <w:tc>
          <w:tcPr>
            <w:tcW w:type="dxa" w:w="181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周期</w:t>
            </w:r>
          </w:p>
        </w:tc>
        <w:tc>
          <w:tcPr>
            <w:tcW w:type="dxa" w:w="136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人月</w:t>
            </w:r>
          </w:p>
        </w:tc>
        <w:tc>
          <w:tcPr>
            <w:tcW w:type="dxa" w:w="226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结论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 全自研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Next.js + 自建 BI / 调度 / 权限 / 导出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20–24 周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35–45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不推荐：重复造轮子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B 全采购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FineBI / 观远 + 定制门户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10–12 周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12–18 + 厂商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仅短期：产品上限被锁死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C 混合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开源底座 + 自研产品层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16 周 + 4 周试点</w:t>
            </w:r>
          </w:p>
        </w:tc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27–30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推荐：快、可控、形成资产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推荐栈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61"/>
        <w:gridCol w:w="4195"/>
        <w:gridCol w:w="4082"/>
      </w:tblGrid>
      <w:tr>
        <w:trPr>
          <w:cantSplit/>
          <w:tblHeader w:val="true"/>
          <w:trHeight w:val="360" w:hRule="atLeast"/>
        </w:trPr>
        <w:tc>
          <w:tcPr>
            <w:tcW w:type="dxa" w:w="136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层</w:t>
            </w:r>
          </w:p>
        </w:tc>
        <w:tc>
          <w:tcPr>
            <w:tcW w:type="dxa" w:w="419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选型</w:t>
            </w:r>
          </w:p>
        </w:tc>
        <w:tc>
          <w:tcPr>
            <w:tcW w:type="dxa" w:w="408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理由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体验层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Next.js 14 + Ant Design 5 + ECharts 5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PC / H5 一套代码；SSR 首屏；组件与图表成熟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API 层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FastAPI + Pydantic + SQLAlchemy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Python 数据栈；OpenAPI 文档；异步任务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数据层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PostgreSQL 16 + dbt + DolphinScheduler + SeaTunnel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批处理、可重跑、可私有化；国内连接器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语义层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自研指标服务（MVP）；Cube（二期备选）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 项指标不需要完整 headless BI；避免过度设计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权限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Keycloak + Casbin + 行级策略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SSO / RBAC / ABAC；默认拒绝；审计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导出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Gotenberg + openpyxl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PDF 水印、Excel 多 sheet；服务端生成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通知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钉钉 / 企微机器人 + 邮件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卡片、免登、回跳；邮件兜底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部署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Docker Compose（试点）→ Kubernetes（生产）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试点 1 周可上线；生产可水平扩展</w:t>
            </w:r>
          </w:p>
        </w:tc>
      </w:tr>
      <w:tr>
        <w:trPr>
          <w:cantSplit/>
        </w:trPr>
        <w:tc>
          <w:tcPr>
            <w:tcW w:type="dxa" w:w="13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监控</w:t>
            </w:r>
          </w:p>
        </w:tc>
        <w:tc>
          <w:tcPr>
            <w:tcW w:type="dxa" w:w="419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Prometheus + Loki + Grafana（内部）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DAG、数据时效、推送成功率、API P95</w:t>
            </w:r>
          </w:p>
        </w:tc>
      </w:tr>
    </w:tbl>
    <w:p>
      <w:pPr>
        <w:spacing w:before="100" w:after="40" w:line="324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五个关键取舍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不用 Superset 做客户侧。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PRD 明确不做自助 BI；两套 UI、两套权限、AGPL / 运维都不划算。Superset 只给内部数据分析师。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不上微服务。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模块化单体，按域拆模块；数据 worker 独立部署。8 人团队上微服务是自找麻烦。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首版不上 ClickHouse。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PostgreSQL 先跑；当明细 &gt;5,000 万行或下钻 P95 &gt;2s 时再引入。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首版不上 Temporal。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SLA 是简单计时；数据库状态机 + 5 分钟扫描足够。复杂审批再上工作流引擎。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不让 AI 生成事实。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模板 / 规则先生成数字和结论；LLM 只做润色（二期），必须可追溯。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4.3  系统架构：七层，一个模块化单体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917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1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  <w:jc w:val="center"/>
      </w:pPr>
      <w:r>
        <w:rPr>
          <w:rFonts w:ascii="微软雅黑" w:hAnsi="微软雅黑" w:eastAsia="微软雅黑" w:cs="微软雅黑"/>
          <w:b w:val="0"/>
          <w:i w:val="0"/>
          <w:color w:val="666666"/>
          <w:sz w:val="14"/>
          <w:u w:val="none"/>
        </w:rPr>
        <w:t>图 2  系统架构：体验层、接入层、应用层、领域层、数据层、集成层、基础设施；安全与审计横切。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47"/>
        <w:gridCol w:w="3175"/>
        <w:gridCol w:w="2608"/>
        <w:gridCol w:w="2608"/>
      </w:tblGrid>
      <w:tr>
        <w:trPr>
          <w:cantSplit/>
          <w:tblHeader w:val="true"/>
          <w:trHeight w:val="360" w:hRule="atLeast"/>
        </w:trPr>
        <w:tc>
          <w:tcPr>
            <w:tcW w:type="dxa" w:w="124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层</w:t>
            </w:r>
          </w:p>
        </w:tc>
        <w:tc>
          <w:tcPr>
            <w:tcW w:type="dxa" w:w="317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组件</w:t>
            </w:r>
          </w:p>
        </w:tc>
        <w:tc>
          <w:tcPr>
            <w:tcW w:type="dxa" w:w="260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职责</w:t>
            </w:r>
          </w:p>
        </w:tc>
        <w:tc>
          <w:tcPr>
            <w:tcW w:type="dxa" w:w="260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关键设计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体验层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PC Web、钉钉 / 企微 H5、IM 卡片、邮件 / PDF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四类角色的简报、风险、下钻、导出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同一路由响应式；卡片深链回 H5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接入层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FastAPI、Keycloak、Casbin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认证、RBAC、行级权限、限流、幂等、审计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默认拒绝；越权 403；导出水印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应用层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今日简报、风险中心、指标下钻、配置中心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用户旅程与页面编排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固定模板 + 受限下钻；不做拖拽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领域层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指标、简报、风险、闭环、通知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业务规则与状态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模块化单体；接口清晰；可独立测试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数据层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ODS、DWD / ADS、指标快照、风险 / 审计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数据存储、计算、追溯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batch_id；幂等 upsert；按日分区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集成层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CRM、ERP / 财务、投放、目标、HR / IM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只读取数、组织映射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适配器；限流；失败重试；不写回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基础设施</w:t>
            </w:r>
          </w:p>
        </w:tc>
        <w:tc>
          <w:tcPr>
            <w:tcW w:type="dxa" w:w="317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调度、对象存储、监控、日志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运行与运维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DAG SLA；推送成功率；备份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部署单元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2381"/>
        <w:gridCol w:w="1134"/>
        <w:gridCol w:w="4422"/>
      </w:tblGrid>
      <w:tr>
        <w:trPr>
          <w:cantSplit/>
          <w:tblHeader w:val="true"/>
          <w:trHeight w:val="360" w:hRule="atLeast"/>
        </w:trPr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单元</w:t>
            </w:r>
          </w:p>
        </w:tc>
        <w:tc>
          <w:tcPr>
            <w:tcW w:type="dxa" w:w="238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技术</w:t>
            </w:r>
          </w:p>
        </w:tc>
        <w:tc>
          <w:tcPr>
            <w:tcW w:type="dxa" w:w="113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副本</w:t>
            </w:r>
          </w:p>
        </w:tc>
        <w:tc>
          <w:tcPr>
            <w:tcW w:type="dxa" w:w="442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web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Next.js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2+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静态 / SSR 页面，CDN 可选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api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FastAPI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2+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REST / OpenAPI；无状态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worker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Python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2+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简报生成、风险计算、导出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scheduler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DolphinScheduler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DAG、重跑、告警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metadata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PostgreSQL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主备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ODS / DWD / ADS / 风险 / 审计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cache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Valkey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主备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会话、热点、锁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object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MinIO / S3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—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PDF / Excel / 附件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identity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Keycloak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SSO / OIDC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olap（可选）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ClickHouse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442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大数据量下钻；首版不启用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非功能指标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74"/>
        <w:gridCol w:w="5102"/>
        <w:gridCol w:w="3061"/>
      </w:tblGrid>
      <w:tr>
        <w:trPr>
          <w:cantSplit/>
          <w:tblHeader w:val="true"/>
          <w:trHeight w:val="360" w:hRule="atLeast"/>
        </w:trPr>
        <w:tc>
          <w:tcPr>
            <w:tcW w:type="dxa" w:w="147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维度</w:t>
            </w:r>
          </w:p>
        </w:tc>
        <w:tc>
          <w:tcPr>
            <w:tcW w:type="dxa" w:w="510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目标</w:t>
            </w:r>
          </w:p>
        </w:tc>
        <w:tc>
          <w:tcPr>
            <w:tcW w:type="dxa" w:w="306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验证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数据时效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每日 08:00 前完成；08:30 日报；周一 09:00 周报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连续 10 个工作日；DAG SLA 告警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推送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按时推送率 100%；失败重试 3 次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推送日志；邮件兜底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API 性能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常规 P95 &lt;1s；下钻 P95 &lt;2s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压测：50 并发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可用性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06:00–10:00 ≥99.5%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监控 + 值班 + 降级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安全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越权 0；敏感字段脱敏 100%；审计 ≥12 个月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权限矩阵、渗透测试、日志审计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恢复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RPO ≤15 min；RTO ≤2h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备份演练；runbook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4.4  数据流：06:00 到 08:30，一条可重跑的链路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47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  <w:jc w:val="center"/>
      </w:pPr>
      <w:r>
        <w:rPr>
          <w:rFonts w:ascii="微软雅黑" w:hAnsi="微软雅黑" w:eastAsia="微软雅黑" w:cs="微软雅黑"/>
          <w:b w:val="0"/>
          <w:i w:val="0"/>
          <w:color w:val="666666"/>
          <w:sz w:val="14"/>
          <w:u w:val="none"/>
        </w:rPr>
        <w:t>图 3  数据流：T+1 日批完成取数、指标、简报、风险；08:30 推送后进入认领、处置、关闭与周报复盘。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4"/>
        <w:gridCol w:w="1134"/>
        <w:gridCol w:w="1247"/>
        <w:gridCol w:w="3402"/>
        <w:gridCol w:w="1701"/>
        <w:gridCol w:w="1701"/>
      </w:tblGrid>
      <w:tr>
        <w:trPr>
          <w:cantSplit/>
          <w:tblHeader w:val="true"/>
          <w:trHeight w:val="360" w:hRule="atLeast"/>
        </w:trPr>
        <w:tc>
          <w:tcPr>
            <w:tcW w:type="dxa" w:w="454"/>
            <w:shd w:val="clear" w:color="auto" w:fill="1F386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#</w:t>
            </w:r>
          </w:p>
        </w:tc>
        <w:tc>
          <w:tcPr>
            <w:tcW w:type="dxa" w:w="1134"/>
            <w:shd w:val="clear" w:color="auto" w:fill="1F386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时点</w:t>
            </w:r>
          </w:p>
        </w:tc>
        <w:tc>
          <w:tcPr>
            <w:tcW w:type="dxa" w:w="1247"/>
            <w:shd w:val="clear" w:color="auto" w:fill="1F386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步骤</w:t>
            </w:r>
          </w:p>
        </w:tc>
        <w:tc>
          <w:tcPr>
            <w:tcW w:type="dxa" w:w="3402"/>
            <w:shd w:val="clear" w:color="auto" w:fill="1F386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处理</w:t>
            </w:r>
          </w:p>
        </w:tc>
        <w:tc>
          <w:tcPr>
            <w:tcW w:type="dxa" w:w="1701"/>
            <w:shd w:val="clear" w:color="auto" w:fill="1F386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输出</w:t>
            </w:r>
          </w:p>
        </w:tc>
        <w:tc>
          <w:tcPr>
            <w:tcW w:type="dxa" w:w="1701"/>
            <w:shd w:val="clear" w:color="auto" w:fill="1F386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失败 / 控制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06:00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DAG 触发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按数据源并行抽取；增量优先；记录 batch_id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ODS 原始表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重试 3 次；失败告警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06:15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清洗 / 标准化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组织映射、去重、币种 / 税率、日期归属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DWD 明细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异常入 quarantine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06:45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指标计算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 项指标按日 / 周 / 月、组织、渠道、人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ADS 指标快照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口径版本号；可重算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07:15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质量校验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完整率、一致率、汇总-明细偏差、时效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质量报告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关键项失败阻断发布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07:30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简报编排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 角色模板；3 结论 + 指标卡 + Top3 + 动作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简报快照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缺数提示；不以 0 代替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07:50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风险识别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 类规则；分级、去重、责任人、动作模板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风险实例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同一对象同一规则 24h 合并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7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08:00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发布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冻结快照；生成 H5 / PDF / 卡片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发布版本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版本不可变；可回滚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8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08:30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推送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钉钉 / 企微 / 邮件；深链回 H5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推送日志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失败重试 + 邮件兜底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9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09:00–18:00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认领 / 处置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认领、处理、关闭 / 误报 / 长期跟踪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风险状态 / 审计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SLA 计时；超时升级</w:t>
            </w:r>
          </w:p>
        </w:tc>
      </w:tr>
      <w:tr>
        <w:trPr>
          <w:cantSplit/>
        </w:trPr>
        <w:tc>
          <w:tcPr>
            <w:tcW w:type="dxa" w:w="45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10</w:t>
            </w:r>
          </w:p>
        </w:tc>
        <w:tc>
          <w:tcPr>
            <w:tcW w:type="dxa" w:w="1134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次日 / 周一</w:t>
            </w:r>
          </w:p>
        </w:tc>
        <w:tc>
          <w:tcPr>
            <w:tcW w:type="dxa" w:w="1247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复盘</w:t>
            </w:r>
          </w:p>
        </w:tc>
        <w:tc>
          <w:tcPr>
            <w:tcW w:type="dxa" w:w="3402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闭环率、响应时长、误报原因、规则调优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周报 / 规则版本</w:t>
            </w:r>
          </w:p>
        </w:tc>
        <w:tc>
          <w:tcPr>
            <w:tcW w:type="dxa" w:w="1701"/>
            <w:tcMar>
              <w:top w:w="34" w:type="dxa"/>
              <w:left w:w="46" w:type="dxa"/>
              <w:bottom w:w="34" w:type="dxa"/>
              <w:right w:w="46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反馈进入下一轮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6  数据流步骤。时间为默认值，可按源系统就绪时间调整；所有步骤必须可重跑、可追溯。</w:t>
      </w:r>
    </w:p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数据分层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47"/>
        <w:gridCol w:w="3742"/>
        <w:gridCol w:w="2608"/>
        <w:gridCol w:w="2041"/>
      </w:tblGrid>
      <w:tr>
        <w:trPr>
          <w:cantSplit/>
          <w:tblHeader w:val="true"/>
          <w:trHeight w:val="360" w:hRule="atLeast"/>
        </w:trPr>
        <w:tc>
          <w:tcPr>
            <w:tcW w:type="dxa" w:w="124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层</w:t>
            </w:r>
          </w:p>
        </w:tc>
        <w:tc>
          <w:tcPr>
            <w:tcW w:type="dxa" w:w="374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内容</w:t>
            </w:r>
          </w:p>
        </w:tc>
        <w:tc>
          <w:tcPr>
            <w:tcW w:type="dxa" w:w="260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处理</w:t>
            </w:r>
          </w:p>
        </w:tc>
        <w:tc>
          <w:tcPr>
            <w:tcW w:type="dxa" w:w="204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策略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ODS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原始落库：batch_id、source、extracted_at、raw_json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不清洗、不覆盖；可重跑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按日 / 源分区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DWD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标准化明细：线索、商机、合同、回款、费用、目标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去重、映射、币种 / 税率、SCD2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dbt 模型 + 测试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ADS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指标快照、角色视图、风险实例、简报快照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按日 / 组织 / 角色预聚合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按日分区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DIM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组织、人员、客户、日期、渠道、产品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统一编码；历史追溯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每日全量 / 增量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AUDIT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查看、导出、认领、关闭、规则变更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不可篡改；保留 ≥12 个月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追加写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QUARANTINE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质量失败、字段缺失、映射失败</w:t>
            </w:r>
          </w:p>
        </w:tc>
        <w:tc>
          <w:tcPr>
            <w:tcW w:type="dxa" w:w="260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隔离 + 告警；修复后重跑</w:t>
            </w:r>
          </w:p>
        </w:tc>
        <w:tc>
          <w:tcPr>
            <w:tcW w:type="dxa" w:w="204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按批次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数据质量门禁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完整率 ≥98%：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核心字段（线索来源、商机金额、合同金额、回款日期、组织）不得缺失。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一致率 ≥99.5%：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汇总与源系统、汇总与明细偏差 ≤0.5%；连续 10 个工作日对账。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时效：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08:00 前完成；超时告警；关键源缺失时暂停发布，页面顶部提示影响范围。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不以 0 代替缺失：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缺失显示“—”，并标注数据源与影响指标；避免“看起来正常”。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迟到与重述：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源系统截止 24:00；06:30 后到达的数据进入次日，并在报表标注“重述”。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4.5  交付形式：Web 主入口，IM 触达，邮件兜底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Web 是主产品，钉钉 / 企微是触达层，邮件 / PDF 是兜底。首版不做原生 App / 小程序；同一套响应式页面覆盖 PC 与 H5，降低开发与维护成本。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3742"/>
        <w:gridCol w:w="2381"/>
        <w:gridCol w:w="1247"/>
        <w:gridCol w:w="567"/>
      </w:tblGrid>
      <w:tr>
        <w:trPr>
          <w:cantSplit/>
          <w:tblHeader w:val="true"/>
          <w:trHeight w:val="360" w:hRule="atLeast"/>
        </w:trPr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渠道</w:t>
            </w:r>
          </w:p>
        </w:tc>
        <w:tc>
          <w:tcPr>
            <w:tcW w:type="dxa" w:w="374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内容</w:t>
            </w:r>
          </w:p>
        </w:tc>
        <w:tc>
          <w:tcPr>
            <w:tcW w:type="dxa" w:w="238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交互</w:t>
            </w:r>
          </w:p>
        </w:tc>
        <w:tc>
          <w:tcPr>
            <w:tcW w:type="dxa" w:w="124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失败兜底</w:t>
            </w:r>
          </w:p>
        </w:tc>
        <w:tc>
          <w:tcPr>
            <w:tcW w:type="dxa" w:w="56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PC Web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完整简报、风险中心、下钻、配置、导出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1440px；Chrome / Edge 最近两个版本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—</w:t>
            </w:r>
          </w:p>
        </w:tc>
        <w:tc>
          <w:tcPr>
            <w:tcW w:type="dxa" w:w="56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钉钉 / 企微 H5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完整页面；免登；卡片深链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390px；WebView；手势 / 滚动优化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浏览器打开</w:t>
            </w:r>
          </w:p>
        </w:tc>
        <w:tc>
          <w:tcPr>
            <w:tcW w:type="dxa" w:w="56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IM 机器人卡片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 个 KPI + 风险数 + 查看 / 认领按钮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卡片回调；免登回跳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邮件</w:t>
            </w:r>
          </w:p>
        </w:tc>
        <w:tc>
          <w:tcPr>
            <w:tcW w:type="dxa" w:w="56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邮件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HTML 摘要 + PDF 附件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只读；深链回 H5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—</w:t>
            </w:r>
          </w:p>
        </w:tc>
        <w:tc>
          <w:tcPr>
            <w:tcW w:type="dxa" w:w="56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P1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短信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仅红色风险提醒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短链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IM</w:t>
            </w:r>
          </w:p>
        </w:tc>
        <w:tc>
          <w:tcPr>
            <w:tcW w:type="dxa" w:w="56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P2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原生 App / 小程序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首版不做</w:t>
            </w:r>
          </w:p>
        </w:tc>
        <w:tc>
          <w:tcPr>
            <w:tcW w:type="dxa" w:w="238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—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—</w:t>
            </w:r>
          </w:p>
        </w:tc>
        <w:tc>
          <w:tcPr>
            <w:tcW w:type="dxa" w:w="56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P3</w:t>
            </w:r>
          </w:p>
        </w:tc>
      </w:tr>
    </w:tbl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页面清单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4"/>
        <w:gridCol w:w="1814"/>
        <w:gridCol w:w="2268"/>
        <w:gridCol w:w="5102"/>
      </w:tblGrid>
      <w:tr>
        <w:trPr>
          <w:cantSplit/>
          <w:tblHeader w:val="true"/>
          <w:trHeight w:val="360" w:hRule="atLeast"/>
        </w:trPr>
        <w:tc>
          <w:tcPr>
            <w:tcW w:type="dxa" w:w="45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#</w:t>
            </w:r>
          </w:p>
        </w:tc>
        <w:tc>
          <w:tcPr>
            <w:tcW w:type="dxa" w:w="181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页面</w:t>
            </w:r>
          </w:p>
        </w:tc>
        <w:tc>
          <w:tcPr>
            <w:tcW w:type="dxa" w:w="226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角色</w:t>
            </w:r>
          </w:p>
        </w:tc>
        <w:tc>
          <w:tcPr>
            <w:tcW w:type="dxa" w:w="510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关键内容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登录 / SSO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全部角色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OIDC 免登；钉钉 / 企微内自动登录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今日简报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全部角色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 结论、指标卡、Top3、风险、动作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周报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全部角色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周同比、目标进度、闭环率、下周重点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指标下钻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全部角色（按权限）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事业部 → 部门 → 人 → 客户 / 订单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风险中心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管理角色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按级别 / 状态 / 组织 / 时间筛选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风险详情 / 处置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责任角色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认领、处理、关闭、误报、附件、审计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7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历史简报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全部角色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 个月；按日 / 周检索；PDF / Excel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8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配置中心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管理员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指标、规则、组织、模板、阈值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9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审计日志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审计 / 管理员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查看、导出、认领、关闭、规则变更</w:t>
            </w:r>
          </w:p>
        </w:tc>
      </w:tr>
      <w:tr>
        <w:trPr>
          <w:cantSplit/>
        </w:trPr>
        <w:tc>
          <w:tcPr>
            <w:tcW w:type="dxa" w:w="45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10</w:t>
            </w:r>
          </w:p>
        </w:tc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导出中心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按权限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异步生成；水印；下载审计</w:t>
            </w:r>
          </w:p>
        </w:tc>
      </w:tr>
    </w:tbl>
    <w:p>
      <w:pPr>
        <w:spacing w:before="8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权限与审计：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功能、行级、字段三层权限，默认拒绝；越权 URL / API 返回 403；手机号 / 邮箱默认脱敏；明细导出二次确认并加水印；查看、导出、指派、关闭全审计，日志保留 ≥12 个月。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4.6  开发里程碑：16 周功能冻结，20 周完成试点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39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  <w:jc w:val="center"/>
      </w:pPr>
      <w:r>
        <w:rPr>
          <w:rFonts w:ascii="微软雅黑" w:hAnsi="微软雅黑" w:eastAsia="微软雅黑" w:cs="微软雅黑"/>
          <w:b w:val="0"/>
          <w:i w:val="0"/>
          <w:color w:val="666666"/>
          <w:sz w:val="14"/>
          <w:u w:val="none"/>
        </w:rPr>
        <w:t>图 4  开发里程碑：W1–W14 功能开发与 UAT，W15–W18 30 天试运行，W19–W20 验收与推广。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37"/>
        <w:gridCol w:w="1134"/>
        <w:gridCol w:w="3515"/>
        <w:gridCol w:w="3628"/>
        <w:gridCol w:w="624"/>
      </w:tblGrid>
      <w:tr>
        <w:trPr>
          <w:cantSplit/>
          <w:tblHeader w:val="true"/>
          <w:trHeight w:val="360" w:hRule="atLeast"/>
        </w:trPr>
        <w:tc>
          <w:tcPr>
            <w:tcW w:type="dxa" w:w="73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阶段</w:t>
            </w:r>
          </w:p>
        </w:tc>
        <w:tc>
          <w:tcPr>
            <w:tcW w:type="dxa" w:w="113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周期</w:t>
            </w:r>
          </w:p>
        </w:tc>
        <w:tc>
          <w:tcPr>
            <w:tcW w:type="dxa" w:w="351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关键交付</w:t>
            </w:r>
          </w:p>
        </w:tc>
        <w:tc>
          <w:tcPr>
            <w:tcW w:type="dxa" w:w="362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退出标准</w:t>
            </w:r>
          </w:p>
        </w:tc>
        <w:tc>
          <w:tcPr>
            <w:tcW w:type="dxa" w:w="62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FTE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M0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W1–W2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立项、数据勘察、环境、许可证评审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 个源系统只读账号；数据 owner 确认；POC 通过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M1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W2–W6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ODS / DWD、dbt、质量门禁、调度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连续 10 个工作日对账 ≥99.5%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M2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W5–W10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 项指标、4 角色简报、PC / H5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20 个端到端场景 ≥18 通过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M3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W8–W12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 类风险、分级、认领、SLA、升级、关闭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红级 4h 认领演练通过；审计完整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M4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W10–W13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钉钉 / 企微卡片、SSO、行级权限、PDF / Excel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推送 100%；越权 0；水印 / 审计通过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M5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W13–W14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集成测试、性能、安全、UAT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P0 / P1 = 0；20 场景 ≥18；功能冻结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M6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W15–W18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30 天试运行、培训、运营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精确率 ≥85%；4h 认领 ≥95%；闭环 ≥90%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M7</w:t>
            </w:r>
          </w:p>
        </w:tc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W19–W20</w:t>
            </w:r>
          </w:p>
        </w:tc>
        <w:tc>
          <w:tcPr>
            <w:tcW w:type="dxa" w:w="351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验收、文档、交接、推广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签收；runbook / 培训材料 / 监控就绪</w:t>
            </w:r>
          </w:p>
        </w:tc>
        <w:tc>
          <w:tcPr>
            <w:tcW w:type="dxa" w:w="62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7  开发里程碑。FTE 为峰值投入，非全程满配；W14 功能冻结，之后只修缺陷与试点问题。</w:t>
      </w:r>
    </w:p>
    <w:p>
      <w:pPr>
        <w:spacing w:before="80" w:after="40" w:line="324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8"/>
          <w:u w:val="none"/>
        </w:rPr>
        <w:t>关键路径与 Go / No-Go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关键路径：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数据源权限 → 10 日对账 → 风险回测 → 试点。数据接入晚一周，整体晚一周；不要先做 UI 再等数据。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G1（W2）：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3 个源系统只读账号 + 数据 owner 到位；否则暂停，不要“先写页面”。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G2（W6）：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10 日对账 ≥99.5%；否则不加功能，先修数据。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G3（W10）：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20 个端到端场景 ≥18；否则砍 P2，保 Must have。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G4（W14）：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P0 / P1 = 0；否则推迟试点，不带病上线。</w:t>
      </w:r>
    </w:p>
    <w:p>
      <w:pPr>
        <w:spacing w:before="0" w:after="44" w:line="317" w:lineRule="auto"/>
        <w:ind w:left="295" w:hanging="249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•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G5（W18）：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精确率 ≥85%、4h 认领 ≥95%、闭环 ≥90%；否则延长试点 2 周，调规则。</w:t>
      </w:r>
    </w:p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4.7  团队与投入：8.5 人峰值，27–30 人月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794"/>
        <w:gridCol w:w="7143"/>
      </w:tblGrid>
      <w:tr>
        <w:trPr>
          <w:cantSplit/>
          <w:tblHeader w:val="true"/>
          <w:trHeight w:val="360" w:hRule="atLeast"/>
        </w:trPr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角色</w:t>
            </w:r>
          </w:p>
        </w:tc>
        <w:tc>
          <w:tcPr>
            <w:tcW w:type="dxa" w:w="79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FTE</w:t>
            </w:r>
          </w:p>
        </w:tc>
        <w:tc>
          <w:tcPr>
            <w:tcW w:type="dxa" w:w="7143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产品 / 项目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1.0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范围、需求、指标口径、风险规则、试点运营、验收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前端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2.0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PC / H5、简报、风险中心、下钻、配置、导出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后端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2.0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API、权限、简报、风险、闭环、通知、审计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数据工程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1.5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连接器、ODS / DWD、dbt、质量、调度、对账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测试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1.0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场景、权限、数据、性能、安全、UAT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UX / UI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0.5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信息架构、关键页面、设计规范、可用性测试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运维 / 安全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0.5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环境、部署、监控、备份、渗透配合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合计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8.5</w:t>
            </w:r>
          </w:p>
        </w:tc>
        <w:tc>
          <w:tcPr>
            <w:tcW w:type="dxa" w:w="7143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核心 8 人 + 0.5 共享；峰值出现在 W8–W13</w:t>
            </w:r>
          </w:p>
        </w:tc>
      </w:tr>
    </w:tbl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4"/>
        <w:gridCol w:w="907"/>
        <w:gridCol w:w="7597"/>
      </w:tblGrid>
      <w:tr>
        <w:trPr>
          <w:cantSplit/>
          <w:tblHeader w:val="true"/>
          <w:trHeight w:val="360" w:hRule="atLeast"/>
        </w:trPr>
        <w:tc>
          <w:tcPr>
            <w:tcW w:type="dxa" w:w="113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阶段</w:t>
            </w:r>
          </w:p>
        </w:tc>
        <w:tc>
          <w:tcPr>
            <w:tcW w:type="dxa" w:w="90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人周</w:t>
            </w:r>
          </w:p>
        </w:tc>
        <w:tc>
          <w:tcPr>
            <w:tcW w:type="dxa" w:w="759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构成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M0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4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1 + 数据 0.5 + 架构 0.5，2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M1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16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数据 2 + 后端 1 + 测试 1，4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M2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30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1 + 前端 2 + 后端 1 + 数据 1，6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M3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25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1 + 后端 2 + 前端 1 + 数据 1，5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M4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16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前端 1 + 后端 1 + 测试 1 + 运维 1，4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M5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8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测试 2 + 前端 1 + 后端 1，2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M6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1 + 数据 1 + 测试 1，4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M7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6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1 + 后端 1 + 运维 1，2 周</w:t>
            </w:r>
          </w:p>
        </w:tc>
      </w:tr>
      <w:tr>
        <w:trPr>
          <w:cantSplit/>
        </w:trPr>
        <w:tc>
          <w:tcPr>
            <w:tcW w:type="dxa" w:w="113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合计</w:t>
            </w:r>
          </w:p>
        </w:tc>
        <w:tc>
          <w:tcPr>
            <w:tcW w:type="dxa" w:w="90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117</w:t>
            </w:r>
          </w:p>
        </w:tc>
        <w:tc>
          <w:tcPr>
            <w:tcW w:type="dxa" w:w="759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约 27 人月（117 ÷ 4.33）</w:t>
            </w:r>
          </w:p>
        </w:tc>
      </w:tr>
    </w:tbl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1474"/>
        <w:gridCol w:w="1587"/>
        <w:gridCol w:w="4876"/>
      </w:tblGrid>
      <w:tr>
        <w:trPr>
          <w:cantSplit/>
          <w:tblHeader w:val="true"/>
          <w:trHeight w:val="360" w:hRule="atLeast"/>
        </w:trPr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科目</w:t>
            </w:r>
          </w:p>
        </w:tc>
        <w:tc>
          <w:tcPr>
            <w:tcW w:type="dxa" w:w="147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数量</w:t>
            </w:r>
          </w:p>
        </w:tc>
        <w:tc>
          <w:tcPr>
            <w:tcW w:type="dxa" w:w="158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金额（万元）</w:t>
            </w:r>
          </w:p>
        </w:tc>
        <w:tc>
          <w:tcPr>
            <w:tcW w:type="dxa" w:w="4876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研发人力</w:t>
            </w:r>
          </w:p>
        </w:tc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27–30 人月</w:t>
            </w:r>
          </w:p>
        </w:tc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80–120</w:t>
            </w:r>
          </w:p>
        </w:tc>
        <w:tc>
          <w:tcPr>
            <w:tcW w:type="dxa" w:w="4876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 3–4 万元 / 人月（含税、社保、管理摊分）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软件许可</w:t>
            </w:r>
          </w:p>
        </w:tc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0–20</w:t>
            </w:r>
          </w:p>
        </w:tc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0–20</w:t>
            </w:r>
          </w:p>
        </w:tc>
        <w:tc>
          <w:tcPr>
            <w:tcW w:type="dxa" w:w="4876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开源为主；可选商业支持 / 商业组件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云资源 / 短信</w:t>
            </w:r>
          </w:p>
        </w:tc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 年</w:t>
            </w:r>
          </w:p>
        </w:tc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3–8</w:t>
            </w:r>
          </w:p>
        </w:tc>
        <w:tc>
          <w:tcPr>
            <w:tcW w:type="dxa" w:w="4876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试点规模；不含大促峰值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培训 / 实施</w:t>
            </w:r>
          </w:p>
        </w:tc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 次</w:t>
            </w:r>
          </w:p>
        </w:tc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5–10</w:t>
            </w:r>
          </w:p>
        </w:tc>
        <w:tc>
          <w:tcPr>
            <w:tcW w:type="dxa" w:w="4876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四类角色培训、试点陪跑、文档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首年合计</w:t>
            </w:r>
          </w:p>
        </w:tc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—</w:t>
            </w:r>
          </w:p>
        </w:tc>
        <w:tc>
          <w:tcPr>
            <w:tcW w:type="dxa" w:w="158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90–150</w:t>
            </w:r>
          </w:p>
        </w:tc>
        <w:tc>
          <w:tcPr>
            <w:tcW w:type="dxa" w:w="4876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粗略量级，用于立项讨论，不作为报价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假设：人月成本 3–4 万元；不含 CRM / ERP 改造、企业内部数据治理人力、硬件采购。</w:t>
      </w:r>
    </w:p>
    <w:p>
      <w:pPr>
        <w:keepNext/>
        <w:pageBreakBefore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4.8  风险与对策：数据与 adoption 是一票否决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28"/>
        <w:gridCol w:w="624"/>
        <w:gridCol w:w="624"/>
        <w:gridCol w:w="1928"/>
        <w:gridCol w:w="3742"/>
        <w:gridCol w:w="794"/>
      </w:tblGrid>
      <w:tr>
        <w:trPr>
          <w:cantSplit/>
          <w:tblHeader w:val="true"/>
          <w:trHeight w:val="360" w:hRule="atLeast"/>
        </w:trPr>
        <w:tc>
          <w:tcPr>
            <w:tcW w:type="dxa" w:w="1928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风险</w:t>
            </w:r>
          </w:p>
        </w:tc>
        <w:tc>
          <w:tcPr>
            <w:tcW w:type="dxa" w:w="624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概率</w:t>
            </w:r>
          </w:p>
        </w:tc>
        <w:tc>
          <w:tcPr>
            <w:tcW w:type="dxa" w:w="624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影响</w:t>
            </w:r>
          </w:p>
        </w:tc>
        <w:tc>
          <w:tcPr>
            <w:tcW w:type="dxa" w:w="1928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触发 / 信号</w:t>
            </w:r>
          </w:p>
        </w:tc>
        <w:tc>
          <w:tcPr>
            <w:tcW w:type="dxa" w:w="3742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对策</w:t>
            </w:r>
          </w:p>
        </w:tc>
        <w:tc>
          <w:tcPr>
            <w:tcW w:type="dxa" w:w="794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Owner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数据源拿不到 / 权限不足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W2 未拿到只读账号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高管 sponsor；数据 owner；导出兜底；先接 1 个源做 POC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+ IT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口径不一致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10 日对账 &lt;99.5%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指标字典；数据契约；并行对账；差异归零再上线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数据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风险误报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试点精确率 &lt;85%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12 个月回测；2 周影子运行；阈值可调；误报原因回收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+ 数据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用户不用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打开率 &lt;60%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晨会必看；IM 卡片；管理者推动；培训；试点 KPI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进度延期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G2 / G3 未通过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MVP 冻结；砍 P2；关键路径加人；每周 burn-down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PM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越权 / 泄露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低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渗透或审计发现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默认拒绝；行级权限；脱敏；水印；审计；渗透测试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安全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开源许可证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法务 flagged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许可证清单；SBOM；隔离；替换；法务签字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法务 + 架构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IM API 变化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低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推送失败率上升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适配器；重试；邮件兜底；监控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后端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性能不足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下钻 P95 &gt;2s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预聚合；缓存；索引；ClickHouse（可选）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数据</w:t>
            </w:r>
          </w:p>
        </w:tc>
      </w:tr>
      <w:tr>
        <w:trPr>
          <w:cantSplit/>
        </w:trPr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关键人依赖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中</w:t>
            </w:r>
          </w:p>
        </w:tc>
        <w:tc>
          <w:tcPr>
            <w:tcW w:type="dxa" w:w="62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高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单点故障</w:t>
            </w:r>
          </w:p>
        </w:tc>
        <w:tc>
          <w:tcPr>
            <w:tcW w:type="dxa" w:w="374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结对；文档；code review；轮值</w:t>
            </w:r>
          </w:p>
        </w:tc>
        <w:tc>
          <w:tcPr>
            <w:tcW w:type="dxa" w:w="79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PM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8  风险登记册。概率 / 影响为定性判断；Top 3 为数据源、口径、用户 adoption。</w:t>
      </w:r>
    </w:p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Top 3 一票否决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数据源权限、口径对账、用户 adoption 是三个一票否决项；代码风险反而可控。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7"/>
                <w:u w:val="none"/>
              </w:rPr>
              <w:t>如果 W2 拿不到 3 个源系统的只读账号，不要启动 20 周计划；先解决数据，再谈功能。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4.9  试点运营：30 天怎么跑</w:t>
      </w:r>
    </w:p>
    <w:p>
      <w:pPr>
        <w:spacing w:before="0" w:after="80" w:line="324" w:lineRule="auto"/>
        <w:jc w:val="both"/>
      </w:pP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试点不是“上线看看”，而是用 30 天验证三件事：数据准不准、风险准不准、人用不用。建议选 1 个事业部 + 2 个部门，覆盖四类角色，按四周节奏推进。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47"/>
        <w:gridCol w:w="4762"/>
        <w:gridCol w:w="3628"/>
      </w:tblGrid>
      <w:tr>
        <w:trPr>
          <w:cantSplit/>
          <w:tblHeader w:val="true"/>
          <w:trHeight w:val="360" w:hRule="atLeast"/>
        </w:trPr>
        <w:tc>
          <w:tcPr>
            <w:tcW w:type="dxa" w:w="124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节奏</w:t>
            </w:r>
          </w:p>
        </w:tc>
        <w:tc>
          <w:tcPr>
            <w:tcW w:type="dxa" w:w="476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动作</w:t>
            </w:r>
          </w:p>
        </w:tc>
        <w:tc>
          <w:tcPr>
            <w:tcW w:type="dxa" w:w="362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产出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第 1 周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影子运行：只推送、不考核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验证数据与推送；收集误报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第 2 周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认领演练：红级 4h、橙级 8h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验证 SLA、升级、回跳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第 3 周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规则调优：阈值、责任人、动作模板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误报率下降；闭环率提升</w:t>
            </w:r>
          </w:p>
        </w:tc>
      </w:tr>
      <w:tr>
        <w:trPr>
          <w:cantSplit/>
        </w:trPr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第 4 周</w:t>
            </w:r>
          </w:p>
        </w:tc>
        <w:tc>
          <w:tcPr>
            <w:tcW w:type="dxa" w:w="476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复盘验收：数据、风险、adoption</w:t>
            </w:r>
          </w:p>
        </w:tc>
        <w:tc>
          <w:tcPr>
            <w:tcW w:type="dxa" w:w="362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达标转推广；不达标延长 2 周</w:t>
            </w:r>
          </w:p>
        </w:tc>
      </w:tr>
    </w:tbl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05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结论与下一步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这份报告的最终建议不是“做一个更好的 BI”，而是“做一套把数据变成动作的经营闭环”。</w:t>
      </w:r>
    </w:p>
    <w:p>
      <w:pPr>
        <w:spacing w:before="40" w:after="40" w:line="324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五个结论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01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市场空位成立：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跨系统 × 角色简报 × 风险分级 × SLA 闭环 × 国内 IM × 私有化，没有产品同时满足。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02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路线成立：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买底座、自研闭环；16 周功能 + 4 周试点；8.5 人峰值、27–30 人月。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03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技术成立：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Next.js + FastAPI + PostgreSQL + dbt + DolphinScheduler + SeaTunnel + Keycloak + Casbin + ECharts；Superset 只给内部。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04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投入成立：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首年 90–150 万元量级；相比买商业 BI + 定制项目，钱花在可复用的产品资产上。</w:t>
      </w:r>
    </w:p>
    <w:p>
      <w:pPr>
        <w:spacing w:before="0" w:after="50" w:line="324" w:lineRule="auto"/>
        <w:ind w:left="351" w:hanging="351"/>
      </w:pPr>
      <w:r>
        <w:rPr>
          <w:rFonts w:ascii="微软雅黑" w:hAnsi="微软雅黑" w:eastAsia="微软雅黑" w:cs="微软雅黑"/>
          <w:b/>
          <w:i w:val="0"/>
          <w:color w:val="BF9000"/>
          <w:sz w:val="18"/>
          <w:u w:val="none"/>
        </w:rPr>
        <w:t xml:space="preserve">05  </w:t>
      </w:r>
      <w:r>
        <w:rPr>
          <w:rFonts w:ascii="微软雅黑" w:hAnsi="微软雅黑" w:eastAsia="微软雅黑" w:cs="微软雅黑"/>
          <w:b/>
          <w:i w:val="0"/>
          <w:color w:val="333333"/>
          <w:sz w:val="18"/>
          <w:u w:val="none"/>
        </w:rPr>
        <w:t>风险成立：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真正的风险是数据源权限、口径对账、用户 adoption，不是代码；用 Gate 管理，不要用加班管理。</w:t>
      </w:r>
    </w:p>
    <w:p>
      <w:pPr>
        <w:keepNext/>
        <w:spacing w:before="12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下一步 4 周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680"/>
        <w:gridCol w:w="5102"/>
        <w:gridCol w:w="3061"/>
        <w:gridCol w:w="794"/>
      </w:tblGrid>
      <w:tr>
        <w:trPr>
          <w:cantSplit/>
          <w:tblHeader w:val="true"/>
          <w:trHeight w:val="360" w:hRule="atLeast"/>
        </w:trPr>
        <w:tc>
          <w:tcPr>
            <w:tcW w:type="dxa" w:w="680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周</w:t>
            </w:r>
          </w:p>
        </w:tc>
        <w:tc>
          <w:tcPr>
            <w:tcW w:type="dxa" w:w="510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动作</w:t>
            </w:r>
          </w:p>
        </w:tc>
        <w:tc>
          <w:tcPr>
            <w:tcW w:type="dxa" w:w="306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产出</w:t>
            </w:r>
          </w:p>
        </w:tc>
        <w:tc>
          <w:tcPr>
            <w:tcW w:type="dxa" w:w="79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负责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W0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立项：确认范围、预算、sponsor；访谈四类角色；发数据源清单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项目章程；数据源清单；访谈纪要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W1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数据勘察：3 个源系统只读账号；字段映射；POC 取数；IM 应用注册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字段映射表；POC 报告；应用凭证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数据 + IT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W2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指标字典 v1；风险规则工作坊；架构评审；许可证评审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指标字典；规则清单；架构决议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+ 架构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W3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可点击原型；试点用户名单；验收方案；项目计划基线</w:t>
            </w:r>
          </w:p>
        </w:tc>
        <w:tc>
          <w:tcPr>
            <w:tcW w:type="dxa" w:w="306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原型；试点名单；验收计划</w:t>
            </w:r>
          </w:p>
        </w:tc>
        <w:tc>
          <w:tcPr>
            <w:tcW w:type="dxa" w:w="79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产品 + UX</w:t>
            </w:r>
          </w:p>
        </w:tc>
      </w:tr>
    </w:tbl>
    <w:p>
      <w:pPr>
        <w:keepNext/>
        <w:spacing w:before="100" w:after="60" w:line="264" w:lineRule="auto"/>
      </w:pPr>
      <w:r>
        <w:rPr>
          <w:rFonts w:ascii="微软雅黑" w:hAnsi="微软雅黑" w:eastAsia="微软雅黑" w:cs="微软雅黑"/>
          <w:b/>
          <w:i w:val="0"/>
          <w:color w:val="2F5597"/>
          <w:sz w:val="21"/>
          <w:u w:val="none"/>
        </w:rPr>
        <w:t>30 天试点成功标准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35"/>
        <w:gridCol w:w="1701"/>
        <w:gridCol w:w="5102"/>
      </w:tblGrid>
      <w:tr>
        <w:trPr>
          <w:cantSplit/>
          <w:tblHeader w:val="true"/>
          <w:trHeight w:val="360" w:hRule="atLeast"/>
        </w:trPr>
        <w:tc>
          <w:tcPr>
            <w:tcW w:type="dxa" w:w="283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指标</w:t>
            </w:r>
          </w:p>
        </w:tc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目标</w:t>
            </w:r>
          </w:p>
        </w:tc>
        <w:tc>
          <w:tcPr>
            <w:tcW w:type="dxa" w:w="510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口径</w:t>
            </w:r>
          </w:p>
        </w:tc>
      </w:tr>
      <w:tr>
        <w:trPr>
          <w:cantSplit/>
        </w:trPr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日报 / 周报按时推送率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100%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推送日志</w:t>
            </w:r>
          </w:p>
        </w:tc>
      </w:tr>
      <w:tr>
        <w:trPr>
          <w:cantSplit/>
        </w:trPr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数据准确率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≥99.5%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连续 10 个工作日对账</w:t>
            </w:r>
          </w:p>
        </w:tc>
      </w:tr>
      <w:tr>
        <w:trPr>
          <w:cantSplit/>
        </w:trPr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预警精确率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≥85%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试点期风险实例</w:t>
            </w:r>
          </w:p>
        </w:tc>
      </w:tr>
      <w:tr>
        <w:trPr>
          <w:cantSplit/>
        </w:trPr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高风险 4 小时认领率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≥95%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风险审计日志</w:t>
            </w:r>
          </w:p>
        </w:tc>
      </w:tr>
      <w:tr>
        <w:trPr>
          <w:cantSplit/>
        </w:trPr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风险闭环率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≥90%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关闭 / 长期跟踪</w:t>
            </w:r>
          </w:p>
        </w:tc>
      </w:tr>
      <w:tr>
        <w:trPr>
          <w:cantSplit/>
        </w:trPr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误报率</w:t>
            </w:r>
          </w:p>
        </w:tc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≤15%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误报 / 全部预警</w:t>
            </w:r>
          </w:p>
        </w:tc>
      </w:tr>
    </w:tbl>
    <w:tbl>
      <w:tblPr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B"/>
            <w:tcMar>
              <w:top w:w="100" w:type="dxa"/>
              <w:left w:w="170" w:type="dxa"/>
              <w:bottom w:w="95" w:type="dxa"/>
              <w:right w:w="150" w:type="dxa"/>
            </w:tcMar>
            <w:tcBorders>
              <w:top w:val="nil" w:space="0" w:color="BF9000"/>
              <w:left w:val="single" w:sz="24" w:space="0" w:color="BF9000"/>
              <w:bottom w:val="nil" w:space="0" w:color="BF9000"/>
              <w:right w:val="nil" w:space="0" w:color="BF9000"/>
            </w:tcBorders>
          </w:tcPr>
          <w:p>
            <w:pPr>
              <w:spacing w:before="0" w:after="40" w:line="288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8"/>
                <w:u w:val="none"/>
              </w:rPr>
              <w:t>决策请求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7"/>
                <w:u w:val="none"/>
              </w:rPr>
              <w:t>批准混合路线；批准 8.5 人峰值、20 周计划；指定一位高管 sponsor 解决数据源权限；在 W2 前完成 3 个源系统只读账号。</w:t>
            </w:r>
          </w:p>
          <w:p>
            <w:pPr>
              <w:spacing w:before="0" w:after="20" w:line="31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666666"/>
                <w:sz w:val="17"/>
                <w:u w:val="none"/>
              </w:rPr>
              <w:t>如果只同意一件事：先批数据接入与指标对账，不要先批大屏。数据不通，做出来的只是“好看的报表”。</w:t>
            </w:r>
          </w:p>
        </w:tc>
      </w:tr>
    </w:tbl>
    <w:p>
      <w:pPr>
        <w:spacing w:before="200" w:after="0" w:line="324" w:lineRule="auto"/>
        <w:jc w:val="center"/>
      </w:pPr>
      <w:r>
        <w:rPr>
          <w:rFonts w:ascii="微软雅黑" w:hAnsi="微软雅黑" w:eastAsia="微软雅黑" w:cs="微软雅黑"/>
          <w:b w:val="0"/>
          <w:i/>
          <w:color w:val="1F3864"/>
          <w:sz w:val="24"/>
          <w:u w:val="none"/>
        </w:rPr>
        <w:t>“技术壁垒可以外购，产品壁垒必须自建。”</w:t>
      </w:r>
    </w:p>
    <w:p>
      <w:pPr>
        <w:spacing w:before="40" w:after="0" w:line="324" w:lineRule="auto"/>
        <w:jc w:val="center"/>
      </w:pPr>
      <w:r>
        <w:rPr>
          <w:rFonts w:ascii="微软雅黑" w:hAnsi="微软雅黑" w:eastAsia="微软雅黑" w:cs="微软雅黑"/>
          <w:b w:val="0"/>
          <w:i w:val="0"/>
          <w:color w:val="666666"/>
          <w:sz w:val="14"/>
          <w:u w:val="none"/>
        </w:rPr>
        <w:t>—— 竞品分析与开发方案设计 · V0.1</w:t>
      </w:r>
    </w:p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A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附录 A  12 项指标字典（v1.0）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口径是产品的“法律”。以下为默认定义，评审冻结后版本化；任何变更需产品、数据、财务三方确认，并在报表标注口径版本。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61"/>
        <w:gridCol w:w="5102"/>
        <w:gridCol w:w="1928"/>
        <w:gridCol w:w="1247"/>
      </w:tblGrid>
      <w:tr>
        <w:trPr>
          <w:cantSplit/>
          <w:tblHeader w:val="true"/>
          <w:trHeight w:val="360" w:hRule="atLeast"/>
        </w:trPr>
        <w:tc>
          <w:tcPr>
            <w:tcW w:type="dxa" w:w="1361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指标</w:t>
            </w:r>
          </w:p>
        </w:tc>
        <w:tc>
          <w:tcPr>
            <w:tcW w:type="dxa" w:w="5102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定义 / 公式</w:t>
            </w:r>
          </w:p>
        </w:tc>
        <w:tc>
          <w:tcPr>
            <w:tcW w:type="dxa" w:w="1928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维度</w:t>
            </w:r>
          </w:p>
        </w:tc>
        <w:tc>
          <w:tcPr>
            <w:tcW w:type="dxa" w:w="1247"/>
            <w:shd w:val="clear" w:color="auto" w:fill="1F3864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数据源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新增线索数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统计周期内创建的线索数；按线索 ID 去重，剔除测试 / 重复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时间、组织、渠道、负责人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有效线索率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有效线索数 ÷ 新增线索数；有效定义由 MQL / SQL 规则确定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时间、组织、渠道、负责人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线索转化率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转为商机的线索数 ÷ 有效线索数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时间、组织、渠道、负责人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跟进次数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统计周期内有效跟进记录数；电话 / 拜访 / 邮件 / 企微，按客户 + 日去重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时间、组织、人、客户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新增商机数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新建商机数；按商机 ID 去重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时间、组织、渠道、负责人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商机金额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新建商机金额；统一币种 / 含税口径；按预计成交日期归属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时间、组织、渠道、负责人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赢单率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赢单商机数 ÷（赢单 + 输单）商机数；排除仍在推进的商机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时间、组织、人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签约额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合同金额；含税 / 不含税口径统一；按签约日期归属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时间、组织、产品、客户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 / ERP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回款额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财务到账金额；按到账日期；退款冲减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时间、组织、客户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ERP / 财务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目标完成率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实际签约额 ÷ 目标签约额；目标按组织 / 月 / 年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时间、组织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目标系统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营销费用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投放费用 + 活动费用；按费用发生日期；统一币种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时间、渠道、活动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投放 / 财务</w:t>
            </w:r>
          </w:p>
        </w:tc>
      </w:tr>
      <w:tr>
        <w:trPr>
          <w:cantSplit/>
        </w:trPr>
        <w:tc>
          <w:tcPr>
            <w:tcW w:type="dxa" w:w="1361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营销 ROI</w:t>
            </w:r>
          </w:p>
        </w:tc>
        <w:tc>
          <w:tcPr>
            <w:tcW w:type="dxa" w:w="5102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签约额 ÷ 营销费用；首版用签约额，二期可换毛利</w:t>
            </w:r>
          </w:p>
        </w:tc>
        <w:tc>
          <w:tcPr>
            <w:tcW w:type="dxa" w:w="1928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时间、渠道、活动</w:t>
            </w:r>
          </w:p>
        </w:tc>
        <w:tc>
          <w:tcPr>
            <w:tcW w:type="dxa" w:w="1247"/>
            <w:tcMar>
              <w:top w:w="34" w:type="dxa"/>
              <w:left w:w="48" w:type="dxa"/>
              <w:bottom w:w="34" w:type="dxa"/>
              <w:right w:w="48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CRM / 财务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A1  指标字典 v1.0。所有指标支持日 / 周 / 月、同比 / 环比、组织 / 渠道 / 人；汇总与明细必须可对账。</w:t>
      </w:r>
    </w:p>
    <w:p>
      <w:pPr>
        <w:spacing w:before="6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口径治理：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每个指标有 owner、版本、生效日期、变更记录；报表页脚展示“口径 v1.0”；口径变更不追溯已发布历史，除非明确重述。</w:t>
      </w:r>
    </w:p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指标与风险规则的映射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1"/>
        <w:gridCol w:w="5102"/>
        <w:gridCol w:w="2835"/>
      </w:tblGrid>
      <w:tr>
        <w:trPr>
          <w:cantSplit/>
          <w:tblHeader w:val="true"/>
          <w:trHeight w:val="360" w:hRule="atLeast"/>
        </w:trPr>
        <w:tc>
          <w:tcPr>
            <w:tcW w:type="dxa" w:w="1701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风险类型</w:t>
            </w:r>
          </w:p>
        </w:tc>
        <w:tc>
          <w:tcPr>
            <w:tcW w:type="dxa" w:w="510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依赖指标</w:t>
            </w:r>
          </w:p>
        </w:tc>
        <w:tc>
          <w:tcPr>
            <w:tcW w:type="dxa" w:w="2835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主要维度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目标缺口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目标完成率、签约额、时间进度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按组织 / 月 / 年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业绩下滑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日 / 周签约额、同比 / 环比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按组织 / 渠道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线索异常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新增线索数、有效线索率、线索转化率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按渠道 / 投放活动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商机覆盖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商机金额、新增商机数、赢单率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按组织 / 负责人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大客户流失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商机金额、跟进次数、客户维度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按客户 / 负责人</w:t>
            </w:r>
          </w:p>
        </w:tc>
      </w:tr>
      <w:tr>
        <w:trPr>
          <w:cantSplit/>
        </w:trPr>
        <w:tc>
          <w:tcPr>
            <w:tcW w:type="dxa" w:w="1701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订单 / 回款</w:t>
            </w:r>
          </w:p>
        </w:tc>
        <w:tc>
          <w:tcPr>
            <w:tcW w:type="dxa" w:w="510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签约额、回款额、订单取消</w:t>
            </w:r>
          </w:p>
        </w:tc>
        <w:tc>
          <w:tcPr>
            <w:tcW w:type="dxa" w:w="2835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按客户 / 合同</w:t>
            </w:r>
          </w:p>
        </w:tc>
      </w:tr>
    </w:tbl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B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附录 B  6 类风险规则（默认值）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规则是业务资产，不是 if-else 堆砌。以下为默认阈值，上线前需用 12 个月历史数据回测；所有阈值可配置、可灰度、可版本化。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74"/>
        <w:gridCol w:w="4649"/>
        <w:gridCol w:w="1247"/>
        <w:gridCol w:w="2268"/>
      </w:tblGrid>
      <w:tr>
        <w:trPr>
          <w:cantSplit/>
          <w:tblHeader w:val="true"/>
          <w:trHeight w:val="360" w:hRule="atLeast"/>
        </w:trPr>
        <w:tc>
          <w:tcPr>
            <w:tcW w:type="dxa" w:w="147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类型</w:t>
            </w:r>
          </w:p>
        </w:tc>
        <w:tc>
          <w:tcPr>
            <w:tcW w:type="dxa" w:w="4649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默认触发条件（可配置）</w:t>
            </w:r>
          </w:p>
        </w:tc>
        <w:tc>
          <w:tcPr>
            <w:tcW w:type="dxa" w:w="1247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默认级别</w:t>
            </w:r>
          </w:p>
        </w:tc>
        <w:tc>
          <w:tcPr>
            <w:tcW w:type="dxa" w:w="2268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责任 / 动作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目标缺口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时间进度 − 完成进度 ≥3 / 8 / 15 个百分点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黄 / 橙 / 红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部门经理 / 事业部 / 销售总监；补动作计划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业绩下滑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日签约额连续 2 天环比下降 ≥20% / 30%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橙 / 红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部门经理；排查商机 / 渠道 / 大客户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线索异常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周新增线索环比降 ≥30%（橙）；线索转化率环比降 ≥20%（黄）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橙 / 黄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市场负责人；检查投放 / 渠道质量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商机覆盖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管道金额 ÷ 目标 &lt; 2.5 倍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橙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销售经理；补商机 / 提前推进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大客户流失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30 天未跟进且商机金额 ≥50 万元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红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客户负责人 + 事业部；48h 内拜访</w:t>
            </w:r>
          </w:p>
        </w:tc>
      </w:tr>
      <w:tr>
        <w:trPr>
          <w:cantSplit/>
        </w:trPr>
        <w:tc>
          <w:tcPr>
            <w:tcW w:type="dxa" w:w="147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订单 / 回款</w:t>
            </w:r>
          </w:p>
        </w:tc>
        <w:tc>
          <w:tcPr>
            <w:tcW w:type="dxa" w:w="4649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单笔取消 ≥50 万元；或回款逾期 ≥30 天</w:t>
            </w:r>
          </w:p>
        </w:tc>
        <w:tc>
          <w:tcPr>
            <w:tcW w:type="dxa" w:w="1247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红</w:t>
            </w:r>
          </w:p>
        </w:tc>
        <w:tc>
          <w:tcPr>
            <w:tcW w:type="dxa" w:w="2268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销售 + 财务；止损 / 催收 / 升级</w:t>
            </w:r>
          </w:p>
        </w:tc>
      </w:tr>
    </w:tbl>
    <w:p>
      <w:pPr>
        <w:spacing w:before="20" w:after="120" w:line="264" w:lineRule="auto"/>
      </w:pPr>
      <w:r>
        <w:rPr>
          <w:rFonts w:ascii="微软雅黑" w:hAnsi="微软雅黑" w:eastAsia="微软雅黑" w:cs="微软雅黑"/>
          <w:b w:val="0"/>
          <w:i w:val="0"/>
          <w:color w:val="8C8C8C"/>
          <w:sz w:val="13"/>
          <w:u w:val="none"/>
        </w:rPr>
        <w:t>表 B1  风险规则默认值。同一对象同一规则 24 小时内合并；红级同步销售总监，影响金额 ≥100 万元加推总经理。</w:t>
      </w:r>
    </w:p>
    <w:p>
      <w:pPr>
        <w:spacing w:before="6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SLA：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红 4 小时认领 / 3 个工作日关闭；橙 8 小时 / 5 个工作日；黄 1 个工作日 / 10 个工作日。超时未认领自动升级，最多两级，最终进入总经理风险池。</w:t>
      </w:r>
    </w:p>
    <w:p>
      <w:pPr>
        <w:spacing w:before="40" w:after="80" w:line="324" w:lineRule="auto"/>
        <w:jc w:val="both"/>
      </w:pPr>
      <w:r>
        <w:rPr>
          <w:rFonts w:ascii="微软雅黑" w:hAnsi="微软雅黑" w:eastAsia="微软雅黑" w:cs="微软雅黑"/>
          <w:b/>
          <w:i w:val="0"/>
          <w:color w:val="2F5597"/>
          <w:sz w:val="18"/>
          <w:u w:val="none"/>
        </w:rPr>
        <w:t>误报治理：</w:t>
      </w:r>
      <w:r>
        <w:rPr>
          <w:rFonts w:ascii="微软雅黑" w:hAnsi="微软雅黑" w:eastAsia="微软雅黑" w:cs="微软雅黑"/>
          <w:b w:val="0"/>
          <w:i w:val="0"/>
          <w:color w:val="333333"/>
          <w:sz w:val="18"/>
          <w:u w:val="none"/>
        </w:rPr>
        <w:t>关闭时必填原因、动作、结果；每周复盘误报 Top3；连续两周误报率 &gt;15% 的规则自动降级或停用，待回测后重启。</w:t>
      </w:r>
    </w:p>
    <w:p>
      <w:pPr>
        <w:keepNext/>
        <w:spacing w:before="100" w:after="40" w:line="276" w:lineRule="auto"/>
      </w:pPr>
      <w:r>
        <w:rPr>
          <w:rFonts w:ascii="微软雅黑" w:hAnsi="微软雅黑" w:eastAsia="微软雅黑" w:cs="微软雅黑"/>
          <w:b/>
          <w:i w:val="0"/>
          <w:color w:val="1F3864"/>
          <w:sz w:val="19"/>
          <w:u w:val="none"/>
        </w:rPr>
        <w:t>规则配置字段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14"/>
        <w:gridCol w:w="4082"/>
        <w:gridCol w:w="3742"/>
      </w:tblGrid>
      <w:tr>
        <w:trPr>
          <w:cantSplit/>
          <w:tblHeader w:val="true"/>
          <w:trHeight w:val="360" w:hRule="atLeast"/>
        </w:trPr>
        <w:tc>
          <w:tcPr>
            <w:tcW w:type="dxa" w:w="1814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字段</w:t>
            </w:r>
          </w:p>
        </w:tc>
        <w:tc>
          <w:tcPr>
            <w:tcW w:type="dxa" w:w="408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说明</w:t>
            </w:r>
          </w:p>
        </w:tc>
        <w:tc>
          <w:tcPr>
            <w:tcW w:type="dxa" w:w="3742"/>
            <w:shd w:val="clear" w:color="auto" w:fill="1F386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4"/>
                <w:u w:val="none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rule_id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规则唯一标识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R-TARGET-GAP-01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object_type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作用对象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dept / owner / customer / order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condition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触发表达式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time_progress - completion &gt;= 0.08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level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默认级别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橙 / 红 / 黄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owner_rule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责任映射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部门经理 / 事业部 / 销售总监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action_template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动作模板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补动作计划 / 拜访 / 催收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dedup_window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合并窗口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24h</w:t>
            </w:r>
          </w:p>
        </w:tc>
      </w:tr>
      <w:tr>
        <w:trPr>
          <w:cantSplit/>
        </w:trPr>
        <w:tc>
          <w:tcPr>
            <w:tcW w:type="dxa" w:w="1814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/>
                <w:i w:val="0"/>
                <w:color w:val="1F3864"/>
                <w:sz w:val="14"/>
                <w:u w:val="none"/>
              </w:rPr>
              <w:t>version</w:t>
            </w:r>
          </w:p>
        </w:tc>
        <w:tc>
          <w:tcPr>
            <w:tcW w:type="dxa" w:w="408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版本 / 生效日期</w:t>
            </w:r>
          </w:p>
        </w:tc>
        <w:tc>
          <w:tcPr>
            <w:tcW w:type="dxa" w:w="3742"/>
            <w:tcMar>
              <w:top w:w="42" w:type="dxa"/>
              <w:left w:w="64" w:type="dxa"/>
              <w:bottom w:w="42" w:type="dxa"/>
              <w:right w:w="64" w:type="dxa"/>
            </w:tcMar>
            <w:vAlign w:val="center"/>
            <w:shd w:val="clear" w:color="auto" w:fill="F7F9FC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14"/>
                <w:u w:val="none"/>
              </w:rPr>
              <w:t>v1.0 / 2026-11-01</w:t>
            </w:r>
          </w:p>
        </w:tc>
      </w:tr>
    </w:tbl>
    <w:p>
      <w:pPr>
        <w:pStyle w:val="Heading1"/>
        <w:keepNext/>
        <w:pageBreakBefore/>
        <w:spacing w:before="0" w:after="120" w:line="240" w:lineRule="auto"/>
        <w:pBdr>
          <w:bottom w:val="single" w:sz="10" w:space="6" w:color="BF9000"/>
        </w:pBdr>
      </w:pPr>
      <w:r>
        <w:rPr>
          <w:rFonts w:ascii="微软雅黑" w:hAnsi="微软雅黑" w:eastAsia="微软雅黑" w:cs="微软雅黑"/>
          <w:b/>
          <w:i w:val="0"/>
          <w:color w:val="BF9000"/>
          <w:sz w:val="28"/>
          <w:u w:val="none"/>
        </w:rPr>
        <w:t>C</w:t>
      </w:r>
      <w:r>
        <w:rPr>
          <w:rFonts w:ascii="微软雅黑" w:hAnsi="微软雅黑" w:eastAsia="微软雅黑" w:cs="微软雅黑"/>
          <w:b/>
          <w:i w:val="0"/>
          <w:color w:val="1F3864"/>
          <w:sz w:val="30"/>
          <w:u w:val="none"/>
        </w:rPr>
        <w:t xml:space="preserve">  附录 C  参考资料与许可证</w:t>
      </w:r>
    </w:p>
    <w:p>
      <w:pPr>
        <w:spacing w:before="20" w:after="120" w:line="348" w:lineRule="auto"/>
      </w:pPr>
      <w:r>
        <w:rPr>
          <w:rFonts w:ascii="微软雅黑" w:hAnsi="微软雅黑" w:eastAsia="微软雅黑" w:cs="微软雅黑"/>
          <w:b w:val="0"/>
          <w:i w:val="0"/>
          <w:color w:val="1F3864"/>
          <w:sz w:val="20"/>
          <w:u w:val="none"/>
        </w:rPr>
        <w:t>以下资料检索截止 2026-10-24。产品功能与许可证可能变化；选型前需再次核对官方文档与仓库 LICENSE。</w:t>
      </w:r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[1]  本产品 PRD V0.2 简化版（内部文档，2026-10-24）  </w:t>
      </w:r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[2]  Microsoft Power BI 文档  </w:t>
      </w:r>
      <w:hyperlink r:id="rId17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https://learn.microsoft.com/power-bi/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[3]  Tableau Help（订阅、告警、权限）  </w:t>
      </w:r>
      <w:hyperlink r:id="rId18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https://help.tableau.com/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[4]  Databox（KPI 看板、Goals、告警）  </w:t>
      </w:r>
      <w:hyperlink r:id="rId19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https://databox.com/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[5]  Clari（Forecast / Revenue Intelligence）  </w:t>
      </w:r>
      <w:hyperlink r:id="rId20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https://www.clari.com/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[6]  Salesforce Revenue Intelligence  </w:t>
      </w:r>
      <w:hyperlink r:id="rId21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https://www.salesforce.com/sales/analytics/revenue-intelligence/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[7]  Niona Reports（HubSpot Marketplace）  </w:t>
      </w:r>
      <w:hyperlink r:id="rId22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https://ecosystem.hubspot.com/marketplace/listing/niona-reports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[8]  帆软 FineBI / FineReport  </w:t>
      </w:r>
      <w:hyperlink r:id="rId23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https://www.fanruan.com/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[9]  观远数据  </w:t>
      </w:r>
      <w:hyperlink r:id="rId24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https://www.guandata.com/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[10] 销售易  </w:t>
      </w:r>
      <w:hyperlink r:id="rId25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https://www.xiaoshouyi.com/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[11] 简道云  </w:t>
      </w:r>
      <w:hyperlink r:id="rId26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https://www.jiandaoyun.com/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[12] 九数云  </w:t>
      </w:r>
      <w:hyperlink r:id="rId27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https://www.jiushuyun.com/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[13] Apache Superset  </w:t>
      </w:r>
      <w:hyperlink r:id="rId28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https://superset.apache.org/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[14] Metabase  </w:t>
      </w:r>
      <w:hyperlink r:id="rId29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https://www.metabase.com/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[15] GitHub（组件仓库见 3.2 / 3.3 表）  </w:t>
      </w:r>
      <w:hyperlink r:id="rId30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https://github.com/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[16] Apache License 2.0  </w:t>
      </w:r>
      <w:hyperlink r:id="rId31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https://www.apache.org/licenses/LICENSE-2.0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[17] GNU AGPL-3.0  </w:t>
      </w:r>
      <w:hyperlink r:id="rId32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https://www.gnu.org/licenses/agpl-3.0.html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[18] Elastic License 2.0  </w:t>
      </w:r>
      <w:hyperlink r:id="rId33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https://www.elastic.co/licensing/elastic-license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[19] n8n Sustainable Use License  </w:t>
      </w:r>
      <w:hyperlink r:id="rId34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https://docs.n8n.io/sustainable-use-license/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[20] SPDX License List  </w:t>
      </w:r>
      <w:hyperlink r:id="rId35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https://spdx.org/licenses/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[21] 钉钉开放平台  </w:t>
      </w:r>
      <w:hyperlink r:id="rId36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https://open.dingtalk.com/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[22] 企业微信开放平台  </w:t>
      </w:r>
      <w:hyperlink r:id="rId37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https://developer.work.weixin.qq.com/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[23] dbt  </w:t>
      </w:r>
      <w:hyperlink r:id="rId38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https://www.getdbt.com/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[24] Apache DolphinScheduler  </w:t>
      </w:r>
      <w:hyperlink r:id="rId39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https://dolphinscheduler.apache.org/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[25] Apache SeaTunnel  </w:t>
      </w:r>
      <w:hyperlink r:id="rId40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https://seatunnel.apache.org/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[26] Keycloak  </w:t>
      </w:r>
      <w:hyperlink r:id="rId41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https://www.keycloak.org/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[27] Casbin  </w:t>
      </w:r>
      <w:hyperlink r:id="rId42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https://casbin.org/</w:t>
        </w:r>
      </w:hyperlink>
    </w:p>
    <w:p>
      <w:pPr>
        <w:spacing w:before="0" w:after="32" w:line="283" w:lineRule="auto"/>
        <w:ind w:left="0"/>
      </w:pPr>
      <w:r>
        <w:rPr>
          <w:rFonts w:ascii="微软雅黑" w:hAnsi="微软雅黑" w:eastAsia="微软雅黑" w:cs="微软雅黑"/>
          <w:b w:val="0"/>
          <w:i w:val="0"/>
          <w:color w:val="333333"/>
          <w:sz w:val="14"/>
          <w:u w:val="none"/>
        </w:rPr>
        <w:t xml:space="preserve">[28] Gotenberg  </w:t>
      </w:r>
      <w:hyperlink r:id="rId43">
        <w:r>
          <w:rPr>
            <w:rFonts w:ascii="微软雅黑" w:hAnsi="微软雅黑" w:eastAsia="微软雅黑" w:cs="微软雅黑"/>
            <w:color w:val="2F5597"/>
            <w:sz w:val="14"/>
            <w:u w:val="single"/>
          </w:rPr>
          <w:t xml:space="preserve">https://gotenberg.dev/</w:t>
        </w:r>
      </w:hyperlink>
    </w:p>
    <w:p>
      <w:pPr>
        <w:spacing w:before="120" w:after="0" w:line="324" w:lineRule="auto"/>
      </w:pPr>
      <w:r>
        <w:rPr>
          <w:rFonts w:ascii="微软雅黑" w:hAnsi="微软雅黑" w:eastAsia="微软雅黑" w:cs="微软雅黑"/>
          <w:b/>
          <w:i w:val="0"/>
          <w:color w:val="666666"/>
          <w:sz w:val="14"/>
          <w:u w:val="none"/>
        </w:rPr>
        <w:t>免责声明：</w:t>
      </w:r>
      <w:r>
        <w:rPr>
          <w:rFonts w:ascii="微软雅黑" w:hAnsi="微软雅黑" w:eastAsia="微软雅黑" w:cs="微软雅黑"/>
          <w:b w:val="0"/>
          <w:i w:val="0"/>
          <w:color w:val="8C8C8C"/>
          <w:sz w:val="14"/>
          <w:u w:val="none"/>
        </w:rPr>
        <w:t>本报告中的竞品功能、价格量级、许可证结论均来自公开资料与定性评估，未进行商业 POC；不构成法律意见。最终选型以试用、法务评审和合同为准。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49" w:right="1134" w:bottom="1049" w:left="1134" w:header="510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t>内部资料 · 请勿外传</w:t>
    </w:r>
    <w:r>
      <w:tab/>
    </w: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t xml:space="preserve">第 </w:t>
    </w: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t xml:space="preserve"> 页 / 共 </w:t>
    </w: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4" w:space="3" w:color="D9D9D9"/>
      </w:pBdr>
    </w:pP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t>竞品分析与开发方案设计 ｜ 营销日周动态汇总与风险预警</w:t>
    </w:r>
    <w:r>
      <w:tab/>
    </w:r>
    <w:r>
      <w:rPr>
        <w:rFonts w:ascii="微软雅黑" w:hAnsi="微软雅黑" w:eastAsia="微软雅黑" w:cs="微软雅黑"/>
        <w:b w:val="0"/>
        <w:i w:val="0"/>
        <w:color w:val="666666"/>
        <w:sz w:val="14"/>
        <w:u w:val="none"/>
      </w:rPr>
      <w:t>V0.1 ｜ 2026-10-24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324" w:lineRule="auto"/>
    </w:pPr>
    <w:rPr>
      <w:rFonts w:ascii="微软雅黑" w:hAnsi="微软雅黑" w:eastAsia="微软雅黑" w:cs="微软雅黑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354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354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learn.microsoft.com/power-bi/" TargetMode="External"/><Relationship Id="rId18" Type="http://schemas.openxmlformats.org/officeDocument/2006/relationships/hyperlink" Target="https://help.tableau.com/" TargetMode="External"/><Relationship Id="rId19" Type="http://schemas.openxmlformats.org/officeDocument/2006/relationships/hyperlink" Target="https://databox.com/" TargetMode="External"/><Relationship Id="rId20" Type="http://schemas.openxmlformats.org/officeDocument/2006/relationships/hyperlink" Target="https://www.clari.com/" TargetMode="External"/><Relationship Id="rId21" Type="http://schemas.openxmlformats.org/officeDocument/2006/relationships/hyperlink" Target="https://www.salesforce.com/sales/analytics/revenue-intelligence/" TargetMode="External"/><Relationship Id="rId22" Type="http://schemas.openxmlformats.org/officeDocument/2006/relationships/hyperlink" Target="https://ecosystem.hubspot.com/marketplace/listing/niona-reports" TargetMode="External"/><Relationship Id="rId23" Type="http://schemas.openxmlformats.org/officeDocument/2006/relationships/hyperlink" Target="https://www.fanruan.com/" TargetMode="External"/><Relationship Id="rId24" Type="http://schemas.openxmlformats.org/officeDocument/2006/relationships/hyperlink" Target="https://www.guandata.com/" TargetMode="External"/><Relationship Id="rId25" Type="http://schemas.openxmlformats.org/officeDocument/2006/relationships/hyperlink" Target="https://www.xiaoshouyi.com/" TargetMode="External"/><Relationship Id="rId26" Type="http://schemas.openxmlformats.org/officeDocument/2006/relationships/hyperlink" Target="https://www.jiandaoyun.com/" TargetMode="External"/><Relationship Id="rId27" Type="http://schemas.openxmlformats.org/officeDocument/2006/relationships/hyperlink" Target="https://www.jiushuyun.com/" TargetMode="External"/><Relationship Id="rId28" Type="http://schemas.openxmlformats.org/officeDocument/2006/relationships/hyperlink" Target="https://superset.apache.org/" TargetMode="External"/><Relationship Id="rId29" Type="http://schemas.openxmlformats.org/officeDocument/2006/relationships/hyperlink" Target="https://www.metabase.com/" TargetMode="External"/><Relationship Id="rId30" Type="http://schemas.openxmlformats.org/officeDocument/2006/relationships/hyperlink" Target="https://github.com/" TargetMode="External"/><Relationship Id="rId31" Type="http://schemas.openxmlformats.org/officeDocument/2006/relationships/hyperlink" Target="https://www.apache.org/licenses/LICENSE-2.0" TargetMode="External"/><Relationship Id="rId32" Type="http://schemas.openxmlformats.org/officeDocument/2006/relationships/hyperlink" Target="https://www.gnu.org/licenses/agpl-3.0.html" TargetMode="External"/><Relationship Id="rId33" Type="http://schemas.openxmlformats.org/officeDocument/2006/relationships/hyperlink" Target="https://www.elastic.co/licensing/elastic-license" TargetMode="External"/><Relationship Id="rId34" Type="http://schemas.openxmlformats.org/officeDocument/2006/relationships/hyperlink" Target="https://docs.n8n.io/sustainable-use-license/" TargetMode="External"/><Relationship Id="rId35" Type="http://schemas.openxmlformats.org/officeDocument/2006/relationships/hyperlink" Target="https://spdx.org/licenses/" TargetMode="External"/><Relationship Id="rId36" Type="http://schemas.openxmlformats.org/officeDocument/2006/relationships/hyperlink" Target="https://open.dingtalk.com/" TargetMode="External"/><Relationship Id="rId37" Type="http://schemas.openxmlformats.org/officeDocument/2006/relationships/hyperlink" Target="https://developer.work.weixin.qq.com/" TargetMode="External"/><Relationship Id="rId38" Type="http://schemas.openxmlformats.org/officeDocument/2006/relationships/hyperlink" Target="https://www.getdbt.com/" TargetMode="External"/><Relationship Id="rId39" Type="http://schemas.openxmlformats.org/officeDocument/2006/relationships/hyperlink" Target="https://dolphinscheduler.apache.org/" TargetMode="External"/><Relationship Id="rId40" Type="http://schemas.openxmlformats.org/officeDocument/2006/relationships/hyperlink" Target="https://seatunnel.apache.org/" TargetMode="External"/><Relationship Id="rId41" Type="http://schemas.openxmlformats.org/officeDocument/2006/relationships/hyperlink" Target="https://www.keycloak.org/" TargetMode="External"/><Relationship Id="rId42" Type="http://schemas.openxmlformats.org/officeDocument/2006/relationships/hyperlink" Target="https://casbin.org/" TargetMode="External"/><Relationship Id="rId43" Type="http://schemas.openxmlformats.org/officeDocument/2006/relationships/hyperlink" Target="https://gotenberg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竞品分析与开发方案设计：营销日周动态汇总与风险预警</dc:title>
  <dc:subject>竞品分析、Make-or-Buy、GitHub 组件调研、开发方案设计</dc:subject>
  <dc:creator>产品团队</dc:creator>
  <cp:keywords>竞品分析, Make-or-Buy, GitHub, 开发方案, 营销, 风险预警</cp:keywords>
  <dc:description>V0.1 首版，资料检索截止 2026-10-24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