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38"/>
        </w:rPr>
        <w:t>竞品分析与开发方案设计</w:t>
      </w:r>
    </w:p>
    <w:p>
      <w:pPr>
        <w:spacing w:before="40" w:after="20" w:line="240" w:lineRule="auto"/>
      </w:pPr>
      <w:r>
        <w:rPr>
          <w:rFonts w:ascii="微软雅黑" w:hAnsi="微软雅黑" w:eastAsia="微软雅黑" w:cs="微软雅黑"/>
          <w:b w:val="0"/>
          <w:i w:val="0"/>
          <w:color w:val="2F5597"/>
          <w:sz w:val="21"/>
        </w:rPr>
        <w:t>营销日周动态汇总与风险预警 · 两页简版</w:t>
      </w:r>
    </w:p>
    <w:p>
      <w:pPr>
        <w:spacing w:before="0" w:after="80" w:line="240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15"/>
        </w:rPr>
        <w:t>V0.1 ｜ 2026-10-24 ｜ 结论、选型与 20 周落地路径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insideH w:val="nil"/>
          <w:insideV w:val="nil"/>
          <w:left w:val="single" w:sz="24" w:space="0" w:color="BF9000"/>
        </w:tblBorders>
      </w:tblPr>
      <w:tblGrid>
        <w:gridCol w:w="9978"/>
      </w:tblGrid>
      <w:tr>
        <w:tc>
          <w:tcPr>
            <w:tcW w:type="dxa" w:w="9865"/>
            <w:shd w:val="clear" w:color="auto" w:fill="F2F6FB"/>
            <w:tcMar>
              <w:left w:w="170" w:type="dxa"/>
              <w:right w:w="140" w:type="dxa"/>
              <w:top w:w="80" w:type="dxa"/>
              <w:bottom w:w="80" w:type="dxa"/>
            </w:tcMar>
          </w:tcPr>
          <w:p>
            <w:pPr>
              <w:spacing w:before="0" w:after="2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</w:rPr>
              <w:t>结论</w:t>
            </w:r>
          </w:p>
          <w:p>
            <w:pPr>
              <w:spacing w:before="0" w:after="20" w:line="293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</w:rPr>
              <w:t>市场没有可直接采购的成品。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可行路线是“买底座、自研闭环”：通用 BI、数据、权限、导出用开源或外购；12 项指标口径、四类角色简报、6 类风险规则、SLA 认领闭环自研。20 周完成试点。</w:t>
            </w:r>
          </w:p>
        </w:tc>
      </w:tr>
    </w:tbl>
    <w:p>
      <w:pPr>
        <w:spacing w:before="140" w:after="60" w:line="240" w:lineRule="auto"/>
        <w:pBdr>
          <w:bottom w:val="single" w:sz="6" w:space="2" w:color="D6E0F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3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1F3864"/>
          <w:sz w:val="23"/>
        </w:rPr>
        <w:t>竞品：5 类代表产品，没人同时满足五个条件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1304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类别</w:t>
            </w:r>
          </w:p>
        </w:tc>
        <w:tc>
          <w:tcPr>
            <w:tcW w:type="dxa" w:w="4082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代表产品</w:t>
            </w:r>
          </w:p>
        </w:tc>
        <w:tc>
          <w:tcPr>
            <w:tcW w:type="dxa" w:w="2041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强项</w:t>
            </w:r>
          </w:p>
        </w:tc>
        <w:tc>
          <w:tcPr>
            <w:tcW w:type="dxa" w:w="2438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缺口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通用 BI</w:t>
            </w:r>
          </w:p>
        </w:tc>
        <w:tc>
          <w:tcPr>
            <w:tcW w:type="dxa" w:w="4082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Power BI、Tableau、FineBI、观远、Superset、Metabase</w:t>
            </w:r>
          </w:p>
        </w:tc>
        <w:tc>
          <w:tcPr>
            <w:tcW w:type="dxa" w:w="204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图表、自助分析、订阅</w:t>
            </w:r>
          </w:p>
        </w:tc>
        <w:tc>
          <w:tcPr>
            <w:tcW w:type="dxa" w:w="243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不懂销售语义；不管风险认领与关闭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CRM 原生</w:t>
            </w:r>
          </w:p>
        </w:tc>
        <w:tc>
          <w:tcPr>
            <w:tcW w:type="dxa" w:w="4082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Salesforce RI、销售易</w:t>
            </w:r>
          </w:p>
        </w:tc>
        <w:tc>
          <w:tcPr>
            <w:tcW w:type="dxa" w:w="204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商机 / 漏斗数据完整</w:t>
            </w:r>
          </w:p>
        </w:tc>
        <w:tc>
          <w:tcPr>
            <w:tcW w:type="dxa" w:w="243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只覆盖自家 CRM；跨 ERP、投放、财务断链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收入智能</w:t>
            </w:r>
          </w:p>
        </w:tc>
        <w:tc>
          <w:tcPr>
            <w:tcW w:type="dxa" w:w="4082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Clari、Niona</w:t>
            </w:r>
          </w:p>
        </w:tc>
        <w:tc>
          <w:tcPr>
            <w:tcW w:type="dxa" w:w="204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预测、管道评分</w:t>
            </w:r>
          </w:p>
        </w:tc>
        <w:tc>
          <w:tcPr>
            <w:tcW w:type="dxa" w:w="243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国内 IM、私有化、实施成本不适配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轻量 / 低代码</w:t>
            </w:r>
          </w:p>
        </w:tc>
        <w:tc>
          <w:tcPr>
            <w:tcW w:type="dxa" w:w="4082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Databox、九数云、简道云</w:t>
            </w:r>
          </w:p>
        </w:tc>
        <w:tc>
          <w:tcPr>
            <w:tcW w:type="dxa" w:w="204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便宜、上线快</w:t>
            </w:r>
          </w:p>
        </w:tc>
        <w:tc>
          <w:tcPr>
            <w:tcW w:type="dxa" w:w="243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模板化；复杂口径与闭环做不深</w:t>
            </w:r>
          </w:p>
        </w:tc>
      </w:tr>
      <w:tr>
        <w:trPr>
          <w:cantSplit/>
        </w:trPr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垂直行业</w:t>
            </w:r>
          </w:p>
        </w:tc>
        <w:tc>
          <w:tcPr>
            <w:tcW w:type="dxa" w:w="4082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有赞 AI 数据分析师</w:t>
            </w:r>
          </w:p>
        </w:tc>
        <w:tc>
          <w:tcPr>
            <w:tcW w:type="dxa" w:w="204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电商场景开箱即用</w:t>
            </w:r>
          </w:p>
        </w:tc>
        <w:tc>
          <w:tcPr>
            <w:tcW w:type="dxa" w:w="243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场景窄；不能做跨系统经营</w:t>
            </w:r>
          </w:p>
        </w:tc>
      </w:tr>
    </w:tbl>
    <w:p>
      <w:pPr>
        <w:spacing w:before="60" w:after="40" w:line="300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7"/>
        </w:rPr>
        <w:t>五个关键格：</w:t>
      </w:r>
      <w:r>
        <w:rPr>
          <w:rFonts w:ascii="微软雅黑" w:hAnsi="微软雅黑" w:eastAsia="微软雅黑" w:cs="微软雅黑"/>
          <w:b w:val="0"/>
          <w:i w:val="0"/>
          <w:color w:val="333333"/>
          <w:sz w:val="17"/>
        </w:rPr>
        <w:t>跨系统数据 · 四类角色简报 · 6 类风险分级 · 4 小时认领 / SLA 升级 · 国内 IM + 私有化。</w:t>
      </w:r>
      <w:r>
        <w:rPr>
          <w:rFonts w:ascii="微软雅黑" w:hAnsi="微软雅黑" w:eastAsia="微软雅黑" w:cs="微软雅黑"/>
          <w:b/>
          <w:i w:val="0"/>
          <w:color w:val="1F3864"/>
          <w:sz w:val="17"/>
        </w:rPr>
        <w:t>空位在“经营闭环”，不在“看板”。</w:t>
      </w:r>
    </w:p>
    <w:p>
      <w:pPr>
        <w:spacing w:before="140" w:after="60" w:line="240" w:lineRule="auto"/>
        <w:pBdr>
          <w:bottom w:val="single" w:sz="6" w:space="2" w:color="D6E0F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3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1F3864"/>
          <w:sz w:val="23"/>
        </w:rPr>
        <w:t>Make-or-Buy：买底座，自研闭环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268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能力</w:t>
            </w:r>
          </w:p>
        </w:tc>
        <w:tc>
          <w:tcPr>
            <w:tcW w:type="dxa" w:w="1304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决策</w:t>
            </w:r>
          </w:p>
        </w:tc>
        <w:tc>
          <w:tcPr>
            <w:tcW w:type="dxa" w:w="6293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做法 / 理由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数据接入 / 同步</w:t>
            </w:r>
          </w:p>
        </w:tc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 / 开源</w:t>
            </w:r>
          </w:p>
        </w:tc>
        <w:tc>
          <w:tcPr>
            <w:tcW w:type="dxa" w:w="6293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SeaTunnel、DolphinScheduler 成熟，自研无优势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数仓 / 建模</w:t>
            </w:r>
          </w:p>
        </w:tc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 / 开源</w:t>
            </w:r>
          </w:p>
        </w:tc>
        <w:tc>
          <w:tcPr>
            <w:tcW w:type="dxa" w:w="6293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PostgreSQL + dbt；只自研指标语义与集市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图表 / 前端</w:t>
            </w:r>
          </w:p>
        </w:tc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 / 开源</w:t>
            </w:r>
          </w:p>
        </w:tc>
        <w:tc>
          <w:tcPr>
            <w:tcW w:type="dxa" w:w="6293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Next.js + Ant Design + ECharts；不自研组件库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登录 / 权限</w:t>
            </w:r>
          </w:p>
        </w:tc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 / 开源</w:t>
            </w:r>
          </w:p>
        </w:tc>
        <w:tc>
          <w:tcPr>
            <w:tcW w:type="dxa" w:w="6293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Keycloak + Casbin；行级策略与导出水印自研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PDF / Excel</w:t>
            </w:r>
          </w:p>
        </w:tc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买 / 开源</w:t>
            </w:r>
          </w:p>
        </w:tc>
        <w:tc>
          <w:tcPr>
            <w:tcW w:type="dxa" w:w="6293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Gotenberg + openpyxl；不自研渲染引擎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12 项指标口径</w:t>
            </w:r>
          </w:p>
        </w:tc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自研</w:t>
            </w:r>
          </w:p>
        </w:tc>
        <w:tc>
          <w:tcPr>
            <w:tcW w:type="dxa" w:w="6293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业务语义是产品资产，必须版本化、可对账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四类角色简报</w:t>
            </w:r>
          </w:p>
        </w:tc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自研</w:t>
            </w:r>
          </w:p>
        </w:tc>
        <w:tc>
          <w:tcPr>
            <w:tcW w:type="dxa" w:w="6293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3 条结论 + Top3 + 动作，是差异化核心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6 类风险规则</w:t>
            </w:r>
          </w:p>
        </w:tc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自研</w:t>
            </w:r>
          </w:p>
        </w:tc>
        <w:tc>
          <w:tcPr>
            <w:tcW w:type="dxa" w:w="6293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阈值、责任人、误报治理，买不到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认领 / 升级 / 关闭</w:t>
            </w:r>
          </w:p>
        </w:tc>
        <w:tc>
          <w:tcPr>
            <w:tcW w:type="dxa" w:w="130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自研</w:t>
            </w:r>
          </w:p>
        </w:tc>
        <w:tc>
          <w:tcPr>
            <w:tcW w:type="dxa" w:w="6293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SLA 与审计留痕，竞品普遍空白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钉钉 / 企微适配</w:t>
            </w:r>
          </w:p>
        </w:tc>
        <w:tc>
          <w:tcPr>
            <w:tcW w:type="dxa" w:w="130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自研薄层</w:t>
            </w:r>
          </w:p>
        </w:tc>
        <w:tc>
          <w:tcPr>
            <w:tcW w:type="dxa" w:w="6293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免登、卡片、深链；不绑定单一 IM</w:t>
            </w:r>
          </w:p>
        </w:tc>
      </w:tr>
    </w:tbl>
    <w:p>
      <w:pPr>
        <w:spacing w:before="60" w:after="80" w:line="288" w:lineRule="auto"/>
      </w:pPr>
      <w:r>
        <w:rPr>
          <w:rFonts w:ascii="微软雅黑" w:hAnsi="微软雅黑" w:eastAsia="微软雅黑" w:cs="微软雅黑"/>
          <w:b/>
          <w:i w:val="0"/>
          <w:color w:val="BF9000"/>
          <w:sz w:val="15"/>
        </w:rPr>
        <w:t>许可证红线：</w:t>
      </w:r>
      <w:r>
        <w:rPr>
          <w:rFonts w:ascii="微软雅黑" w:hAnsi="微软雅黑" w:eastAsia="微软雅黑" w:cs="微软雅黑"/>
          <w:b w:val="0"/>
          <w:i w:val="0"/>
          <w:color w:val="333333"/>
          <w:sz w:val="15"/>
        </w:rPr>
        <w:t>AGPL / GPL / Elastic-2.0 / SUL / BSL 不进核心；交付附 NOTICE 与 SBOM，CI 做 SPDX 扫描。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insideH w:val="nil"/>
          <w:insideV w:val="nil"/>
          <w:left w:val="single" w:sz="24" w:space="0" w:color="BF9000"/>
        </w:tblBorders>
      </w:tblPr>
      <w:tblGrid>
        <w:gridCol w:w="9978"/>
      </w:tblGrid>
      <w:tr>
        <w:tc>
          <w:tcPr>
            <w:tcW w:type="dxa" w:w="9865"/>
            <w:shd w:val="clear" w:color="auto" w:fill="F2F6FB"/>
            <w:tcMar>
              <w:left w:w="170" w:type="dxa"/>
              <w:right w:w="140" w:type="dxa"/>
              <w:top w:w="80" w:type="dxa"/>
              <w:bottom w:w="80" w:type="dxa"/>
            </w:tcMar>
          </w:tcPr>
          <w:p>
            <w:pPr>
              <w:spacing w:before="0" w:after="2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</w:rPr>
              <w:t>一句话</w:t>
            </w:r>
          </w:p>
          <w:p>
            <w:pPr>
              <w:spacing w:before="0" w:after="20" w:line="293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</w:rPr>
              <w:t>BI 已过剩，经营闭环稀缺；不要用自研去补通用能力，要用自研去占空位。</w:t>
            </w:r>
          </w:p>
        </w:tc>
      </w:tr>
    </w:tbl>
    <w:p>
      <w:pPr>
        <w:spacing w:before="80" w:after="0" w:line="276" w:lineRule="auto"/>
      </w:pPr>
      <w:r>
        <w:rPr>
          <w:rFonts w:ascii="微软雅黑" w:hAnsi="微软雅黑" w:eastAsia="微软雅黑" w:cs="微软雅黑"/>
          <w:b w:val="0"/>
          <w:i w:val="0"/>
          <w:color w:val="595959"/>
          <w:sz w:val="14"/>
        </w:rPr>
        <w:t>口径：竞品信息来自公开文档与应用市场，价格为量级估算；未做商业 POC；许可证结论不构成法律意见，最终以试用与法务评审为准。</w:t>
      </w:r>
    </w:p>
    <w:p>
      <w:pPr>
        <w:spacing w:before="140" w:after="60" w:line="240" w:lineRule="auto"/>
        <w:pageBreakBefore/>
        <w:pBdr>
          <w:bottom w:val="single" w:sz="6" w:space="2" w:color="D6E0F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3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1F3864"/>
          <w:sz w:val="23"/>
        </w:rPr>
        <w:t>开发方案：混合路线，20 周试点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268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路线</w:t>
            </w:r>
          </w:p>
        </w:tc>
        <w:tc>
          <w:tcPr>
            <w:tcW w:type="dxa" w:w="3969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周期 / 投入</w:t>
            </w:r>
          </w:p>
        </w:tc>
        <w:tc>
          <w:tcPr>
            <w:tcW w:type="dxa" w:w="3628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A 全自研</w:t>
            </w:r>
          </w:p>
        </w:tc>
        <w:tc>
          <w:tcPr>
            <w:tcW w:type="dxa" w:w="3969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20–24 周 / 35–45 人月</w:t>
            </w:r>
          </w:p>
        </w:tc>
        <w:tc>
          <w:tcPr>
            <w:tcW w:type="dxa" w:w="362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重复造轮子，不推荐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B 全采购</w:t>
            </w:r>
          </w:p>
        </w:tc>
        <w:tc>
          <w:tcPr>
            <w:tcW w:type="dxa" w:w="3969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10–12 周 / 12–18 人月 + 厂商</w:t>
            </w:r>
          </w:p>
        </w:tc>
        <w:tc>
          <w:tcPr>
            <w:tcW w:type="dxa" w:w="3628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上线快，但产品上限被锁死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C 混合（推荐）</w:t>
            </w:r>
          </w:p>
        </w:tc>
        <w:tc>
          <w:tcPr>
            <w:tcW w:type="dxa" w:w="3969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16 周 + 4 周试点 / 27–30 人月</w:t>
            </w:r>
          </w:p>
        </w:tc>
        <w:tc>
          <w:tcPr>
            <w:tcW w:type="dxa" w:w="3628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快、可控、资产可沉淀</w:t>
            </w:r>
          </w:p>
        </w:tc>
      </w:tr>
    </w:tbl>
    <w:p>
      <w:pPr>
        <w:spacing w:before="80" w:after="20" w:line="288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架构：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七层模块化单体——体验（Web / H5 / 卡片 / PDF）→ 接入（FastAPI、Keycloak、Casbin）→ 应用（简报 / 风险 / 下钻 / 配置）→ 领域（指标 / 简报 / 规则 / 闭环 / 通知）→ 数据（ODS / DWD / ADS / 审计）→ 集成（CRM / ERP / 投放 / 目标 / HR）→ 基础设施（SeaTunnel、DolphinScheduler、PostgreSQL、MinIO、Prometheus）。</w:t>
      </w:r>
    </w:p>
    <w:p>
      <w:pPr>
        <w:spacing w:before="20" w:after="20" w:line="288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数据流：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06:00 抽取 → 06:15 清洗 → 06:45 指标 → 07:15 质检 → 07:30 简报 → 07:50 风险 → 08:00 发布 → 08:30 推送 → 认领 / 处置 / 关闭 → 周报复盘；全程 batch_id 可重跑、可追溯。</w:t>
      </w:r>
    </w:p>
    <w:p>
      <w:pPr>
        <w:spacing w:before="80" w:after="4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7"/>
        </w:rPr>
        <w:t>交付优先级：网页 &gt; 钉钉 / 企微 &gt; 小程序 &gt;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041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渠道</w:t>
            </w:r>
          </w:p>
        </w:tc>
        <w:tc>
          <w:tcPr>
            <w:tcW w:type="dxa" w:w="6690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内容</w:t>
            </w:r>
          </w:p>
        </w:tc>
        <w:tc>
          <w:tcPr>
            <w:tcW w:type="dxa" w:w="1134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优先级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PC Web</w:t>
            </w:r>
          </w:p>
        </w:tc>
        <w:tc>
          <w:tcPr>
            <w:tcW w:type="dxa" w:w="6690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完整简报、风险中心、下钻、配置、导出</w:t>
            </w:r>
          </w:p>
        </w:tc>
        <w:tc>
          <w:tcPr>
            <w:tcW w:type="dxa" w:w="113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钉钉 / 企微 H5</w:t>
            </w:r>
          </w:p>
        </w:tc>
        <w:tc>
          <w:tcPr>
            <w:tcW w:type="dxa" w:w="6690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免登、卡片深链、认领与处置</w:t>
            </w:r>
          </w:p>
        </w:tc>
        <w:tc>
          <w:tcPr>
            <w:tcW w:type="dxa" w:w="113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IM 机器人卡片</w:t>
            </w:r>
          </w:p>
        </w:tc>
        <w:tc>
          <w:tcPr>
            <w:tcW w:type="dxa" w:w="6690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3 个 KPI + 风险数 + 查看 / 认领按钮</w:t>
            </w:r>
          </w:p>
        </w:tc>
        <w:tc>
          <w:tcPr>
            <w:tcW w:type="dxa" w:w="113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邮件 / PDF</w:t>
            </w:r>
          </w:p>
        </w:tc>
        <w:tc>
          <w:tcPr>
            <w:tcW w:type="dxa" w:w="6690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HTML 摘要 + PDF 附件</w:t>
            </w:r>
          </w:p>
        </w:tc>
        <w:tc>
          <w:tcPr>
            <w:tcW w:type="dxa" w:w="113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短信</w:t>
            </w:r>
          </w:p>
        </w:tc>
        <w:tc>
          <w:tcPr>
            <w:tcW w:type="dxa" w:w="6690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仅红色风险提醒</w:t>
            </w:r>
          </w:p>
        </w:tc>
        <w:tc>
          <w:tcPr>
            <w:tcW w:type="dxa" w:w="1134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原生 App / 小程序</w:t>
            </w:r>
          </w:p>
        </w:tc>
        <w:tc>
          <w:tcPr>
            <w:tcW w:type="dxa" w:w="6690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首版不做，H5 覆盖</w:t>
            </w:r>
          </w:p>
        </w:tc>
        <w:tc>
          <w:tcPr>
            <w:tcW w:type="dxa" w:w="1134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P3</w:t>
            </w:r>
          </w:p>
        </w:tc>
      </w:tr>
    </w:tbl>
    <w:p>
      <w:pPr>
        <w:spacing w:before="80" w:after="6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7"/>
        </w:rPr>
        <w:t>20 周里程碑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211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阶段</w:t>
            </w:r>
          </w:p>
        </w:tc>
        <w:tc>
          <w:tcPr>
            <w:tcW w:type="dxa" w:w="4762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关键交付</w:t>
            </w:r>
          </w:p>
        </w:tc>
        <w:tc>
          <w:tcPr>
            <w:tcW w:type="dxa" w:w="2891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退出标准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M0–M1  W1–W6</w:t>
            </w:r>
          </w:p>
        </w:tc>
        <w:tc>
          <w:tcPr>
            <w:tcW w:type="dxa" w:w="4762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立项、数据勘察、ODS / DWD、质量门禁</w:t>
            </w:r>
          </w:p>
        </w:tc>
        <w:tc>
          <w:tcPr>
            <w:tcW w:type="dxa" w:w="289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3 个源系统只读；10 日对账 ≥99.5%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M2–M3  W5–W12</w:t>
            </w:r>
          </w:p>
        </w:tc>
        <w:tc>
          <w:tcPr>
            <w:tcW w:type="dxa" w:w="4762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12 项指标、四角色简报、6 类风险与闭环</w:t>
            </w:r>
          </w:p>
        </w:tc>
        <w:tc>
          <w:tcPr>
            <w:tcW w:type="dxa" w:w="289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20 场景 ≥18；红级 4h 认领演练通过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M4–M5  W10–W14</w:t>
            </w:r>
          </w:p>
        </w:tc>
        <w:tc>
          <w:tcPr>
            <w:tcW w:type="dxa" w:w="4762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钉钉 / 企微、SSO、行级权限、导出、集成测试</w:t>
            </w:r>
          </w:p>
        </w:tc>
        <w:tc>
          <w:tcPr>
            <w:tcW w:type="dxa" w:w="289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越权 0；P0 / P1 = 0；功能冻结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M6–M7  W15–W20</w:t>
            </w:r>
          </w:p>
        </w:tc>
        <w:tc>
          <w:tcPr>
            <w:tcW w:type="dxa" w:w="4762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30 天试点、培训、验收、交接</w:t>
            </w:r>
          </w:p>
        </w:tc>
        <w:tc>
          <w:tcPr>
            <w:tcW w:type="dxa" w:w="289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精确率 ≥85%；闭环 ≥90%；签收</w:t>
            </w:r>
          </w:p>
        </w:tc>
      </w:tr>
    </w:tbl>
    <w:p>
      <w:pPr>
        <w:spacing w:before="80" w:after="20" w:line="288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投入与风险：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峰值 8.5 FTE、27–30 人月、首年 90–150 万元。三个一票否决项是数据源权限、口径对账、用户 adoption；代码风险反而可控。</w:t>
      </w:r>
    </w:p>
    <w:p>
      <w:pPr>
        <w:spacing w:before="100" w:after="40" w:line="240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7"/>
        </w:rPr>
        <w:t>30 天试点：4 周节奏与验收线</w:t>
      </w:r>
    </w:p>
    <w:p>
      <w:pPr>
        <w:spacing w:before="0" w:after="40" w:line="288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16"/>
        </w:rPr>
        <w:t>范围：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</w:rPr>
        <w:t>1 个事业部 + 2 个部门，覆盖四类角色；第 1 周只推不考，第 2 周认领演练，第 3 周规则调优，第 4 周复盘验收。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515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验收项</w:t>
            </w:r>
          </w:p>
        </w:tc>
        <w:tc>
          <w:tcPr>
            <w:tcW w:type="dxa" w:w="1701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目标</w:t>
            </w:r>
          </w:p>
        </w:tc>
        <w:tc>
          <w:tcPr>
            <w:tcW w:type="dxa" w:w="4649"/>
            <w:shd w:val="clear" w:color="auto" w:fill="1F3864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</w:rPr>
              <w:t>口径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日报 / 周报按时推送率</w:t>
            </w:r>
          </w:p>
        </w:tc>
        <w:tc>
          <w:tcPr>
            <w:tcW w:type="dxa" w:w="170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100%</w:t>
            </w:r>
          </w:p>
        </w:tc>
        <w:tc>
          <w:tcPr>
            <w:tcW w:type="dxa" w:w="4649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推送日志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数据准确率</w:t>
            </w:r>
          </w:p>
        </w:tc>
        <w:tc>
          <w:tcPr>
            <w:tcW w:type="dxa" w:w="170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≥99.5%</w:t>
            </w:r>
          </w:p>
        </w:tc>
        <w:tc>
          <w:tcPr>
            <w:tcW w:type="dxa" w:w="4649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连续 10 个工作日对账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预警精确率</w:t>
            </w:r>
          </w:p>
        </w:tc>
        <w:tc>
          <w:tcPr>
            <w:tcW w:type="dxa" w:w="170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≥85%</w:t>
            </w:r>
          </w:p>
        </w:tc>
        <w:tc>
          <w:tcPr>
            <w:tcW w:type="dxa" w:w="4649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试点期风险实例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高风险 4 小时认领率</w:t>
            </w:r>
          </w:p>
        </w:tc>
        <w:tc>
          <w:tcPr>
            <w:tcW w:type="dxa" w:w="170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≥95%</w:t>
            </w:r>
          </w:p>
        </w:tc>
        <w:tc>
          <w:tcPr>
            <w:tcW w:type="dxa" w:w="4649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风险审计日志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风险闭环率</w:t>
            </w:r>
          </w:p>
        </w:tc>
        <w:tc>
          <w:tcPr>
            <w:tcW w:type="dxa" w:w="1701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≥90%</w:t>
            </w:r>
          </w:p>
        </w:tc>
        <w:tc>
          <w:tcPr>
            <w:tcW w:type="dxa" w:w="4649"/>
            <w:shd w:val="clear" w:color="auto" w:fill="FFFFFF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关闭 / 长期跟踪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</w:rPr>
              <w:t>误报率</w:t>
            </w:r>
          </w:p>
        </w:tc>
        <w:tc>
          <w:tcPr>
            <w:tcW w:type="dxa" w:w="1701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≤15%</w:t>
            </w:r>
          </w:p>
        </w:tc>
        <w:tc>
          <w:tcPr>
            <w:tcW w:type="dxa" w:w="4649"/>
            <w:shd w:val="clear" w:color="auto" w:fill="F7F9FC"/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</w:rPr>
              <w:t>误报 / 全部预警</w:t>
            </w:r>
          </w:p>
        </w:tc>
      </w:tr>
    </w:tbl>
    <w:p>
      <w:pPr>
        <w:spacing w:before="4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right w:val="nil"/>
          <w:insideH w:val="nil"/>
          <w:insideV w:val="nil"/>
          <w:left w:val="single" w:sz="24" w:space="0" w:color="BF9000"/>
        </w:tblBorders>
      </w:tblPr>
      <w:tblGrid>
        <w:gridCol w:w="9978"/>
      </w:tblGrid>
      <w:tr>
        <w:tc>
          <w:tcPr>
            <w:tcW w:type="dxa" w:w="9865"/>
            <w:shd w:val="clear" w:color="auto" w:fill="F2F6FB"/>
            <w:tcMar>
              <w:left w:w="170" w:type="dxa"/>
              <w:right w:w="140" w:type="dxa"/>
              <w:top w:w="80" w:type="dxa"/>
              <w:bottom w:w="80" w:type="dxa"/>
            </w:tcMar>
          </w:tcPr>
          <w:p>
            <w:pPr>
              <w:spacing w:before="0" w:after="20" w:line="26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</w:rPr>
              <w:t>决策请求</w:t>
            </w:r>
          </w:p>
          <w:p>
            <w:pPr>
              <w:spacing w:before="0" w:after="20" w:line="293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</w:rPr>
              <w:t>批准 C 混合路线、8.5 FTE 峰值与 20 周计划，指定一位高管 sponsor；W2 前拿到 3 个源系统只读账号。</w:t>
            </w:r>
          </w:p>
          <w:p>
            <w:pPr>
              <w:spacing w:before="0" w:after="20" w:line="293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</w:rPr>
              <w:t>如果只同意一件事：先做数据接入与指标对账，不要先批大屏。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794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微软雅黑" w:hAnsi="微软雅黑" w:eastAsia="微软雅黑" w:cs="微软雅黑"/>
        <w:b w:val="0"/>
        <w:i w:val="0"/>
        <w:color w:val="595959"/>
        <w:sz w:val="14"/>
      </w:rPr>
      <w:t>内部资料 · 请勿外传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ab/>
      <w:t xml:space="preserve">第 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 xml:space="preserve"> 页 / 共 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 w:cs="微软雅黑"/>
        <w:b w:val="0"/>
        <w:i w:val="0"/>
        <w:color w:val="595959"/>
        <w:sz w:val="14"/>
      </w:rPr>
      <w:t>竞品分析与开发方案设计 ｜ 营销日周动态汇总与风险预警</w:t>
    </w:r>
    <w:r>
      <w:rPr>
        <w:rFonts w:ascii="微软雅黑" w:hAnsi="微软雅黑" w:eastAsia="微软雅黑" w:cs="微软雅黑"/>
        <w:b w:val="0"/>
        <w:i w:val="0"/>
        <w:color w:val="595959"/>
        <w:sz w:val="14"/>
      </w:rPr>
      <w:tab/>
      <w:t>两页简版 ｜ V0.1 ｜ 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97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978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竞品分析与开发方案设计（两页简版）</dc:title>
  <dc:subject>营销日周动态汇总与风险预警</dc:subject>
  <dc:creator>产品团队</dc:creator>
  <cp:keywords/>
  <dc:description>V0.1 两页简版，资料检索截止 2026-10-24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