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 w:eastAsia="Arial"/>
          <w:b/>
          <w:color w:val="BF9000"/>
          <w:sz w:val="16"/>
        </w:rPr>
        <w:t>PRODUCT REQUIREMENTS DOCUMENT  /  PRD ONE-PAGER</w:t>
      </w:r>
    </w:p>
    <w:p>
      <w:pPr>
        <w:spacing w:before="0" w:after="60"/>
      </w:pPr>
      <w:r>
        <w:rPr>
          <w:rFonts w:ascii="微软雅黑" w:hAnsi="微软雅黑" w:eastAsia="微软雅黑"/>
          <w:b/>
          <w:color w:val="1F3864"/>
          <w:sz w:val="48"/>
        </w:rPr>
        <w:t>营销日周动态汇总与风险预警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2F5597"/>
          <w:sz w:val="22"/>
        </w:rPr>
        <w:t>PRD 一页纸 ｜ V0.1</w:t>
      </w:r>
    </w:p>
    <w:p>
      <w:pPr>
        <w:spacing w:before="0" w:after="180"/>
        <w:pBdr>
          <w:bottom w:val="single" w:sz="12" w:space="6" w:color="BF9000"/>
        </w:pBdr>
      </w:pPr>
      <w:r>
        <w:rPr>
          <w:rFonts w:ascii="微软雅黑" w:hAnsi="微软雅黑" w:eastAsia="微软雅黑"/>
          <w:b/>
          <w:color w:val="666666"/>
          <w:sz w:val="17"/>
        </w:rPr>
        <w:t>版本</w:t>
      </w:r>
      <w:r>
        <w:rPr>
          <w:rFonts w:ascii="微软雅黑" w:hAnsi="微软雅黑" w:eastAsia="微软雅黑"/>
          <w:b w:val="0"/>
          <w:color w:val="666666"/>
          <w:sz w:val="17"/>
        </w:rPr>
        <w:t xml:space="preserve"> V0.1｜</w:t>
      </w:r>
      <w:r>
        <w:rPr>
          <w:rFonts w:ascii="微软雅黑" w:hAnsi="微软雅黑" w:eastAsia="微软雅黑"/>
          <w:b/>
          <w:color w:val="666666"/>
          <w:sz w:val="17"/>
        </w:rPr>
        <w:t>日期</w:t>
      </w:r>
      <w:r>
        <w:rPr>
          <w:rFonts w:ascii="微软雅黑" w:hAnsi="微软雅黑" w:eastAsia="微软雅黑"/>
          <w:b w:val="0"/>
          <w:color w:val="666666"/>
          <w:sz w:val="17"/>
        </w:rPr>
        <w:t xml:space="preserve"> 2026-10-24｜</w:t>
      </w:r>
      <w:r>
        <w:rPr>
          <w:rFonts w:ascii="微软雅黑" w:hAnsi="微软雅黑" w:eastAsia="微软雅黑"/>
          <w:b/>
          <w:color w:val="666666"/>
          <w:sz w:val="17"/>
        </w:rPr>
        <w:t>优先级</w:t>
      </w:r>
      <w:r>
        <w:rPr>
          <w:rFonts w:ascii="微软雅黑" w:hAnsi="微软雅黑" w:eastAsia="微软雅黑"/>
          <w:b w:val="0"/>
          <w:color w:val="666666"/>
          <w:sz w:val="17"/>
        </w:rPr>
        <w:t xml:space="preserve"> MoSCoW：本期 2 个 Must have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6FB"/>
            <w:tcBorders>
              <w:top w:val="nil"/>
              <w:left w:val="single" w:sz="24" w:space="0" w:color="BF9000"/>
              <w:bottom w:val="nil"/>
              <w:right w:val="nil"/>
            </w:tcBorders>
            <w:tcMar>
              <w:top w:w="150" w:type="dxa"/>
              <w:left w:w="190" w:type="dxa"/>
              <w:bottom w:w="150" w:type="dxa"/>
              <w:right w:w="190" w:type="dxa"/>
            </w:tcMar>
          </w:tcPr>
          <w:p>
            <w:pPr>
              <w:spacing w:before="0" w:after="60" w:line="312" w:lineRule="auto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一句话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：把分散的营销/销售数据自动变成“角色化日周经营简报”，把目标、业绩、线索、商机、客户、回款风险推给对的人，做到“看得见、找得到、有人管、能闭环”。</w:t>
            </w:r>
          </w:p>
          <w:p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本期范围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：4 类管理角色｜日/周报 + 6 类风险预警｜T+1 日批｜PC Web + 钉钉/企微 H5</w:t>
            </w:r>
          </w:p>
        </w:tc>
      </w:tr>
    </w:tbl>
    <w:p>
      <w:pPr>
        <w:spacing w:before="0" w:after="0" w:line="140" w:lineRule="exact"/>
      </w:pPr>
    </w:p>
    <w:p>
      <w:pPr>
        <w:pStyle w:val="Heading1"/>
        <w:keepNext/>
        <w:spacing w:before="320" w:after="120"/>
        <w:pBdr>
          <w:bottom w:val="single" w:sz="8" w:space="4" w:color="BF9000"/>
        </w:pBdr>
      </w:pPr>
      <w:r>
        <w:rPr>
          <w:rFonts w:ascii="微软雅黑" w:hAnsi="微软雅黑" w:eastAsia="微软雅黑"/>
          <w:b/>
          <w:color w:val="BF9000"/>
          <w:sz w:val="28"/>
        </w:rPr>
        <w:t>01</w:t>
      </w:r>
      <w:r>
        <w:rPr>
          <w:rFonts w:ascii="微软雅黑" w:hAnsi="微软雅黑" w:eastAsia="微软雅黑"/>
          <w:b/>
          <w:color w:val="1F3864"/>
          <w:sz w:val="30"/>
        </w:rPr>
        <w:t xml:space="preserve">  目标与用户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产品目标</w:t>
      </w:r>
    </w:p>
    <w:p>
      <w:pPr>
        <w:spacing w:before="0" w:after="40" w:line="312" w:lineRule="auto"/>
        <w:ind w:left="397" w:hanging="255"/>
      </w:pPr>
      <w:r>
        <w:rPr>
          <w:rFonts w:ascii="微软雅黑" w:hAnsi="微软雅黑" w:eastAsia="微软雅黑"/>
          <w:b/>
          <w:color w:val="BF9000"/>
          <w:sz w:val="21"/>
        </w:rPr>
        <w:t xml:space="preserve">1.  </w:t>
      </w:r>
      <w:r>
        <w:rPr>
          <w:rFonts w:ascii="微软雅黑" w:hAnsi="微软雅黑" w:eastAsia="微软雅黑"/>
          <w:b/>
          <w:color w:val="333333"/>
          <w:sz w:val="21"/>
        </w:rPr>
        <w:t>自动汇总</w:t>
      </w:r>
      <w:r>
        <w:rPr>
          <w:rFonts w:ascii="微软雅黑" w:hAnsi="微软雅黑" w:eastAsia="微软雅黑"/>
          <w:b w:val="0"/>
          <w:color w:val="333333"/>
          <w:sz w:val="21"/>
        </w:rPr>
        <w:t>：每天 08:30、每周一 09:00，为四类角色生成权限范围内的日/周经营简报，覆盖 12 项核心指标。</w:t>
      </w:r>
    </w:p>
    <w:p>
      <w:pPr>
        <w:spacing w:before="0" w:after="40" w:line="312" w:lineRule="auto"/>
        <w:ind w:left="397" w:hanging="255"/>
      </w:pPr>
      <w:r>
        <w:rPr>
          <w:rFonts w:ascii="微软雅黑" w:hAnsi="微软雅黑" w:eastAsia="微软雅黑"/>
          <w:b/>
          <w:color w:val="BF9000"/>
          <w:sz w:val="21"/>
        </w:rPr>
        <w:t xml:space="preserve">2.  </w:t>
      </w:r>
      <w:r>
        <w:rPr>
          <w:rFonts w:ascii="微软雅黑" w:hAnsi="微软雅黑" w:eastAsia="微软雅黑"/>
          <w:b/>
          <w:color w:val="333333"/>
          <w:sz w:val="21"/>
        </w:rPr>
        <w:t>风险闭环</w:t>
      </w:r>
      <w:r>
        <w:rPr>
          <w:rFonts w:ascii="微软雅黑" w:hAnsi="微软雅黑" w:eastAsia="微软雅黑"/>
          <w:b w:val="0"/>
          <w:color w:val="333333"/>
          <w:sz w:val="21"/>
        </w:rPr>
        <w:t>：自动识别 6 类经营风险，按红/橙/黄分级，做到“有责任人、有时限、有升级、有闭环”。</w:t>
      </w:r>
    </w:p>
    <w:p>
      <w:pPr>
        <w:spacing w:before="0" w:after="40" w:line="312" w:lineRule="auto"/>
        <w:ind w:left="397" w:hanging="255"/>
      </w:pPr>
      <w:r>
        <w:rPr>
          <w:rFonts w:ascii="微软雅黑" w:hAnsi="微软雅黑" w:eastAsia="微软雅黑"/>
          <w:b/>
          <w:color w:val="BF9000"/>
          <w:sz w:val="21"/>
        </w:rPr>
        <w:t xml:space="preserve">3.  </w:t>
      </w:r>
      <w:r>
        <w:rPr>
          <w:rFonts w:ascii="微软雅黑" w:hAnsi="微软雅黑" w:eastAsia="微软雅黑"/>
          <w:b/>
          <w:color w:val="333333"/>
          <w:sz w:val="21"/>
        </w:rPr>
        <w:t>决策提效</w:t>
      </w:r>
      <w:r>
        <w:rPr>
          <w:rFonts w:ascii="微软雅黑" w:hAnsi="微软雅黑" w:eastAsia="微软雅黑"/>
          <w:b w:val="0"/>
          <w:color w:val="333333"/>
          <w:sz w:val="21"/>
        </w:rPr>
        <w:t>：管理层 5 分钟内看清目标进度、增长/下滑 Top3 与重大风险。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成功指标（上线 30 天）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>日报/周报按时推送率 100%，人工制作工时下降 ≥80%（以上线前 4 周为基线）。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>管理层获取经营全貌 ≤5 分钟（试点用户计时中位数）。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>高风险 4 小时认领率 ≥95%，风险闭环率 ≥90%。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>12 项核心指标与源系统抽样一致率 ≥99.5%。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用户与权限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1"/>
        <w:gridCol w:w="2948"/>
        <w:gridCol w:w="2494"/>
        <w:gridCol w:w="2494"/>
      </w:tblGrid>
      <w:tr>
        <w:trPr>
          <w:cantSplit/>
          <w:trHeight w:val="408" w:hRule="atLeast"/>
          <w:tblHeader w:val="true"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数据范围（行级）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核心关注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关键权限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公司总经理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全公司：全部事业部、全部部门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公司总盘、目标缺口、重大风险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查看、下钻、导出、指派、督办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公司销售总监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全公司销售条线（含营销投放、线索、商机、合同、回款）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销售目标、渠道/团队、风险处置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查看、下钻、导出、指派、督办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事业部总经理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本事业部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本事业部目标、部门排名、重点客户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查看、下钻、导出（本事业部）、指派、关闭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各部门销售经理</w:t>
            </w:r>
          </w:p>
        </w:tc>
        <w:tc>
          <w:tcPr>
            <w:tcW w:type="dxa" w:w="294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本部门及下级组织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本部门/个人目标、客户跟进、预警处理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查看、下钻、导出（本部门）、认领、处理、关闭</w:t>
            </w:r>
          </w:p>
        </w:tc>
      </w:tr>
    </w:tbl>
    <w:p>
      <w:pPr>
        <w:spacing w:before="0" w:after="0" w:line="100" w:lineRule="exact"/>
      </w:pP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权限规则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>三层权限：功能权限 + 行级数据权限 + 字段权限；默认拒绝、显式授权。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>规则阈值配置仅“系统管理员/销售运营”可见可改；四类业务角色只读，变更留痕。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>越权 URL/API 访问返回 403 且不返回数据；查看、导出、指派、关闭全审计，日志保留 ≥12 个月。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>客户手机号/邮箱默认脱敏；含客户明细导出需二次确认并加水印；一线销售首版不独立开户。</w:t>
      </w:r>
    </w:p>
    <w:p>
      <w:pPr>
        <w:pStyle w:val="Heading1"/>
        <w:keepNext/>
        <w:spacing w:before="320" w:after="120"/>
        <w:pBdr>
          <w:bottom w:val="single" w:sz="8" w:space="4" w:color="BF9000"/>
        </w:pBdr>
      </w:pPr>
      <w:r>
        <w:rPr>
          <w:rFonts w:ascii="微软雅黑" w:hAnsi="微软雅黑" w:eastAsia="微软雅黑"/>
          <w:b/>
          <w:color w:val="BF9000"/>
          <w:sz w:val="28"/>
        </w:rPr>
        <w:t>02</w:t>
      </w:r>
      <w:r>
        <w:rPr>
          <w:rFonts w:ascii="微软雅黑" w:hAnsi="微软雅黑" w:eastAsia="微软雅黑"/>
          <w:b/>
          <w:color w:val="1F3864"/>
          <w:sz w:val="30"/>
        </w:rPr>
        <w:t xml:space="preserve">  场景</w:t>
      </w:r>
    </w:p>
    <w:p>
      <w:pPr>
        <w:spacing w:before="0" w:after="40" w:line="312" w:lineRule="auto"/>
        <w:ind w:left="397" w:hanging="255"/>
      </w:pPr>
      <w:r>
        <w:rPr>
          <w:rFonts w:ascii="微软雅黑" w:hAnsi="微软雅黑" w:eastAsia="微软雅黑"/>
          <w:b/>
          <w:color w:val="BF9000"/>
          <w:sz w:val="21"/>
        </w:rPr>
        <w:t xml:space="preserve">1.  </w:t>
      </w:r>
      <w:r>
        <w:rPr>
          <w:rFonts w:ascii="微软雅黑" w:hAnsi="微软雅黑" w:eastAsia="微软雅黑"/>
          <w:b/>
          <w:color w:val="333333"/>
          <w:sz w:val="21"/>
        </w:rPr>
        <w:t>总经理·晨间 5 分钟</w:t>
      </w:r>
      <w:r>
        <w:rPr>
          <w:rFonts w:ascii="微软雅黑" w:hAnsi="微软雅黑" w:eastAsia="微软雅黑"/>
          <w:b w:val="0"/>
          <w:color w:val="333333"/>
          <w:sz w:val="21"/>
        </w:rPr>
        <w:t>：08:30 打开全公司日报，先看目标完成率、日/周趋势、增长/下滑 Top3 和 Top3 红色风险；点击下钻到事业部/重点客户；对重大风险直接督办。</w:t>
      </w:r>
    </w:p>
    <w:p>
      <w:pPr>
        <w:spacing w:before="0" w:after="40" w:line="312" w:lineRule="auto"/>
        <w:ind w:left="397" w:hanging="255"/>
      </w:pPr>
      <w:r>
        <w:rPr>
          <w:rFonts w:ascii="微软雅黑" w:hAnsi="微软雅黑" w:eastAsia="微软雅黑"/>
          <w:b/>
          <w:color w:val="BF9000"/>
          <w:sz w:val="21"/>
        </w:rPr>
        <w:t xml:space="preserve">2.  </w:t>
      </w:r>
      <w:r>
        <w:rPr>
          <w:rFonts w:ascii="微软雅黑" w:hAnsi="微软雅黑" w:eastAsia="微软雅黑"/>
          <w:b/>
          <w:color w:val="333333"/>
          <w:sz w:val="21"/>
        </w:rPr>
        <w:t>销售总监·周一经营会</w:t>
      </w:r>
      <w:r>
        <w:rPr>
          <w:rFonts w:ascii="微软雅黑" w:hAnsi="微软雅黑" w:eastAsia="微软雅黑"/>
          <w:b w:val="0"/>
          <w:color w:val="333333"/>
          <w:sz w:val="21"/>
        </w:rPr>
        <w:t>：09:00 打开周报，对比各事业部/部门/渠道的目标达成、线索转化、商机覆盖；把风险指派给事业部总经理并设定期限。</w:t>
      </w:r>
    </w:p>
    <w:p>
      <w:pPr>
        <w:spacing w:before="0" w:after="40" w:line="312" w:lineRule="auto"/>
        <w:ind w:left="397" w:hanging="255"/>
      </w:pPr>
      <w:r>
        <w:rPr>
          <w:rFonts w:ascii="微软雅黑" w:hAnsi="微软雅黑" w:eastAsia="微软雅黑"/>
          <w:b/>
          <w:color w:val="BF9000"/>
          <w:sz w:val="21"/>
        </w:rPr>
        <w:t xml:space="preserve">3.  </w:t>
      </w:r>
      <w:r>
        <w:rPr>
          <w:rFonts w:ascii="微软雅黑" w:hAnsi="微软雅黑" w:eastAsia="微软雅黑"/>
          <w:b/>
          <w:color w:val="333333"/>
          <w:sz w:val="21"/>
        </w:rPr>
        <w:t>事业部总经理·日常盯盘</w:t>
      </w:r>
      <w:r>
        <w:rPr>
          <w:rFonts w:ascii="微软雅黑" w:hAnsi="微软雅黑" w:eastAsia="微软雅黑"/>
          <w:b w:val="0"/>
          <w:color w:val="333333"/>
          <w:sz w:val="21"/>
        </w:rPr>
        <w:t>：查看本事业部日报/周报，关注部门排名、重点客户 30 天未跟进、商机覆盖不足；处理红/橙预警。</w:t>
      </w:r>
    </w:p>
    <w:p>
      <w:pPr>
        <w:spacing w:before="0" w:after="40" w:line="312" w:lineRule="auto"/>
        <w:ind w:left="397" w:hanging="255"/>
      </w:pPr>
      <w:r>
        <w:rPr>
          <w:rFonts w:ascii="微软雅黑" w:hAnsi="微软雅黑" w:eastAsia="微软雅黑"/>
          <w:b/>
          <w:color w:val="BF9000"/>
          <w:sz w:val="21"/>
        </w:rPr>
        <w:t xml:space="preserve">4.  </w:t>
      </w:r>
      <w:r>
        <w:rPr>
          <w:rFonts w:ascii="微软雅黑" w:hAnsi="微软雅黑" w:eastAsia="微软雅黑"/>
          <w:b/>
          <w:color w:val="333333"/>
          <w:sz w:val="21"/>
        </w:rPr>
        <w:t>部门销售经理·预警处置</w:t>
      </w:r>
      <w:r>
        <w:rPr>
          <w:rFonts w:ascii="微软雅黑" w:hAnsi="微软雅黑" w:eastAsia="微软雅黑"/>
          <w:b w:val="0"/>
          <w:color w:val="333333"/>
          <w:sz w:val="21"/>
        </w:rPr>
        <w:t>：收到钉钉/企微预警，查看触发原因、影响客户/订单和建议动作；4 小时内认领，填写原因与措施，关闭或申请延期。</w:t>
      </w:r>
    </w:p>
    <w:p>
      <w:pPr>
        <w:spacing w:before="0" w:after="40" w:line="312" w:lineRule="auto"/>
        <w:ind w:left="397" w:hanging="255"/>
      </w:pPr>
      <w:r>
        <w:rPr>
          <w:rFonts w:ascii="微软雅黑" w:hAnsi="微软雅黑" w:eastAsia="微软雅黑"/>
          <w:b/>
          <w:color w:val="BF9000"/>
          <w:sz w:val="21"/>
        </w:rPr>
        <w:t xml:space="preserve">5.  </w:t>
      </w:r>
      <w:r>
        <w:rPr>
          <w:rFonts w:ascii="微软雅黑" w:hAnsi="微软雅黑" w:eastAsia="微软雅黑"/>
          <w:b/>
          <w:color w:val="333333"/>
          <w:sz w:val="21"/>
        </w:rPr>
        <w:t>月末冲刺·缺口预警</w:t>
      </w:r>
      <w:r>
        <w:rPr>
          <w:rFonts w:ascii="微软雅黑" w:hAnsi="微软雅黑" w:eastAsia="微软雅黑"/>
          <w:b w:val="0"/>
          <w:color w:val="333333"/>
          <w:sz w:val="21"/>
        </w:rPr>
        <w:t>：时间进度 75%、目标完成 55%（缺口 20 个百分点）时触发红色缺口预警，展示缺口金额、剩余天数和日均需完成额，升级至事业部/销售总监。</w:t>
      </w:r>
    </w:p>
    <w:p>
      <w:pPr>
        <w:pStyle w:val="Heading1"/>
        <w:keepNext/>
        <w:spacing w:before="320" w:after="120"/>
        <w:pBdr>
          <w:bottom w:val="single" w:sz="8" w:space="4" w:color="BF9000"/>
        </w:pBdr>
      </w:pPr>
      <w:r>
        <w:rPr>
          <w:rFonts w:ascii="微软雅黑" w:hAnsi="微软雅黑" w:eastAsia="微软雅黑"/>
          <w:b/>
          <w:color w:val="BF9000"/>
          <w:sz w:val="28"/>
        </w:rPr>
        <w:t>03</w:t>
      </w:r>
      <w:r>
        <w:rPr>
          <w:rFonts w:ascii="微软雅黑" w:hAnsi="微软雅黑" w:eastAsia="微软雅黑"/>
          <w:b/>
          <w:color w:val="1F3864"/>
          <w:sz w:val="30"/>
        </w:rPr>
        <w:t xml:space="preserve">  输入与数据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74"/>
        <w:gridCol w:w="3855"/>
        <w:gridCol w:w="1814"/>
        <w:gridCol w:w="2494"/>
      </w:tblGrid>
      <w:tr>
        <w:trPr>
          <w:cantSplit/>
          <w:trHeight w:val="408" w:hRule="atLeast"/>
          <w:tblHeader w:val="true"/>
        </w:trPr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数据域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来源与关键字段</w:t>
            </w:r>
          </w:p>
        </w:tc>
        <w:tc>
          <w:tcPr>
            <w:tcW w:type="dxa" w:w="181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更新频率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口径/质量要求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组织人员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HR/钉钉/企微：组织树、岗位、汇报关系、在职状态</w:t>
            </w:r>
          </w:p>
        </w:tc>
        <w:tc>
          <w:tcPr>
            <w:tcW w:type="dxa" w:w="181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每日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与权限同步；离职信息同步后当日冻结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线索客户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CRM：线索 ID、来源/渠道、负责人、状态、最后跟进时间</w:t>
            </w:r>
          </w:p>
        </w:tc>
        <w:tc>
          <w:tcPr>
            <w:tcW w:type="dxa" w:w="181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每日 06:00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线索 ID 唯一；重复线索合并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商机合同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CRM/合同系统：商机金额、阶段、赢率、预计签约、合同额、签约日</w:t>
            </w:r>
          </w:p>
        </w:tc>
        <w:tc>
          <w:tcPr>
            <w:tcW w:type="dxa" w:w="181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每日 06:00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金额含税口径统一；阶段定义统一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订单回款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ERP/财务：订单额、取消/退货、回款额、逾期天数</w:t>
            </w:r>
          </w:p>
        </w:tc>
        <w:tc>
          <w:tcPr>
            <w:tcW w:type="dxa" w:w="181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每日 06:00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与财务口径一致；T+1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目标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目标系统/模板导入：年度/季度/月度目标，组织/个人/产品</w:t>
            </w:r>
          </w:p>
        </w:tc>
        <w:tc>
          <w:tcPr>
            <w:tcW w:type="dxa" w:w="181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月度/变更时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版本化；变更留痕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营销投放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广告/营销平台：渠道、曝光、点击、线索、费用</w:t>
            </w:r>
          </w:p>
        </w:tc>
        <w:tc>
          <w:tcPr>
            <w:tcW w:type="dxa" w:w="181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每日 06:00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渠道映射统一；费用含税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手工补录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本产品：缺失说明、修正值、原因、附件</w:t>
            </w:r>
          </w:p>
        </w:tc>
        <w:tc>
          <w:tcPr>
            <w:tcW w:type="dxa" w:w="181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按需</w:t>
            </w:r>
          </w:p>
        </w:tc>
        <w:tc>
          <w:tcPr>
            <w:tcW w:type="dxa" w:w="24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仅授权角色；审批留痕</w:t>
            </w:r>
          </w:p>
        </w:tc>
      </w:tr>
    </w:tbl>
    <w:p>
      <w:pPr>
        <w:spacing w:before="0" w:after="0" w:line="100" w:lineRule="exact"/>
      </w:pP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核心指标（12 项）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新增线索数、有效线索率、线索转化率、跟进次数、新增商机数、商机金额、赢单率、签约额、回款额、目标完成率、营销费用、营销 ROI；所有指标均展示日环比/周同比/月累计。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数据规则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及时性</w:t>
      </w:r>
      <w:r>
        <w:rPr>
          <w:rFonts w:ascii="微软雅黑" w:hAnsi="微软雅黑" w:eastAsia="微软雅黑"/>
          <w:b w:val="0"/>
          <w:color w:val="333333"/>
          <w:sz w:val="21"/>
        </w:rPr>
        <w:t>：每日 06:00 开始同步，08:00 前完成；08:30 出日报；周一 09:00 出周报。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完整性</w:t>
      </w:r>
      <w:r>
        <w:rPr>
          <w:rFonts w:ascii="微软雅黑" w:hAnsi="微软雅黑" w:eastAsia="微软雅黑"/>
          <w:b w:val="0"/>
          <w:color w:val="333333"/>
          <w:sz w:val="21"/>
        </w:rPr>
        <w:t>：核心字段完整率 ≥98%；缺失不补 0，报告顶部标注缺失源与影响指标。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准确性</w:t>
      </w:r>
      <w:r>
        <w:rPr>
          <w:rFonts w:ascii="微软雅黑" w:hAnsi="微软雅黑" w:eastAsia="微软雅黑"/>
          <w:b w:val="0"/>
          <w:color w:val="333333"/>
          <w:sz w:val="21"/>
        </w:rPr>
        <w:t>：与源系统抽样一致率 ≥99.5%；汇总与明细偏差 ≤0.5%。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可追溯</w:t>
      </w:r>
      <w:r>
        <w:rPr>
          <w:rFonts w:ascii="微软雅黑" w:hAnsi="微软雅黑" w:eastAsia="微软雅黑"/>
          <w:b w:val="0"/>
          <w:color w:val="333333"/>
          <w:sz w:val="21"/>
        </w:rPr>
        <w:t>：任一汇总值可下钻至组织/人/客户/订单；历史保留 ≥12 个月。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安全</w:t>
      </w:r>
      <w:r>
        <w:rPr>
          <w:rFonts w:ascii="微软雅黑" w:hAnsi="微软雅黑" w:eastAsia="微软雅黑"/>
          <w:b w:val="0"/>
          <w:color w:val="333333"/>
          <w:sz w:val="21"/>
        </w:rPr>
        <w:t>：传输加密、权限校验、敏感字段脱敏、导出审计；接口优先，手工补录仅兜底。</w:t>
      </w:r>
    </w:p>
    <w:p>
      <w:pPr>
        <w:pStyle w:val="Heading1"/>
        <w:keepNext/>
        <w:spacing w:before="320" w:after="120"/>
        <w:pBdr>
          <w:bottom w:val="single" w:sz="8" w:space="4" w:color="BF9000"/>
        </w:pBdr>
      </w:pPr>
      <w:r>
        <w:rPr>
          <w:rFonts w:ascii="微软雅黑" w:hAnsi="微软雅黑" w:eastAsia="微软雅黑"/>
          <w:b/>
          <w:color w:val="BF9000"/>
          <w:sz w:val="28"/>
        </w:rPr>
        <w:t>04</w:t>
      </w:r>
      <w:r>
        <w:rPr>
          <w:rFonts w:ascii="微软雅黑" w:hAnsi="微软雅黑" w:eastAsia="微软雅黑"/>
          <w:b/>
          <w:color w:val="1F3864"/>
          <w:sz w:val="30"/>
        </w:rPr>
        <w:t xml:space="preserve">  功能需求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优先级结论（MoSCoW）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Must have（本期 2 项）</w:t>
      </w:r>
      <w:r>
        <w:rPr>
          <w:rFonts w:ascii="微软雅黑" w:hAnsi="微软雅黑" w:eastAsia="微软雅黑"/>
          <w:b w:val="0"/>
          <w:color w:val="333333"/>
          <w:sz w:val="21"/>
        </w:rPr>
        <w:t>：M1 日/周经营动态自动汇总与角色化推送；M2 风险识别、分级预警与闭环处置。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Should have</w:t>
      </w:r>
      <w:r>
        <w:rPr>
          <w:rFonts w:ascii="微软雅黑" w:hAnsi="微软雅黑" w:eastAsia="微软雅黑"/>
          <w:b w:val="0"/>
          <w:color w:val="333333"/>
          <w:sz w:val="21"/>
        </w:rPr>
        <w:t>：自定义订阅/多模板、评论@协同、一线销售本人预警。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Could have</w:t>
      </w:r>
      <w:r>
        <w:rPr>
          <w:rFonts w:ascii="微软雅黑" w:hAnsi="微软雅黑" w:eastAsia="微软雅黑"/>
          <w:b w:val="0"/>
          <w:color w:val="333333"/>
          <w:sz w:val="21"/>
        </w:rPr>
        <w:t>：AI 归因摘要、目标达成预测、竞品/舆情监测。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Won't have（本期）</w:t>
      </w:r>
      <w:r>
        <w:rPr>
          <w:rFonts w:ascii="微软雅黑" w:hAnsi="微软雅黑" w:eastAsia="微软雅黑"/>
          <w:b w:val="0"/>
          <w:color w:val="333333"/>
          <w:sz w:val="21"/>
        </w:rPr>
        <w:t>：CRM 回写、绩效提成核算、原生 App、自助 BI、外部舆情。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6FB"/>
            <w:tcBorders>
              <w:top w:val="nil"/>
              <w:left w:val="single" w:sz="24" w:space="0" w:color="BF9000"/>
              <w:bottom w:val="nil"/>
              <w:right w:val="nil"/>
            </w:tcBorders>
            <w:tcMar>
              <w:top w:w="150" w:type="dxa"/>
              <w:left w:w="190" w:type="dxa"/>
              <w:bottom w:w="150" w:type="dxa"/>
              <w:right w:w="190" w:type="dxa"/>
            </w:tcMar>
          </w:tcPr>
          <w:p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完工标准用于研发自检/提测门槛；验收标准用于业务 UAT。二者均通过才可上线。</w:t>
            </w:r>
          </w:p>
        </w:tc>
      </w:tr>
    </w:tbl>
    <w:p>
      <w:pPr>
        <w:spacing w:before="0" w:after="0" w:line="140" w:lineRule="exact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2F5597"/>
          <w:sz w:val="24"/>
        </w:rPr>
        <w:t>M1 日/周经营动态自动汇总与角色化推送（Must have）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b/>
          <w:color w:val="333333"/>
          <w:sz w:val="21"/>
        </w:rPr>
        <w:t>用户故事</w:t>
      </w:r>
      <w:r>
        <w:rPr>
          <w:rFonts w:ascii="微软雅黑" w:hAnsi="微软雅黑" w:eastAsia="微软雅黑"/>
          <w:b w:val="0"/>
          <w:color w:val="333333"/>
          <w:sz w:val="21"/>
        </w:rPr>
        <w:t>：作为总经理/销售总监/事业部总经理/部门销售经理，我希望在每天 08:30、每周一 09:00 收到与我权限一致的日/周经营简报，快速看清目标进度、增长/下滑原因和 Top 风险，在晨会/周会前完成判断和部署。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功能要点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自动取数与计算</w:t>
      </w:r>
      <w:r>
        <w:rPr>
          <w:rFonts w:ascii="微软雅黑" w:hAnsi="微软雅黑" w:eastAsia="微软雅黑"/>
          <w:b w:val="0"/>
          <w:color w:val="333333"/>
          <w:sz w:val="21"/>
        </w:rPr>
        <w:t>：接入 CRM、ERP/财务、投放、目标 4 类业务源，并同步组织人员主数据；按统一口径生成 12 项指标；支持日环比、周同比、月累计、目标完成率；按组织/产品/渠道拆分。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角色化报告</w:t>
      </w:r>
      <w:r>
        <w:rPr>
          <w:rFonts w:ascii="微软雅黑" w:hAnsi="微软雅黑" w:eastAsia="微软雅黑"/>
          <w:b w:val="0"/>
          <w:color w:val="333333"/>
          <w:sz w:val="21"/>
        </w:rPr>
        <w:t>：四类角色默认视角；固定结构为“3 条结论 + 指标卡 + 增长/下滑 Top3 + 风险 Top3 + 动作建议 + 数据说明”；结论由规则模板生成，可回溯到指标；Top3 按签约额/线索量切换。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定时推送</w:t>
      </w:r>
      <w:r>
        <w:rPr>
          <w:rFonts w:ascii="微软雅黑" w:hAnsi="微软雅黑" w:eastAsia="微软雅黑"/>
          <w:b w:val="0"/>
          <w:color w:val="333333"/>
          <w:sz w:val="21"/>
        </w:rPr>
        <w:t>：每日 08:30、每周一 09:00；钉钉/企微/邮件；失败重试 3 次并告警；支持管理员手动重发。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下钻追溯</w:t>
      </w:r>
      <w:r>
        <w:rPr>
          <w:rFonts w:ascii="微软雅黑" w:hAnsi="微软雅黑" w:eastAsia="微软雅黑"/>
          <w:b w:val="0"/>
          <w:color w:val="333333"/>
          <w:sz w:val="21"/>
        </w:rPr>
        <w:t>：指标→事业部/部门/人/客户/订单；权限内逐层下钻；汇总与明细可对账。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历史与导出</w:t>
      </w:r>
      <w:r>
        <w:rPr>
          <w:rFonts w:ascii="微软雅黑" w:hAnsi="微软雅黑" w:eastAsia="微软雅黑"/>
          <w:b w:val="0"/>
          <w:color w:val="333333"/>
          <w:sz w:val="21"/>
        </w:rPr>
        <w:t>：保留 12 个月；PDF/Excel；水印 + 审计；部门经理仅本部门。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异常处理</w:t>
      </w:r>
      <w:r>
        <w:rPr>
          <w:rFonts w:ascii="微软雅黑" w:hAnsi="微软雅黑" w:eastAsia="微软雅黑"/>
          <w:b w:val="0"/>
          <w:color w:val="333333"/>
          <w:sz w:val="21"/>
        </w:rPr>
        <w:t>：源数据缺失/延迟时顶部提示“数据不完整”，列出缺失源和影响指标；不以 0 代替，不输出确定性结论。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完工标准（量化 DoD）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28"/>
        <w:gridCol w:w="5783"/>
        <w:gridCol w:w="1928"/>
      </w:tblGrid>
      <w:tr>
        <w:trPr>
          <w:cantSplit/>
          <w:trHeight w:val="408" w:hRule="atLeast"/>
          <w:tblHeader w:val="true"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量化标准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数据覆盖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接入 4 类业务源 + 组织人员主数据；12 项指标 100% 有口径；在职销售人员及组织归属覆盖率 ≥98%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源系统对账 + 配置检查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准确性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抽取 240 个指标值（4 角色 × 5 日 × 12 项）与源系统比对，准确率 ≥99.5%（≥239 个一致）；下钻合计与汇总偏差 ≤0.5%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自动对账 + 人工抽检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时效性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连续 20 个工作日 08:30（含）前推送达成率 100%；连续 4 周周一 09:00（含）前周报达成率 100%；数据就绪后生成 P95 ≤10 分钟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调度日志 + 推送记录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权限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4 类角色 × 查看/下钻/导出 3 类操作 100% 符合矩阵；越权请求 0 成功；权限变更 ≤5 分钟生效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权限用例 + 安全测试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性能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汇总页 P95 首屏 ≤3 秒；下钻 P95 ≤5 秒；50 并发错误率 &lt;1%；10 万行导出 ≤60 秒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压测报告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稳定性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连续 30 天日报/周报定时任务成功率 100%，全部定时任务成功率 ≥99%；失败自动重试 3 次并告警；数据缺失 100% 标注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监控报表 + 故障演练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易用性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覆盖四类角色、合计 ≥8 名真实用户（总经理/销售总监各 ≥1，事业部总经理/部门经理各 ≥2）完成“看日报/下钻/导出”，任务成功率 ≥95%，平均耗时 ≤3 分钟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可用性测试</w:t>
            </w:r>
          </w:p>
        </w:tc>
      </w:tr>
    </w:tbl>
    <w:p>
      <w:pPr>
        <w:spacing w:before="0" w:after="0" w:line="100" w:lineRule="exact"/>
      </w:pP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验收标准（业务 UAT）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4"/>
        <w:gridCol w:w="3742"/>
        <w:gridCol w:w="4762"/>
      </w:tblGrid>
      <w:tr>
        <w:trPr>
          <w:cantSplit/>
          <w:trHeight w:val="408" w:hRule="atLeast"/>
          <w:tblHeader w:val="true"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场景（Given/When）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预期（Then）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AC-M1-01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四类角色账号及组织数据已配置，登录并打开日报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各自仅看到权限范围内数据：总经理全公司、销售总监全销售条线、事业部总经理本事业部、部门经理本部门；伪造 URL/API 返回 403 且无数据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AC-M1-02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前一日源数据 08:00 前同步完成，等到 08:30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四类角色均收到日报；含 12 项指标、环比/同比、目标完成率、Top3 增长/下滑、Top3 风险、生成时间；连续 20 个工作日 100% 按时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AC-M1-03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周一 09:00 前数据就绪，打开周报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含上周 vs 前一周、月累计、3 条亮点、3 条风险、下周动作；连续 4 周按时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AC-M1-04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某源系统数据缺失/延迟，生成日报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顶部显示“数据不完整”、缺失源、影响指标；不以 0 代替；不输出确定性结论；通知数据负责人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AC-M1-05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总经理在汇总页点击“签约额”下钻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可查看事业部→部门→人→客户/订单；各层合计与汇总偏差 ≤0.5%；部门经理下钻不出现其他部门数据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AC-M1-06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部门经理导出本部门日报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仅含本部门；PDF/Excel 带水印；导出行为写入审计日志；越权导出被拒绝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AC-M1-07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抽取 240 个指标值（4 角色 × 5 日 × 12 项）与源系统对账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≥239 个一致（≥99.5%）；不一致项有差异说明</w:t>
            </w:r>
          </w:p>
        </w:tc>
      </w:tr>
    </w:tbl>
    <w:p>
      <w:pPr>
        <w:spacing w:before="0" w:after="0" w:line="100" w:lineRule="exact"/>
      </w:pPr>
    </w:p>
    <w:p>
      <w:pPr>
        <w:pStyle w:val="Heading2"/>
        <w:keepNext/>
        <w:spacing w:before="240" w:after="80"/>
      </w:pPr>
      <w:r>
        <w:rPr>
          <w:rFonts w:ascii="微软雅黑" w:hAnsi="微软雅黑" w:eastAsia="微软雅黑"/>
          <w:b/>
          <w:color w:val="2F5597"/>
          <w:sz w:val="24"/>
        </w:rPr>
        <w:t>M2 风险识别、分级预警与闭环处置（Must have）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b/>
          <w:color w:val="333333"/>
          <w:sz w:val="21"/>
        </w:rPr>
        <w:t>用户故事</w:t>
      </w:r>
      <w:r>
        <w:rPr>
          <w:rFonts w:ascii="微软雅黑" w:hAnsi="微软雅黑" w:eastAsia="微软雅黑"/>
          <w:b w:val="0"/>
          <w:color w:val="333333"/>
          <w:sz w:val="21"/>
        </w:rPr>
        <w:t>：作为管理者，我希望系统自动发现我管辖范围内的目标、业绩、线索、商机、客户和回款风险，明确责任人、级别和时限，并跟踪到关闭，避免风险变成损失。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功能要点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风险规则</w:t>
      </w:r>
      <w:r>
        <w:rPr>
          <w:rFonts w:ascii="微软雅黑" w:hAnsi="微软雅黑" w:eastAsia="微软雅黑"/>
          <w:b w:val="0"/>
          <w:color w:val="333333"/>
          <w:sz w:val="21"/>
        </w:rPr>
        <w:t>：6 类、≥12 条；每条含规则 ID、定义、阈值、级别、责任人生成逻辑、动作模板；支持启停/调参/版本留痕；业务角色只读。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三级预警</w:t>
      </w:r>
      <w:r>
        <w:rPr>
          <w:rFonts w:ascii="微软雅黑" w:hAnsi="微软雅黑" w:eastAsia="微软雅黑"/>
          <w:b w:val="0"/>
          <w:color w:val="333333"/>
          <w:sz w:val="21"/>
        </w:rPr>
        <w:t>：红/橙/黄；按偏差、影响金额、紧迫度分级；同一对象同一规则 24 小时内合并，保留触发次数。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路由与升级</w:t>
      </w:r>
      <w:r>
        <w:rPr>
          <w:rFonts w:ascii="微软雅黑" w:hAnsi="微软雅黑" w:eastAsia="微软雅黑"/>
          <w:b w:val="0"/>
          <w:color w:val="333333"/>
          <w:sz w:val="21"/>
        </w:rPr>
        <w:t>：按组织/责任人推送钉钉/企微/邮件；红级推送责任人、部门经理、事业部总经理，并同步销售总监，重大红级（影响金额 ≥100 万元）加推总经理；橙级推送责任人、部门经理、事业部总经理；黄级推送责任人、部门经理；超 SLA 未认领自动升级一级，最多两级，仍未处理进入总经理风险池。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处置闭环</w:t>
      </w:r>
      <w:r>
        <w:rPr>
          <w:rFonts w:ascii="微软雅黑" w:hAnsi="微软雅黑" w:eastAsia="微软雅黑"/>
          <w:b w:val="0"/>
          <w:color w:val="333333"/>
          <w:sz w:val="21"/>
        </w:rPr>
        <w:t>：待认领→处理中→已关闭（解决）/误报/转长期跟踪；关闭必填原因、动作、结果；支持附件；全程留痕；周报汇总闭环率。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风险看板</w:t>
      </w:r>
      <w:r>
        <w:rPr>
          <w:rFonts w:ascii="微软雅黑" w:hAnsi="微软雅黑" w:eastAsia="微软雅黑"/>
          <w:b w:val="0"/>
          <w:color w:val="333333"/>
          <w:sz w:val="21"/>
        </w:rPr>
        <w:t>：按级别/状态/组织/时间筛选；展示认领率、闭环率、平均响应时长、Top 风险；支持导出。</w:t>
      </w:r>
    </w:p>
    <w:p>
      <w:pPr>
        <w:spacing w:before="0" w:after="40" w:line="312" w:lineRule="auto"/>
        <w:ind w:left="369" w:hanging="198"/>
      </w:pPr>
      <w:r>
        <w:rPr>
          <w:rFonts w:ascii="微软雅黑" w:hAnsi="微软雅黑" w:eastAsia="微软雅黑"/>
          <w:b/>
          <w:color w:val="BF9000"/>
          <w:sz w:val="21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权限</w:t>
      </w:r>
      <w:r>
        <w:rPr>
          <w:rFonts w:ascii="微软雅黑" w:hAnsi="微软雅黑" w:eastAsia="微软雅黑"/>
          <w:b w:val="0"/>
          <w:color w:val="333333"/>
          <w:sz w:val="21"/>
        </w:rPr>
        <w:t>：仅本组织范围；指派不得跨范围；总经理/销售总监可督办；规则配置仅管理员；首版预警责任人限定为部门经理及以上，一线销售不独立开户，由部门经理处理。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默认风险规则示例（可配置）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1"/>
        <w:gridCol w:w="5329"/>
        <w:gridCol w:w="2608"/>
      </w:tblGrid>
      <w:tr>
        <w:trPr>
          <w:cantSplit/>
          <w:trHeight w:val="408" w:hRule="atLeast"/>
          <w:tblHeader w:val="true"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风险类型</w:t>
            </w:r>
          </w:p>
        </w:tc>
        <w:tc>
          <w:tcPr>
            <w:tcW w:type="dxa" w:w="532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默认触发条件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默认级别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目标缺口</w:t>
            </w:r>
          </w:p>
        </w:tc>
        <w:tc>
          <w:tcPr>
            <w:tcW w:type="dxa" w:w="532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按当前考核周期：时间进度 − 完成进度：≥15 / ≥8 / ≥3 个百分点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红 / 橙 / 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业绩下滑</w:t>
            </w:r>
          </w:p>
        </w:tc>
        <w:tc>
          <w:tcPr>
            <w:tcW w:type="dxa" w:w="532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日签约额连续 2 天环比下降：≥30% / ≥20%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红 / 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线索异常</w:t>
            </w:r>
          </w:p>
        </w:tc>
        <w:tc>
          <w:tcPr>
            <w:tcW w:type="dxa" w:w="532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周新增线索环比下降 ≥30%；线索转化率环比下降 ≥20%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橙；黄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商机覆盖</w:t>
            </w:r>
          </w:p>
        </w:tc>
        <w:tc>
          <w:tcPr>
            <w:tcW w:type="dxa" w:w="532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管道金额 / 目标 &lt;2.5 倍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大客户流失</w:t>
            </w:r>
          </w:p>
        </w:tc>
        <w:tc>
          <w:tcPr>
            <w:tcW w:type="dxa" w:w="532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30 天无跟进且商机金额 ≥50 万元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订单/回款</w:t>
            </w:r>
          </w:p>
        </w:tc>
        <w:tc>
          <w:tcPr>
            <w:tcW w:type="dxa" w:w="5329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单笔取消 ≥50 万元，或回款逾期 ≥30 天</w:t>
            </w:r>
          </w:p>
        </w:tc>
        <w:tc>
          <w:tcPr>
            <w:tcW w:type="dxa" w:w="260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红</w:t>
            </w:r>
          </w:p>
        </w:tc>
      </w:tr>
    </w:tbl>
    <w:p>
      <w:pPr>
        <w:spacing w:before="0" w:after="0" w:line="100" w:lineRule="exact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2F6FB"/>
            <w:tcBorders>
              <w:top w:val="nil"/>
              <w:left w:val="single" w:sz="24" w:space="0" w:color="BF9000"/>
              <w:bottom w:val="nil"/>
              <w:right w:val="nil"/>
            </w:tcBorders>
            <w:tcMar>
              <w:top w:w="150" w:type="dxa"/>
              <w:left w:w="190" w:type="dxa"/>
              <w:bottom w:w="150" w:type="dxa"/>
              <w:right w:w="190" w:type="dxa"/>
            </w:tcMar>
          </w:tcPr>
          <w:p>
            <w:pPr>
              <w:spacing w:before="0" w:after="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默认 SLA：红 4 小时认领 / 3 个工作日关闭；橙 8 小时 / 5 个工作日；黄 1 个工作日 / 10 个工作日。关闭 = 风险解除，或已转入长期跟踪且措施经上级确认。</w:t>
            </w:r>
          </w:p>
        </w:tc>
      </w:tr>
    </w:tbl>
    <w:p>
      <w:pPr>
        <w:spacing w:before="0" w:after="0" w:line="140" w:lineRule="exact"/>
      </w:pP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完工标准（量化 DoD）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28"/>
        <w:gridCol w:w="5783"/>
        <w:gridCol w:w="1928"/>
      </w:tblGrid>
      <w:tr>
        <w:trPr>
          <w:cantSplit/>
          <w:trHeight w:val="408" w:hRule="atLeast"/>
          <w:tblHeader w:val="true"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量化标准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规则完备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6 类、≥12 条规则；100% 有规则 ID/定义/阈值/级别/责任人/动作模板；配置变更版本化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规则清单评审 + 配置检查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识别质量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30 天历史数据回放 + 人工标注 100 条预警，精确率 ≥85%、召回率 ≥90%；18 个注入场景 ≥16 个识别正确（级别/责任人/范围）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回放报告 + 场景测试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时效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数据同步完成后 P95 ≤5 分钟生成并推送；99% 预警 10 分钟内送达；推送成功率 ≥99%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调度日志 + 通道回执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闭环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100% 预警有责任人与 SLA；状态流转 100% 留痕；关闭必填原因/动作/结果；超时未认领 100% 自动升级；周报含闭环统计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流程用例 + 数据核查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去重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同对象同规则 24 小时内合并为 1 条；重复推送率 ≤5%；合并计数准确率 100%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规则回放 + 抽检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权限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4 类角色风险可见范围 100% 符合矩阵；跨范围指派/查看 0 成功；操作审计 100%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权限用例 + 审计核查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性能/稳定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1,000 条活跃预警列表 P95 ≤2 秒；50 并发错误率 &lt;1%；连续 30 天可用性 ≥99.5%；预警任务成功率 ≥99%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压测 + 监控</w:t>
            </w:r>
          </w:p>
        </w:tc>
      </w:tr>
    </w:tbl>
    <w:p>
      <w:pPr>
        <w:spacing w:before="0" w:after="0" w:line="100" w:lineRule="exact"/>
      </w:pP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验收标准（业务 UAT）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4"/>
        <w:gridCol w:w="3742"/>
        <w:gridCol w:w="4762"/>
      </w:tblGrid>
      <w:tr>
        <w:trPr>
          <w:cantSplit/>
          <w:trHeight w:val="408" w:hRule="atLeast"/>
          <w:tblHeader w:val="true"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场景（Given/When）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预期（Then）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AC-M2-01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某部门时间进度 75%、目标完成 55%（缺口 20 个百分点），日批计算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生成红色目标缺口预警；推送部门经理、事业部总经理、销售总监；含缺口金额、剩余天数、日均需完成额；总经理风险池可见；缺口金额 ≥100 万元时加推总经理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AC-M2-02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某部门日签约额连续 2 天环比下降 25%；另一部门下降 35%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25% 生成橙色预警；35% 生成红色预警；责任人均为部门经理，5 分钟内推送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AC-M2-03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一条红色预警生成后 4 小时未认领，系统巡检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自动升级至上一级；最多两级；仍未处理进入总经理风险池；升级记录可查；不重复骚扰已处理人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AC-M2-04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部门经理打开预警详情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展示触发规则、实际值 vs 阈值、对比期、影响客户/订单、建议动作、责任人、截止时间、处理历史；数据可追溯至源系统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AC-M2-05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部门经理关闭预警，但未填原因/动作/结果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系统阻止提交并提示必填；填写完整后关闭成功；周报闭环统计更新；审计日志完整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AC-M2-06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经理判断为误报，标记误报并填写原因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状态变为“误报”；不计入闭环率，计入规则质量；管理员可查看并调参；全程留痕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AC-M2-07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同一客户同一规则 24 小时内触发 5 次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合并为 1 张预警卡片，触发次数显示 5；只推送 1 次；关闭后不再重复生成，除非超过 24 小时再次触发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AC-M2-08</w:t>
            </w:r>
          </w:p>
        </w:tc>
        <w:tc>
          <w:tcPr>
            <w:tcW w:type="dxa" w:w="37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执行 18 个风险注入场景（6 类 × 3），并由部门经理伪造 URL 访问其他部门</w:t>
            </w:r>
          </w:p>
        </w:tc>
        <w:tc>
          <w:tcPr>
            <w:tcW w:type="dxa" w:w="476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≥16 个在 5 分钟内识别，级别/责任人/范围正确；越权返回 403/无数据并审计；0 次跨范围推送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  <w:keepNext/>
        <w:spacing w:before="320" w:after="120"/>
        <w:pBdr>
          <w:bottom w:val="single" w:sz="8" w:space="4" w:color="BF9000"/>
        </w:pBdr>
      </w:pPr>
      <w:r>
        <w:rPr>
          <w:rFonts w:ascii="微软雅黑" w:hAnsi="微软雅黑" w:eastAsia="微软雅黑"/>
          <w:b/>
          <w:color w:val="BF9000"/>
          <w:sz w:val="28"/>
        </w:rPr>
        <w:t>05</w:t>
      </w:r>
      <w:r>
        <w:rPr>
          <w:rFonts w:ascii="微软雅黑" w:hAnsi="微软雅黑" w:eastAsia="微软雅黑"/>
          <w:b/>
          <w:color w:val="1F3864"/>
          <w:sz w:val="30"/>
        </w:rPr>
        <w:t xml:space="preserve">  边界与非目标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515"/>
        <w:gridCol w:w="6123"/>
      </w:tblGrid>
      <w:tr>
        <w:trPr>
          <w:cantSplit/>
          <w:trHeight w:val="408" w:hRule="atLeast"/>
          <w:tblHeader w:val="true"/>
        </w:trPr>
        <w:tc>
          <w:tcPr>
            <w:tcW w:type="dxa" w:w="351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不做</w:t>
            </w:r>
          </w:p>
        </w:tc>
        <w:tc>
          <w:tcPr>
            <w:tcW w:type="dxa" w:w="612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原因/替代方案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不做 CRM/ERP 替代，不回写源系统</w:t>
            </w:r>
          </w:p>
        </w:tc>
        <w:tc>
          <w:tcPr>
            <w:tcW w:type="dxa" w:w="612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避免破坏源数据；修正走源系统或补录单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不做自助 BI/任意拖拽建模</w:t>
            </w:r>
          </w:p>
        </w:tc>
        <w:tc>
          <w:tcPr>
            <w:tcW w:type="dxa" w:w="612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首版保证口径统一与交付速度；固定模板 + 受限下钻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不做 AI 预测/生成式归因</w:t>
            </w:r>
          </w:p>
        </w:tc>
        <w:tc>
          <w:tcPr>
            <w:tcW w:type="dxa" w:w="612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首版规则可解释；AI 归因列入 Could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不做绩效/提成/人事评价</w:t>
            </w:r>
          </w:p>
        </w:tc>
        <w:tc>
          <w:tcPr>
            <w:tcW w:type="dxa" w:w="612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避免合规与口径争议；只做经营监控与风险闭环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不做外部舆情/竞品监测</w:t>
            </w:r>
          </w:p>
        </w:tc>
        <w:tc>
          <w:tcPr>
            <w:tcW w:type="dxa" w:w="612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无稳定数据源；二期评估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不做原生 App/秒级实时</w:t>
            </w:r>
          </w:p>
        </w:tc>
        <w:tc>
          <w:tcPr>
            <w:tcW w:type="dxa" w:w="612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复用 PC Web + 钉钉/企微 H5；T+1 日批，风险在同步后 5 分钟内生成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不做全风险覆盖</w:t>
            </w:r>
          </w:p>
        </w:tc>
        <w:tc>
          <w:tcPr>
            <w:tcW w:type="dxa" w:w="612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首版只覆盖 6 类可量化风险；政策/舆情/竞对等非量化风险不在范围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不面向一线销售独立开户</w:t>
            </w:r>
          </w:p>
        </w:tc>
        <w:tc>
          <w:tcPr>
            <w:tcW w:type="dxa" w:w="612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首版聚焦四类管理角色；本人预警列入 Should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  <w:keepNext/>
        <w:spacing w:before="320" w:after="120"/>
        <w:pBdr>
          <w:bottom w:val="single" w:sz="8" w:space="4" w:color="BF9000"/>
        </w:pBdr>
      </w:pPr>
      <w:r>
        <w:rPr>
          <w:rFonts w:ascii="微软雅黑" w:hAnsi="微软雅黑" w:eastAsia="微软雅黑"/>
          <w:b/>
          <w:color w:val="BF9000"/>
          <w:sz w:val="28"/>
        </w:rPr>
        <w:t>06</w:t>
      </w:r>
      <w:r>
        <w:rPr>
          <w:rFonts w:ascii="微软雅黑" w:hAnsi="微软雅黑" w:eastAsia="微软雅黑"/>
          <w:b/>
          <w:color w:val="1F3864"/>
          <w:sz w:val="30"/>
        </w:rPr>
        <w:t xml:space="preserve">  验收标准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上线否决项（任一不满足即不验收）</w:t>
      </w:r>
    </w:p>
    <w:p>
      <w:pPr>
        <w:spacing w:before="0" w:after="40" w:line="312" w:lineRule="auto"/>
        <w:ind w:left="397" w:hanging="255"/>
      </w:pPr>
      <w:r>
        <w:rPr>
          <w:rFonts w:ascii="微软雅黑" w:hAnsi="微软雅黑" w:eastAsia="微软雅黑"/>
          <w:b/>
          <w:color w:val="BF9000"/>
          <w:sz w:val="21"/>
        </w:rPr>
        <w:t xml:space="preserve">1.  </w:t>
      </w:r>
      <w:r>
        <w:rPr>
          <w:rFonts w:ascii="微软雅黑" w:hAnsi="微软雅黑" w:eastAsia="微软雅黑"/>
          <w:b w:val="0"/>
          <w:color w:val="333333"/>
          <w:sz w:val="21"/>
        </w:rPr>
        <w:t>2 个 Must have 的全部验收标准通过。</w:t>
      </w:r>
    </w:p>
    <w:p>
      <w:pPr>
        <w:spacing w:before="0" w:after="40" w:line="312" w:lineRule="auto"/>
        <w:ind w:left="397" w:hanging="255"/>
      </w:pPr>
      <w:r>
        <w:rPr>
          <w:rFonts w:ascii="微软雅黑" w:hAnsi="微软雅黑" w:eastAsia="微软雅黑"/>
          <w:b/>
          <w:color w:val="BF9000"/>
          <w:sz w:val="21"/>
        </w:rPr>
        <w:t xml:space="preserve">2.  </w:t>
      </w:r>
      <w:r>
        <w:rPr>
          <w:rFonts w:ascii="微软雅黑" w:hAnsi="微软雅黑" w:eastAsia="微软雅黑"/>
          <w:b w:val="0"/>
          <w:color w:val="333333"/>
          <w:sz w:val="21"/>
        </w:rPr>
        <w:t>20 个端到端场景通过 ≥18 个（日/周报 5 + 下钻/导出 3 + 6 类风险 6 + 权限 4 + 异常数据 2）。</w:t>
      </w:r>
    </w:p>
    <w:p>
      <w:pPr>
        <w:spacing w:before="0" w:after="40" w:line="312" w:lineRule="auto"/>
        <w:ind w:left="397" w:hanging="255"/>
      </w:pPr>
      <w:r>
        <w:rPr>
          <w:rFonts w:ascii="微软雅黑" w:hAnsi="微软雅黑" w:eastAsia="微软雅黑"/>
          <w:b/>
          <w:color w:val="BF9000"/>
          <w:sz w:val="21"/>
        </w:rPr>
        <w:t xml:space="preserve">3.  </w:t>
      </w:r>
      <w:r>
        <w:rPr>
          <w:rFonts w:ascii="微软雅黑" w:hAnsi="微软雅黑" w:eastAsia="微软雅黑"/>
          <w:b w:val="0"/>
          <w:color w:val="333333"/>
          <w:sz w:val="21"/>
        </w:rPr>
        <w:t>P0/P1 缺陷 = 0；P2 ≤5 且有规避方案。</w:t>
      </w:r>
    </w:p>
    <w:p>
      <w:pPr>
        <w:spacing w:before="0" w:after="40" w:line="312" w:lineRule="auto"/>
        <w:ind w:left="397" w:hanging="255"/>
      </w:pPr>
      <w:r>
        <w:rPr>
          <w:rFonts w:ascii="微软雅黑" w:hAnsi="微软雅黑" w:eastAsia="微软雅黑"/>
          <w:b/>
          <w:color w:val="BF9000"/>
          <w:sz w:val="21"/>
        </w:rPr>
        <w:t xml:space="preserve">4.  </w:t>
      </w:r>
      <w:r>
        <w:rPr>
          <w:rFonts w:ascii="微软雅黑" w:hAnsi="微软雅黑" w:eastAsia="微软雅黑"/>
          <w:b w:val="0"/>
          <w:color w:val="333333"/>
          <w:sz w:val="21"/>
        </w:rPr>
        <w:t>越权数据访问 = 0；敏感字段脱敏 100%。</w:t>
      </w:r>
    </w:p>
    <w:p>
      <w:pPr>
        <w:spacing w:before="0" w:after="40" w:line="312" w:lineRule="auto"/>
        <w:ind w:left="397" w:hanging="255"/>
      </w:pPr>
      <w:r>
        <w:rPr>
          <w:rFonts w:ascii="微软雅黑" w:hAnsi="微软雅黑" w:eastAsia="微软雅黑"/>
          <w:b/>
          <w:color w:val="BF9000"/>
          <w:sz w:val="21"/>
        </w:rPr>
        <w:t xml:space="preserve">5.  </w:t>
      </w:r>
      <w:r>
        <w:rPr>
          <w:rFonts w:ascii="微软雅黑" w:hAnsi="微软雅黑" w:eastAsia="微软雅黑"/>
          <w:b w:val="0"/>
          <w:color w:val="333333"/>
          <w:sz w:val="21"/>
        </w:rPr>
        <w:t>连续 10 个工作日数据准确率 ≥99.5%，日报按时率 100%。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F5597"/>
          <w:sz w:val="21"/>
        </w:rPr>
        <w:t>整体验收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28"/>
        <w:gridCol w:w="5783"/>
        <w:gridCol w:w="1928"/>
      </w:tblGrid>
      <w:tr>
        <w:trPr>
          <w:cantSplit/>
          <w:trHeight w:val="408" w:hRule="atLeast"/>
          <w:tblHeader w:val="true"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验收标准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验收方式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功能完整性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6 个模块、2 个 Must、4 类角色权限矩阵全部交付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产品 + 业务 UAT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数据准确性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连续 10 个工作日、500 个指标值抽样，准确率 ≥99.5%；日报/周报按时率 100%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数据对账报告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风险有效性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30 天试运行：预警精确率 ≥85%；高风险 4 小时认领率 ≥95%；闭环率 ≥90%；误报率 ≤15%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试运行报表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权限与安全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4 角色 × 权限矩阵（查看/下钻/导出/指派/关闭，含允许与拒绝）100% 通过；越权 0；审计 100%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安全测试 + 审计抽查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性能与稳定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汇总页 P95 ≤3 秒；预警列表 P95 ≤2 秒；50 并发错误率 &lt;1%；30 天可用性 ≥99.5%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压测 + 监控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业务价值与上线</w:t>
            </w:r>
          </w:p>
        </w:tc>
        <w:tc>
          <w:tcPr>
            <w:tcW w:type="dxa" w:w="5783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管理层获取经营全貌 ≤5 分钟；日报人工工时下降 ≥80%（试点基线）；监控/告警/回滚预案/培训完成；四类角色代表签字</w:t>
            </w:r>
          </w:p>
        </w:tc>
        <w:tc>
          <w:tcPr>
            <w:tcW w:type="dxa" w:w="192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试点计时 + 上线检查表</w:t>
            </w:r>
          </w:p>
        </w:tc>
      </w:tr>
    </w:tbl>
    <w:p>
      <w:pPr>
        <w:spacing w:before="0" w:after="0" w:line="100" w:lineRule="exact"/>
      </w:pPr>
    </w:p>
    <w:p>
      <w:pPr>
        <w:spacing w:before="0" w:after="80" w:line="324" w:lineRule="auto"/>
      </w:pPr>
      <w:r>
        <w:rPr>
          <w:rFonts w:ascii="微软雅黑" w:hAnsi="微软雅黑" w:eastAsia="微软雅黑"/>
          <w:b/>
          <w:color w:val="333333"/>
          <w:sz w:val="21"/>
        </w:rPr>
        <w:t>附件（评审后冻结）</w:t>
      </w:r>
      <w:r>
        <w:rPr>
          <w:rFonts w:ascii="微软雅黑" w:hAnsi="微软雅黑" w:eastAsia="微软雅黑"/>
          <w:b w:val="0"/>
          <w:color w:val="333333"/>
          <w:sz w:val="21"/>
        </w:rPr>
        <w:t>：①指标字典 V1.0 ②角色权限矩阵 ③风险规则清单（≥12 条）④UAT 场景清单（20 条）⑤数据源字段映射表。</w:t>
      </w:r>
    </w:p>
    <w:p>
      <w:r>
        <w:br w:type="page"/>
      </w:r>
    </w:p>
    <w:p>
      <w:pPr>
        <w:pStyle w:val="Heading1"/>
        <w:keepNext/>
        <w:spacing w:before="0" w:after="120"/>
        <w:pBdr>
          <w:bottom w:val="single" w:sz="8" w:space="4" w:color="BF9000"/>
        </w:pBdr>
      </w:pPr>
      <w:r>
        <w:rPr>
          <w:rFonts w:ascii="微软雅黑" w:hAnsi="微软雅黑" w:eastAsia="微软雅黑"/>
          <w:b/>
          <w:color w:val="BF9000"/>
          <w:sz w:val="28"/>
        </w:rPr>
        <w:t xml:space="preserve">附录  </w:t>
      </w:r>
      <w:r>
        <w:rPr>
          <w:rFonts w:ascii="微软雅黑" w:hAnsi="微软雅黑" w:eastAsia="微软雅黑"/>
          <w:b/>
          <w:color w:val="1F3864"/>
          <w:sz w:val="30"/>
        </w:rPr>
        <w:t>评审签收</w:t>
      </w:r>
    </w:p>
    <w:p>
      <w:pPr>
        <w:spacing w:before="80" w:after="160"/>
      </w:pPr>
      <w:r>
        <w:rPr>
          <w:rFonts w:ascii="微软雅黑" w:hAnsi="微软雅黑" w:eastAsia="微软雅黑"/>
          <w:b w:val="0"/>
          <w:color w:val="666666"/>
          <w:sz w:val="19"/>
        </w:rPr>
        <w:t>本页由四类角色代表确认 PRD 范围、权限设计与验收标准后签字归档。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35"/>
        <w:gridCol w:w="3402"/>
        <w:gridCol w:w="3402"/>
      </w:tblGrid>
      <w:tr>
        <w:trPr>
          <w:cantSplit/>
          <w:trHeight w:val="408" w:hRule="atLeast"/>
          <w:tblHeader w:val="true"/>
        </w:trPr>
        <w:tc>
          <w:tcPr>
            <w:tcW w:type="dxa" w:w="283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4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姓名 / 签字</w:t>
            </w:r>
          </w:p>
        </w:tc>
        <w:tc>
          <w:tcPr>
            <w:tcW w:type="dxa" w:w="34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1F3864"/>
          </w:tcPr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日期</w:t>
            </w:r>
          </w:p>
        </w:tc>
      </w:tr>
      <w:tr>
        <w:trPr>
          <w:cantSplit/>
          <w:trHeight w:val="765" w:hRule="atLeast"/>
        </w:trPr>
        <w:tc>
          <w:tcPr>
            <w:tcW w:type="dxa" w:w="283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公司总经理</w:t>
            </w:r>
          </w:p>
        </w:tc>
        <w:tc>
          <w:tcPr>
            <w:tcW w:type="dxa" w:w="34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type="dxa" w:w="34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</w:p>
        </w:tc>
      </w:tr>
      <w:tr>
        <w:trPr>
          <w:cantSplit/>
          <w:trHeight w:val="765" w:hRule="atLeast"/>
        </w:trPr>
        <w:tc>
          <w:tcPr>
            <w:tcW w:type="dxa" w:w="283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公司销售总监</w:t>
            </w:r>
          </w:p>
        </w:tc>
        <w:tc>
          <w:tcPr>
            <w:tcW w:type="dxa" w:w="34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type="dxa" w:w="34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</w:p>
        </w:tc>
      </w:tr>
      <w:tr>
        <w:trPr>
          <w:cantSplit/>
          <w:trHeight w:val="765" w:hRule="atLeast"/>
        </w:trPr>
        <w:tc>
          <w:tcPr>
            <w:tcW w:type="dxa" w:w="283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事业部总经理</w:t>
            </w:r>
          </w:p>
        </w:tc>
        <w:tc>
          <w:tcPr>
            <w:tcW w:type="dxa" w:w="34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type="dxa" w:w="34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</w:p>
        </w:tc>
      </w:tr>
      <w:tr>
        <w:trPr>
          <w:cantSplit/>
          <w:trHeight w:val="765" w:hRule="atLeast"/>
        </w:trPr>
        <w:tc>
          <w:tcPr>
            <w:tcW w:type="dxa" w:w="283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各部门销售经理</w:t>
            </w:r>
          </w:p>
        </w:tc>
        <w:tc>
          <w:tcPr>
            <w:tcW w:type="dxa" w:w="34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type="dxa" w:w="34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val="clear" w:color="auto" w:fill="F7F9FC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before="0" w:after="0" w:line="100" w:lineRule="exact"/>
      </w:pPr>
    </w:p>
    <w:p>
      <w:pPr>
        <w:spacing w:before="40" w:after="0"/>
      </w:pPr>
      <w:r>
        <w:rPr>
          <w:rFonts w:ascii="微软雅黑" w:hAnsi="微软雅黑" w:eastAsia="微软雅黑"/>
          <w:b w:val="0"/>
          <w:color w:val="666666"/>
          <w:sz w:val="17"/>
        </w:rPr>
        <w:t>签字即表示认可本期范围与验收口径；后续变更需走 PRD 变更评审。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before="0" w:after="0"/>
    </w:pPr>
    <w:r>
      <w:rPr>
        <w:rFonts w:ascii="微软雅黑" w:hAnsi="微软雅黑" w:eastAsia="微软雅黑"/>
        <w:color w:val="666666"/>
        <w:sz w:val="16"/>
      </w:rPr>
      <w:t>内部资料 ｜ 2026-10-24</w:t>
    </w:r>
    <w:r>
      <w:tab/>
    </w:r>
    <w:r>
      <w:rPr>
        <w:rFonts w:ascii="微软雅黑" w:hAnsi="微软雅黑" w:eastAsia="微软雅黑"/>
        <w:color w:val="666666"/>
        <w:sz w:val="16"/>
      </w:rPr>
      <w:t xml:space="preserve">第 </w:t>
    </w:r>
    <w:r>
      <w:rPr>
        <w:rFonts w:ascii="微软雅黑" w:hAnsi="微软雅黑" w:eastAsia="微软雅黑"/>
        <w:color w:val="66666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微软雅黑" w:hAnsi="微软雅黑" w:eastAsia="微软雅黑"/>
        <w:color w:val="666666"/>
        <w:sz w:val="16"/>
      </w:rPr>
      <w:t xml:space="preserve"> 页 / 共 </w:t>
    </w:r>
    <w:r>
      <w:rPr>
        <w:rFonts w:ascii="微软雅黑" w:hAnsi="微软雅黑" w:eastAsia="微软雅黑"/>
        <w:color w:val="666666"/>
        <w:sz w:val="16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微软雅黑" w:hAnsi="微软雅黑" w:eastAsia="微软雅黑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2" w:color="D9D9D9"/>
      </w:pBdr>
    </w:pPr>
    <w:r>
      <w:rPr>
        <w:rFonts w:ascii="微软雅黑" w:hAnsi="微软雅黑" w:eastAsia="微软雅黑"/>
        <w:color w:val="666666"/>
        <w:sz w:val="16"/>
      </w:rPr>
      <w:t>营销日周动态汇总与风险预警 ｜ PRD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营销日周动态汇总与风险预警 PRD 一页纸</dc:title>
  <dc:subject>PRD 一页纸 V0.1</dc:subject>
  <dc:creator>产品团队</dc:creator>
  <cp:keywords>PRD, 营销, 销售, 风险预警, MoSCoW</cp:keywords>
  <dc:description>基于 PRD 一页纸 Markdown 生成；含 2 个 Must have、量化完工标准与验收标准。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