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</w:pPr>
      <w:r>
        <w:rPr>
          <w:rFonts w:ascii="微软雅黑" w:hAnsi="微软雅黑" w:eastAsia="微软雅黑"/>
          <w:b/>
          <w:i w:val="0"/>
          <w:color w:val="BF9000"/>
          <w:sz w:val="16"/>
          <w:spacing w:val="24"/>
        </w:rPr>
        <w:t>PRODUCT REQUIREMENTS DOCUMENT  /  PRD ONE-PAGER</w:t>
      </w:r>
    </w:p>
    <w:p>
      <w:pPr>
        <w:spacing w:before="0" w:after="20" w:line="288" w:lineRule="auto"/>
      </w:pPr>
      <w:r>
        <w:rPr>
          <w:rFonts w:ascii="微软雅黑" w:hAnsi="微软雅黑" w:eastAsia="微软雅黑"/>
          <w:b/>
          <w:i w:val="0"/>
          <w:color w:val="1F3864"/>
          <w:sz w:val="44"/>
        </w:rPr>
        <w:t>营销日周动态汇总与风险预警</w:t>
      </w:r>
    </w:p>
    <w:p>
      <w:pPr>
        <w:spacing w:before="0" w:after="60" w:line="288" w:lineRule="auto"/>
      </w:pPr>
      <w:r>
        <w:rPr>
          <w:rFonts w:ascii="微软雅黑" w:hAnsi="微软雅黑" w:eastAsia="微软雅黑"/>
          <w:b w:val="0"/>
          <w:i w:val="0"/>
          <w:color w:val="2F5597"/>
          <w:sz w:val="21"/>
        </w:rPr>
        <w:t>PRD 一页纸 ｜ V0.2 简化版</w:t>
      </w:r>
    </w:p>
    <w:p>
      <w:pPr>
        <w:spacing w:before="0" w:after="140" w:line="288" w:lineRule="auto"/>
      </w:pPr>
      <w:r>
        <w:rPr>
          <w:rFonts w:ascii="微软雅黑" w:hAnsi="微软雅黑" w:eastAsia="微软雅黑"/>
          <w:b/>
          <w:i w:val="0"/>
          <w:color w:val="666666"/>
          <w:sz w:val="17"/>
        </w:rPr>
        <w:t>版本</w:t>
      </w:r>
      <w:r>
        <w:rPr>
          <w:rFonts w:ascii="微软雅黑" w:hAnsi="微软雅黑" w:eastAsia="微软雅黑"/>
          <w:b w:val="0"/>
          <w:i w:val="0"/>
          <w:color w:val="666666"/>
          <w:sz w:val="17"/>
        </w:rPr>
        <w:t xml:space="preserve"> V0.2｜</w:t>
      </w:r>
      <w:r>
        <w:rPr>
          <w:rFonts w:ascii="微软雅黑" w:hAnsi="微软雅黑" w:eastAsia="微软雅黑"/>
          <w:b/>
          <w:i w:val="0"/>
          <w:color w:val="666666"/>
          <w:sz w:val="17"/>
        </w:rPr>
        <w:t>日期</w:t>
      </w:r>
      <w:r>
        <w:rPr>
          <w:rFonts w:ascii="微软雅黑" w:hAnsi="微软雅黑" w:eastAsia="微软雅黑"/>
          <w:b w:val="0"/>
          <w:i w:val="0"/>
          <w:color w:val="666666"/>
          <w:sz w:val="17"/>
        </w:rPr>
        <w:t xml:space="preserve"> 2026-10-24｜</w:t>
      </w:r>
      <w:r>
        <w:rPr>
          <w:rFonts w:ascii="微软雅黑" w:hAnsi="微软雅黑" w:eastAsia="微软雅黑"/>
          <w:b/>
          <w:i w:val="0"/>
          <w:color w:val="666666"/>
          <w:sz w:val="17"/>
        </w:rPr>
        <w:t>说明</w:t>
      </w:r>
      <w:r>
        <w:rPr>
          <w:rFonts w:ascii="微软雅黑" w:hAnsi="微软雅黑" w:eastAsia="微软雅黑"/>
          <w:b w:val="0"/>
          <w:i w:val="0"/>
          <w:color w:val="666666"/>
          <w:sz w:val="17"/>
        </w:rPr>
        <w:t xml:space="preserve"> 在 V0.1 基础上精简表述，范围与口径不变</w:t>
      </w:r>
    </w:p>
    <w:tbl>
      <w:tblPr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2F6FB"/>
            <w:tcMar>
              <w:top w:w="110" w:type="dxa"/>
              <w:left w:w="180" w:type="dxa"/>
              <w:bottom w:w="100" w:type="dxa"/>
              <w:right w:w="140" w:type="dxa"/>
            </w:tcMar>
            <w:tcBorders>
              <w:top w:val="nil" w:space="0" w:color="BF9000"/>
              <w:left w:val="single" w:sz="24" w:space="0" w:color="BF9000"/>
              <w:bottom w:val="nil" w:space="0" w:color="BF9000"/>
              <w:right w:val="nil" w:space="0" w:color="BF9000"/>
            </w:tcBorders>
          </w:tcPr>
          <w:p>
            <w:pPr>
              <w:spacing w:before="0" w:after="5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333333"/>
                <w:sz w:val="18"/>
              </w:rPr>
              <w:t>一句话</w:t>
            </w: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：把分散的营销和销售数据，自动变成分角色的日/周经营简报；把目标、业绩、线索、商机、客户和回款风险推给对应负责人，做到“看得见、找得到、有人管、能闭环”。</w:t>
            </w:r>
          </w:p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333333"/>
                <w:sz w:val="18"/>
              </w:rPr>
              <w:t>本期范围</w:t>
            </w: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：4 类管理角色｜日/周报 + 6 类风险预警｜T+1 日批｜PC Web + 钉钉/企微 H5</w:t>
            </w:r>
          </w:p>
        </w:tc>
      </w:tr>
    </w:tbl>
    <w:p>
      <w:pPr>
        <w:pStyle w:val="Heading1"/>
        <w:keepNext/>
        <w:spacing w:before="180" w:after="60" w:line="240" w:lineRule="auto"/>
        <w:pBdr>
          <w:bottom w:val="single" w:sz="8" w:space="4" w:color="BF9000"/>
        </w:pBdr>
      </w:pPr>
      <w:r>
        <w:rPr>
          <w:rFonts w:ascii="微软雅黑" w:hAnsi="微软雅黑" w:eastAsia="微软雅黑"/>
          <w:b/>
          <w:i w:val="0"/>
          <w:color w:val="BF9000"/>
          <w:sz w:val="26"/>
        </w:rPr>
        <w:t>01</w:t>
      </w:r>
      <w:r>
        <w:rPr>
          <w:rFonts w:ascii="微软雅黑" w:hAnsi="微软雅黑" w:eastAsia="微软雅黑"/>
          <w:b/>
          <w:i w:val="0"/>
          <w:color w:val="1F3864"/>
          <w:sz w:val="28"/>
        </w:rPr>
        <w:t xml:space="preserve">  目标与用户</w:t>
      </w:r>
    </w:p>
    <w:p>
      <w:pPr>
        <w:keepNext/>
        <w:spacing w:before="100" w:after="40" w:line="288" w:lineRule="auto"/>
      </w:pPr>
      <w:r>
        <w:rPr>
          <w:rFonts w:ascii="微软雅黑" w:hAnsi="微软雅黑" w:eastAsia="微软雅黑"/>
          <w:b/>
          <w:i w:val="0"/>
          <w:color w:val="2F5597"/>
          <w:sz w:val="20"/>
        </w:rPr>
        <w:t>产品目标</w:t>
      </w:r>
    </w:p>
    <w:p>
      <w:pPr>
        <w:spacing w:before="0" w:after="36" w:line="288" w:lineRule="auto"/>
        <w:ind w:left="272" w:hanging="272"/>
      </w:pPr>
      <w:r>
        <w:rPr>
          <w:rFonts w:ascii="微软雅黑" w:hAnsi="微软雅黑" w:eastAsia="微软雅黑"/>
          <w:b/>
          <w:i w:val="0"/>
          <w:color w:val="BF9000"/>
          <w:sz w:val="18"/>
        </w:rPr>
        <w:t xml:space="preserve">•  </w:t>
      </w:r>
      <w:r>
        <w:rPr>
          <w:rFonts w:ascii="微软雅黑" w:hAnsi="微软雅黑" w:eastAsia="微软雅黑"/>
          <w:b/>
          <w:i w:val="0"/>
          <w:color w:val="333333"/>
          <w:sz w:val="18"/>
        </w:rPr>
        <w:t>自动汇总：</w:t>
      </w:r>
      <w:r>
        <w:rPr>
          <w:rFonts w:ascii="微软雅黑" w:hAnsi="微软雅黑" w:eastAsia="微软雅黑"/>
          <w:b w:val="0"/>
          <w:i w:val="0"/>
          <w:color w:val="333333"/>
          <w:sz w:val="18"/>
        </w:rPr>
        <w:t>每天 08:30、每周一 09:00，按权限为四类角色生成日/周经营简报，覆盖 12 项指标。</w:t>
      </w:r>
    </w:p>
    <w:p>
      <w:pPr>
        <w:spacing w:before="0" w:after="36" w:line="288" w:lineRule="auto"/>
        <w:ind w:left="272" w:hanging="272"/>
      </w:pPr>
      <w:r>
        <w:rPr>
          <w:rFonts w:ascii="微软雅黑" w:hAnsi="微软雅黑" w:eastAsia="微软雅黑"/>
          <w:b/>
          <w:i w:val="0"/>
          <w:color w:val="BF9000"/>
          <w:sz w:val="18"/>
        </w:rPr>
        <w:t xml:space="preserve">•  </w:t>
      </w:r>
      <w:r>
        <w:rPr>
          <w:rFonts w:ascii="微软雅黑" w:hAnsi="微软雅黑" w:eastAsia="微软雅黑"/>
          <w:b/>
          <w:i w:val="0"/>
          <w:color w:val="333333"/>
          <w:sz w:val="18"/>
        </w:rPr>
        <w:t>风险闭环：</w:t>
      </w:r>
      <w:r>
        <w:rPr>
          <w:rFonts w:ascii="微软雅黑" w:hAnsi="微软雅黑" w:eastAsia="微软雅黑"/>
          <w:b w:val="0"/>
          <w:i w:val="0"/>
          <w:color w:val="333333"/>
          <w:sz w:val="18"/>
        </w:rPr>
        <w:t>自动识别 6 类经营风险，按红/橙/黄分级，责任到人、限时处理、超时升级、关闭留痕。</w:t>
      </w:r>
    </w:p>
    <w:p>
      <w:pPr>
        <w:spacing w:before="0" w:after="36" w:line="288" w:lineRule="auto"/>
        <w:ind w:left="272" w:hanging="272"/>
      </w:pPr>
      <w:r>
        <w:rPr>
          <w:rFonts w:ascii="微软雅黑" w:hAnsi="微软雅黑" w:eastAsia="微软雅黑"/>
          <w:b/>
          <w:i w:val="0"/>
          <w:color w:val="BF9000"/>
          <w:sz w:val="18"/>
        </w:rPr>
        <w:t xml:space="preserve">•  </w:t>
      </w:r>
      <w:r>
        <w:rPr>
          <w:rFonts w:ascii="微软雅黑" w:hAnsi="微软雅黑" w:eastAsia="微软雅黑"/>
          <w:b/>
          <w:i w:val="0"/>
          <w:color w:val="333333"/>
          <w:sz w:val="18"/>
        </w:rPr>
        <w:t>决策提效：</w:t>
      </w:r>
      <w:r>
        <w:rPr>
          <w:rFonts w:ascii="微软雅黑" w:hAnsi="微软雅黑" w:eastAsia="微软雅黑"/>
          <w:b w:val="0"/>
          <w:i w:val="0"/>
          <w:color w:val="333333"/>
          <w:sz w:val="18"/>
        </w:rPr>
        <w:t>管理层 5 分钟内看清目标进度、增长/下滑 Top3 和重大风险。</w:t>
      </w:r>
    </w:p>
    <w:p>
      <w:pPr>
        <w:spacing w:before="40" w:after="20" w:line="288" w:lineRule="auto"/>
      </w:pPr>
      <w:r>
        <w:rPr>
          <w:rFonts w:ascii="微软雅黑" w:hAnsi="微软雅黑" w:eastAsia="微软雅黑"/>
          <w:b/>
          <w:i w:val="0"/>
          <w:color w:val="2F5597"/>
          <w:sz w:val="18"/>
        </w:rPr>
        <w:t>上线 30 天目标：</w:t>
      </w:r>
      <w:r>
        <w:rPr>
          <w:rFonts w:ascii="微软雅黑" w:hAnsi="微软雅黑" w:eastAsia="微软雅黑"/>
          <w:b w:val="0"/>
          <w:i w:val="0"/>
          <w:color w:val="333333"/>
          <w:sz w:val="18"/>
        </w:rPr>
        <w:t>按时推送率 100%｜人工制作工时下降 ≥80%｜管理层看全貌 ≤5 分钟</w:t>
      </w:r>
      <w:r>
        <w:br/>
      </w:r>
      <w:r>
        <w:rPr>
          <w:rFonts w:ascii="微软雅黑" w:hAnsi="微软雅黑" w:eastAsia="微软雅黑"/>
          <w:b w:val="0"/>
          <w:i w:val="0"/>
          <w:color w:val="333333"/>
          <w:sz w:val="18"/>
        </w:rPr>
        <w:t>高风险 4 小时认领率 ≥95%｜风险闭环率 ≥90%｜数据一致率 ≥99.5%。</w:t>
      </w:r>
    </w:p>
    <w:p>
      <w:pPr>
        <w:spacing w:before="0" w:after="40" w:line="288" w:lineRule="auto"/>
      </w:pPr>
      <w:r>
        <w:rPr>
          <w:rFonts w:ascii="微软雅黑" w:hAnsi="微软雅黑" w:eastAsia="微软雅黑"/>
          <w:b/>
          <w:i w:val="0"/>
          <w:color w:val="2F5597"/>
          <w:sz w:val="18"/>
        </w:rPr>
        <w:t>典型用法：</w:t>
      </w:r>
      <w:r>
        <w:rPr>
          <w:rFonts w:ascii="微软雅黑" w:hAnsi="微软雅黑" w:eastAsia="微软雅黑"/>
          <w:b w:val="0"/>
          <w:i w:val="0"/>
          <w:color w:val="333333"/>
          <w:sz w:val="18"/>
        </w:rPr>
        <w:t>晨会看日报、周会看周报；部门经理收到预警后 4 小时内认领处置。</w:t>
      </w:r>
    </w:p>
    <w:p>
      <w:pPr>
        <w:keepNext/>
        <w:spacing w:before="120" w:after="40" w:line="288" w:lineRule="auto"/>
      </w:pPr>
      <w:r>
        <w:rPr>
          <w:rFonts w:ascii="微软雅黑" w:hAnsi="微软雅黑" w:eastAsia="微软雅黑"/>
          <w:b/>
          <w:i w:val="0"/>
          <w:color w:val="2F5597"/>
          <w:sz w:val="20"/>
        </w:rPr>
        <w:t>用户与权限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01"/>
        <w:gridCol w:w="1928"/>
        <w:gridCol w:w="3061"/>
        <w:gridCol w:w="2948"/>
      </w:tblGrid>
      <w:tr>
        <w:trPr>
          <w:cantSplit/>
          <w:tblHeader w:val="true"/>
          <w:trHeight w:val="340" w:hRule="atLeast"/>
        </w:trPr>
        <w:tc>
          <w:tcPr>
            <w:tcW w:type="dxa" w:w="1701"/>
            <w:shd w:val="clear" w:color="auto" w:fill="1F3864"/>
            <w:tcMar>
              <w:top w:w="32" w:type="dxa"/>
              <w:left w:w="65" w:type="dxa"/>
              <w:bottom w:w="32" w:type="dxa"/>
              <w:right w:w="65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角色</w:t>
            </w:r>
          </w:p>
        </w:tc>
        <w:tc>
          <w:tcPr>
            <w:tcW w:type="dxa" w:w="1928"/>
            <w:shd w:val="clear" w:color="auto" w:fill="1F3864"/>
            <w:tcMar>
              <w:top w:w="32" w:type="dxa"/>
              <w:left w:w="65" w:type="dxa"/>
              <w:bottom w:w="32" w:type="dxa"/>
              <w:right w:w="65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数据范围（行级）</w:t>
            </w:r>
          </w:p>
        </w:tc>
        <w:tc>
          <w:tcPr>
            <w:tcW w:type="dxa" w:w="3061"/>
            <w:shd w:val="clear" w:color="auto" w:fill="1F3864"/>
            <w:tcMar>
              <w:top w:w="32" w:type="dxa"/>
              <w:left w:w="65" w:type="dxa"/>
              <w:bottom w:w="32" w:type="dxa"/>
              <w:right w:w="65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核心关注</w:t>
            </w:r>
          </w:p>
        </w:tc>
        <w:tc>
          <w:tcPr>
            <w:tcW w:type="dxa" w:w="2948"/>
            <w:shd w:val="clear" w:color="auto" w:fill="1F3864"/>
            <w:tcMar>
              <w:top w:w="32" w:type="dxa"/>
              <w:left w:w="65" w:type="dxa"/>
              <w:bottom w:w="32" w:type="dxa"/>
              <w:right w:w="65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关键权限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left w:w="65" w:type="dxa"/>
              <w:bottom w:w="34" w:type="dxa"/>
              <w:right w:w="65" w:type="dxa"/>
            </w:tcMar>
            <w:vAlign w:val="center"/>
          </w:tcPr>
          <w:p>
            <w:pPr>
              <w:keepNext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公司总经理</w:t>
            </w:r>
          </w:p>
        </w:tc>
        <w:tc>
          <w:tcPr>
            <w:tcW w:type="dxa" w:w="1928"/>
            <w:tcMar>
              <w:top w:w="34" w:type="dxa"/>
              <w:left w:w="65" w:type="dxa"/>
              <w:bottom w:w="34" w:type="dxa"/>
              <w:right w:w="65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6"/>
              </w:rPr>
              <w:t>全公司</w:t>
            </w:r>
          </w:p>
        </w:tc>
        <w:tc>
          <w:tcPr>
            <w:tcW w:type="dxa" w:w="3061"/>
            <w:tcMar>
              <w:top w:w="34" w:type="dxa"/>
              <w:left w:w="65" w:type="dxa"/>
              <w:bottom w:w="34" w:type="dxa"/>
              <w:right w:w="65" w:type="dxa"/>
            </w:tcMar>
            <w:vAlign w:val="center"/>
          </w:tcPr>
          <w:p>
            <w:pPr>
              <w:keepNext/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6"/>
              </w:rPr>
              <w:t>总盘、目标缺口、重大风险</w:t>
            </w:r>
          </w:p>
        </w:tc>
        <w:tc>
          <w:tcPr>
            <w:tcW w:type="dxa" w:w="2948"/>
            <w:tcMar>
              <w:top w:w="34" w:type="dxa"/>
              <w:left w:w="65" w:type="dxa"/>
              <w:bottom w:w="34" w:type="dxa"/>
              <w:right w:w="65" w:type="dxa"/>
            </w:tcMar>
            <w:vAlign w:val="center"/>
          </w:tcPr>
          <w:p>
            <w:pPr>
              <w:keepNext/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6"/>
              </w:rPr>
              <w:t>查看、下钻、导出、指派、督办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left w:w="65" w:type="dxa"/>
              <w:bottom w:w="34" w:type="dxa"/>
              <w:right w:w="65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公司销售总监</w:t>
            </w:r>
          </w:p>
        </w:tc>
        <w:tc>
          <w:tcPr>
            <w:tcW w:type="dxa" w:w="1928"/>
            <w:tcMar>
              <w:top w:w="34" w:type="dxa"/>
              <w:left w:w="65" w:type="dxa"/>
              <w:bottom w:w="34" w:type="dxa"/>
              <w:right w:w="65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6"/>
              </w:rPr>
              <w:t>全公司销售条线</w:t>
            </w:r>
          </w:p>
        </w:tc>
        <w:tc>
          <w:tcPr>
            <w:tcW w:type="dxa" w:w="3061"/>
            <w:tcMar>
              <w:top w:w="34" w:type="dxa"/>
              <w:left w:w="65" w:type="dxa"/>
              <w:bottom w:w="34" w:type="dxa"/>
              <w:right w:w="65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6"/>
              </w:rPr>
              <w:t>销售目标、渠道/团队、风险处置</w:t>
            </w:r>
          </w:p>
        </w:tc>
        <w:tc>
          <w:tcPr>
            <w:tcW w:type="dxa" w:w="2948"/>
            <w:tcMar>
              <w:top w:w="34" w:type="dxa"/>
              <w:left w:w="65" w:type="dxa"/>
              <w:bottom w:w="34" w:type="dxa"/>
              <w:right w:w="65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6"/>
              </w:rPr>
              <w:t>查看、下钻、导出、指派、督办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left w:w="65" w:type="dxa"/>
              <w:bottom w:w="34" w:type="dxa"/>
              <w:right w:w="65" w:type="dxa"/>
            </w:tcMar>
            <w:vAlign w:val="center"/>
          </w:tcPr>
          <w:p>
            <w:pPr>
              <w:keepNext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事业部总经理</w:t>
            </w:r>
          </w:p>
        </w:tc>
        <w:tc>
          <w:tcPr>
            <w:tcW w:type="dxa" w:w="1928"/>
            <w:tcMar>
              <w:top w:w="34" w:type="dxa"/>
              <w:left w:w="65" w:type="dxa"/>
              <w:bottom w:w="34" w:type="dxa"/>
              <w:right w:w="65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6"/>
              </w:rPr>
              <w:t>本事业部</w:t>
            </w:r>
          </w:p>
        </w:tc>
        <w:tc>
          <w:tcPr>
            <w:tcW w:type="dxa" w:w="3061"/>
            <w:tcMar>
              <w:top w:w="34" w:type="dxa"/>
              <w:left w:w="65" w:type="dxa"/>
              <w:bottom w:w="34" w:type="dxa"/>
              <w:right w:w="65" w:type="dxa"/>
            </w:tcMar>
            <w:vAlign w:val="center"/>
          </w:tcPr>
          <w:p>
            <w:pPr>
              <w:keepNext/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6"/>
              </w:rPr>
              <w:t>事业部目标、部门排名、重点客户</w:t>
            </w:r>
          </w:p>
        </w:tc>
        <w:tc>
          <w:tcPr>
            <w:tcW w:type="dxa" w:w="2948"/>
            <w:tcMar>
              <w:top w:w="34" w:type="dxa"/>
              <w:left w:w="65" w:type="dxa"/>
              <w:bottom w:w="34" w:type="dxa"/>
              <w:right w:w="65" w:type="dxa"/>
            </w:tcMar>
            <w:vAlign w:val="center"/>
          </w:tcPr>
          <w:p>
            <w:pPr>
              <w:keepNext/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6"/>
              </w:rPr>
              <w:t>查看、下钻、导出、指派、关闭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left w:w="65" w:type="dxa"/>
              <w:bottom w:w="34" w:type="dxa"/>
              <w:right w:w="65" w:type="dxa"/>
            </w:tcMar>
            <w:vAlign w:val="center"/>
            <w:shd w:val="clear" w:color="auto" w:fill="F7F9FC"/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部门销售经理</w:t>
            </w:r>
          </w:p>
        </w:tc>
        <w:tc>
          <w:tcPr>
            <w:tcW w:type="dxa" w:w="1928"/>
            <w:tcMar>
              <w:top w:w="34" w:type="dxa"/>
              <w:left w:w="65" w:type="dxa"/>
              <w:bottom w:w="34" w:type="dxa"/>
              <w:right w:w="65" w:type="dxa"/>
            </w:tcMar>
            <w:vAlign w:val="center"/>
            <w:shd w:val="clear" w:color="auto" w:fill="F7F9FC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6"/>
              </w:rPr>
              <w:t>本部门及下级</w:t>
            </w:r>
          </w:p>
        </w:tc>
        <w:tc>
          <w:tcPr>
            <w:tcW w:type="dxa" w:w="3061"/>
            <w:tcMar>
              <w:top w:w="34" w:type="dxa"/>
              <w:left w:w="65" w:type="dxa"/>
              <w:bottom w:w="34" w:type="dxa"/>
              <w:right w:w="65" w:type="dxa"/>
            </w:tcMar>
            <w:vAlign w:val="center"/>
            <w:shd w:val="clear" w:color="auto" w:fill="F7F9FC"/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6"/>
              </w:rPr>
              <w:t>部门/个人目标、客户跟进、预警处理</w:t>
            </w:r>
          </w:p>
        </w:tc>
        <w:tc>
          <w:tcPr>
            <w:tcW w:type="dxa" w:w="2948"/>
            <w:tcMar>
              <w:top w:w="34" w:type="dxa"/>
              <w:left w:w="65" w:type="dxa"/>
              <w:bottom w:w="34" w:type="dxa"/>
              <w:right w:w="65" w:type="dxa"/>
            </w:tcMar>
            <w:vAlign w:val="center"/>
            <w:shd w:val="clear" w:color="auto" w:fill="F7F9FC"/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6"/>
              </w:rPr>
              <w:t>查看、下钻、导出、认领、处理、关闭</w:t>
            </w:r>
          </w:p>
        </w:tc>
      </w:tr>
    </w:tbl>
    <w:p>
      <w:pPr>
        <w:spacing w:before="80" w:after="40" w:line="288" w:lineRule="auto"/>
      </w:pPr>
      <w:r>
        <w:rPr>
          <w:rFonts w:ascii="微软雅黑" w:hAnsi="微软雅黑" w:eastAsia="微软雅黑"/>
          <w:b/>
          <w:i w:val="0"/>
          <w:color w:val="2F5597"/>
          <w:sz w:val="18"/>
        </w:rPr>
        <w:t>权限规则：</w:t>
      </w:r>
      <w:r>
        <w:rPr>
          <w:rFonts w:ascii="微软雅黑" w:hAnsi="微软雅黑" w:eastAsia="微软雅黑"/>
          <w:b w:val="0"/>
          <w:i w:val="0"/>
          <w:color w:val="333333"/>
          <w:sz w:val="18"/>
        </w:rPr>
        <w:t>功能、行级、字段三层权限，默认拒绝；越权 URL/API 返回 403；手机号/邮箱默认脱敏，明细导出二次确认并加水印；查看、导出、指派、关闭全审计，日志保留 ≥12 个月；一线销售首版不独立开户。</w:t>
      </w:r>
    </w:p>
    <w:p>
      <w:pPr>
        <w:pStyle w:val="Heading1"/>
        <w:keepNext/>
        <w:spacing w:before="180" w:after="60" w:line="240" w:lineRule="auto"/>
        <w:pBdr>
          <w:bottom w:val="single" w:sz="8" w:space="4" w:color="BF9000"/>
        </w:pBdr>
      </w:pPr>
      <w:r>
        <w:rPr>
          <w:rFonts w:ascii="微软雅黑" w:hAnsi="微软雅黑" w:eastAsia="微软雅黑"/>
          <w:b/>
          <w:i w:val="0"/>
          <w:color w:val="BF9000"/>
          <w:sz w:val="26"/>
        </w:rPr>
        <w:t>02</w:t>
      </w:r>
      <w:r>
        <w:rPr>
          <w:rFonts w:ascii="微软雅黑" w:hAnsi="微软雅黑" w:eastAsia="微软雅黑"/>
          <w:b/>
          <w:i w:val="0"/>
          <w:color w:val="1F3864"/>
          <w:sz w:val="28"/>
        </w:rPr>
        <w:t xml:space="preserve">  核心功能</w:t>
      </w:r>
    </w:p>
    <w:p>
      <w:pPr>
        <w:keepNext/>
        <w:spacing w:before="120" w:after="40" w:line="288" w:lineRule="auto"/>
      </w:pPr>
      <w:r>
        <w:rPr>
          <w:rFonts w:ascii="微软雅黑" w:hAnsi="微软雅黑" w:eastAsia="微软雅黑"/>
          <w:b/>
          <w:i w:val="0"/>
          <w:color w:val="2F5597"/>
          <w:sz w:val="20"/>
        </w:rPr>
        <w:t>M1  日/周经营简报（Must have）</w:t>
      </w:r>
    </w:p>
    <w:p>
      <w:pPr>
        <w:spacing w:before="0" w:after="36" w:line="288" w:lineRule="auto"/>
        <w:ind w:left="272" w:hanging="272"/>
      </w:pPr>
      <w:r>
        <w:rPr>
          <w:rFonts w:ascii="微软雅黑" w:hAnsi="微软雅黑" w:eastAsia="微软雅黑"/>
          <w:b/>
          <w:i w:val="0"/>
          <w:color w:val="BF9000"/>
          <w:sz w:val="18"/>
        </w:rPr>
        <w:t xml:space="preserve">•  </w:t>
      </w:r>
      <w:r>
        <w:rPr>
          <w:rFonts w:ascii="微软雅黑" w:hAnsi="微软雅黑" w:eastAsia="微软雅黑"/>
          <w:b/>
          <w:i w:val="0"/>
          <w:color w:val="333333"/>
          <w:sz w:val="18"/>
        </w:rPr>
        <w:t>自动取数：</w:t>
      </w:r>
      <w:r>
        <w:rPr>
          <w:rFonts w:ascii="微软雅黑" w:hAnsi="微软雅黑" w:eastAsia="微软雅黑"/>
          <w:b w:val="0"/>
          <w:i w:val="0"/>
          <w:color w:val="333333"/>
          <w:sz w:val="18"/>
        </w:rPr>
        <w:t>接入 CRM、ERP/财务、投放、目标 4 类数据源和组织人员主数据；统一口径计算 12 项指标（线索、商机、签约、回款、目标完成率、营销费用/ROI 等），支持日环比、周同比、月累计。</w:t>
      </w:r>
    </w:p>
    <w:p>
      <w:pPr>
        <w:spacing w:before="0" w:after="36" w:line="288" w:lineRule="auto"/>
        <w:ind w:left="272" w:hanging="272"/>
      </w:pPr>
      <w:r>
        <w:rPr>
          <w:rFonts w:ascii="微软雅黑" w:hAnsi="微软雅黑" w:eastAsia="微软雅黑"/>
          <w:b/>
          <w:i w:val="0"/>
          <w:color w:val="BF9000"/>
          <w:sz w:val="18"/>
        </w:rPr>
        <w:t xml:space="preserve">•  </w:t>
      </w:r>
      <w:r>
        <w:rPr>
          <w:rFonts w:ascii="微软雅黑" w:hAnsi="微软雅黑" w:eastAsia="微软雅黑"/>
          <w:b/>
          <w:i w:val="0"/>
          <w:color w:val="333333"/>
          <w:sz w:val="18"/>
        </w:rPr>
        <w:t>角色化简报：</w:t>
      </w:r>
      <w:r>
        <w:rPr>
          <w:rFonts w:ascii="微软雅黑" w:hAnsi="微软雅黑" w:eastAsia="微软雅黑"/>
          <w:b w:val="0"/>
          <w:i w:val="0"/>
          <w:color w:val="333333"/>
          <w:sz w:val="18"/>
        </w:rPr>
        <w:t>四类角色默认视角；固定结构为“3 条结论 + 指标卡 + 增长/下滑 Top3 + 风险 Top3 + 动作建议 + 数据说明”。</w:t>
      </w:r>
    </w:p>
    <w:p>
      <w:pPr>
        <w:spacing w:before="0" w:after="36" w:line="288" w:lineRule="auto"/>
        <w:ind w:left="272" w:hanging="272"/>
      </w:pPr>
      <w:r>
        <w:rPr>
          <w:rFonts w:ascii="微软雅黑" w:hAnsi="微软雅黑" w:eastAsia="微软雅黑"/>
          <w:b/>
          <w:i w:val="0"/>
          <w:color w:val="BF9000"/>
          <w:sz w:val="18"/>
        </w:rPr>
        <w:t xml:space="preserve">•  </w:t>
      </w:r>
      <w:r>
        <w:rPr>
          <w:rFonts w:ascii="微软雅黑" w:hAnsi="微软雅黑" w:eastAsia="微软雅黑"/>
          <w:b/>
          <w:i w:val="0"/>
          <w:color w:val="333333"/>
          <w:sz w:val="18"/>
        </w:rPr>
        <w:t>推送与下钻：</w:t>
      </w:r>
      <w:r>
        <w:rPr>
          <w:rFonts w:ascii="微软雅黑" w:hAnsi="微软雅黑" w:eastAsia="微软雅黑"/>
          <w:b w:val="0"/>
          <w:i w:val="0"/>
          <w:color w:val="333333"/>
          <w:sz w:val="18"/>
        </w:rPr>
        <w:t>每日 08:30、周一 09:00 推送钉钉/企微/邮件；指标可下钻到事业部→部门→人→客户/订单；保留 12 个月，支持 PDF/Excel 水印导出。</w:t>
      </w:r>
    </w:p>
    <w:p>
      <w:pPr>
        <w:spacing w:before="0" w:after="36" w:line="288" w:lineRule="auto"/>
        <w:ind w:left="272" w:hanging="272"/>
      </w:pPr>
      <w:r>
        <w:rPr>
          <w:rFonts w:ascii="微软雅黑" w:hAnsi="微软雅黑" w:eastAsia="微软雅黑"/>
          <w:b/>
          <w:i w:val="0"/>
          <w:color w:val="BF9000"/>
          <w:sz w:val="18"/>
        </w:rPr>
        <w:t xml:space="preserve">•  </w:t>
      </w:r>
      <w:r>
        <w:rPr>
          <w:rFonts w:ascii="微软雅黑" w:hAnsi="微软雅黑" w:eastAsia="微软雅黑"/>
          <w:b/>
          <w:i w:val="0"/>
          <w:color w:val="333333"/>
          <w:sz w:val="18"/>
        </w:rPr>
        <w:t>异常处理：</w:t>
      </w:r>
      <w:r>
        <w:rPr>
          <w:rFonts w:ascii="微软雅黑" w:hAnsi="微软雅黑" w:eastAsia="微软雅黑"/>
          <w:b w:val="0"/>
          <w:i w:val="0"/>
          <w:color w:val="333333"/>
          <w:sz w:val="18"/>
        </w:rPr>
        <w:t>数据缺失或延迟时顶部提示缺失源和影响指标；不以 0 代替，不输出确定性结论；推送失败重试 3 次并告警。</w:t>
      </w:r>
    </w:p>
    <w:p>
      <w:pPr>
        <w:pageBreakBefore/>
        <w:spacing w:before="0" w:after="20" w:line="288" w:lineRule="auto"/>
      </w:pPr>
      <w:r>
        <w:rPr>
          <w:rFonts w:ascii="微软雅黑" w:hAnsi="微软雅黑" w:eastAsia="微软雅黑"/>
          <w:b/>
          <w:i w:val="0"/>
          <w:color w:val="666666"/>
          <w:sz w:val="16"/>
          <w:spacing w:val="15"/>
        </w:rPr>
        <w:t>核心功能（续）</w:t>
      </w:r>
    </w:p>
    <w:p>
      <w:pPr>
        <w:keepNext/>
        <w:spacing w:before="80" w:after="40" w:line="288" w:lineRule="auto"/>
      </w:pPr>
      <w:r>
        <w:rPr>
          <w:rFonts w:ascii="微软雅黑" w:hAnsi="微软雅黑" w:eastAsia="微软雅黑"/>
          <w:b/>
          <w:i w:val="0"/>
          <w:color w:val="2F5597"/>
          <w:sz w:val="20"/>
        </w:rPr>
        <w:t>M2  风险识别、分级预警与闭环处置（Must have）</w:t>
      </w:r>
    </w:p>
    <w:p>
      <w:pPr>
        <w:spacing w:before="0" w:after="36" w:line="288" w:lineRule="auto"/>
        <w:ind w:left="272" w:hanging="272"/>
      </w:pPr>
      <w:r>
        <w:rPr>
          <w:rFonts w:ascii="微软雅黑" w:hAnsi="微软雅黑" w:eastAsia="微软雅黑"/>
          <w:b/>
          <w:i w:val="0"/>
          <w:color w:val="BF9000"/>
          <w:sz w:val="18"/>
        </w:rPr>
        <w:t xml:space="preserve">•  </w:t>
      </w:r>
      <w:r>
        <w:rPr>
          <w:rFonts w:ascii="微软雅黑" w:hAnsi="微软雅黑" w:eastAsia="微软雅黑"/>
          <w:b/>
          <w:i w:val="0"/>
          <w:color w:val="333333"/>
          <w:sz w:val="18"/>
        </w:rPr>
        <w:t>规则可配置：</w:t>
      </w:r>
      <w:r>
        <w:rPr>
          <w:rFonts w:ascii="微软雅黑" w:hAnsi="微软雅黑" w:eastAsia="微软雅黑"/>
          <w:b w:val="0"/>
          <w:i w:val="0"/>
          <w:color w:val="333333"/>
          <w:sz w:val="18"/>
        </w:rPr>
        <w:t>6 类、≥12 条，每条含规则、阈值、级别、责任人和动作模板；管理员可启停/调参并留痕，业务角色只读。</w:t>
      </w:r>
    </w:p>
    <w:p>
      <w:pPr>
        <w:spacing w:before="0" w:after="36" w:line="288" w:lineRule="auto"/>
        <w:ind w:left="272" w:hanging="272"/>
      </w:pPr>
      <w:r>
        <w:rPr>
          <w:rFonts w:ascii="微软雅黑" w:hAnsi="微软雅黑" w:eastAsia="微软雅黑"/>
          <w:b/>
          <w:i w:val="0"/>
          <w:color w:val="BF9000"/>
          <w:sz w:val="18"/>
        </w:rPr>
        <w:t xml:space="preserve">•  </w:t>
      </w:r>
      <w:r>
        <w:rPr>
          <w:rFonts w:ascii="微软雅黑" w:hAnsi="微软雅黑" w:eastAsia="微软雅黑"/>
          <w:b/>
          <w:i w:val="0"/>
          <w:color w:val="333333"/>
          <w:sz w:val="18"/>
        </w:rPr>
        <w:t>分级与升级：</w:t>
      </w:r>
      <w:r>
        <w:rPr>
          <w:rFonts w:ascii="微软雅黑" w:hAnsi="微软雅黑" w:eastAsia="微软雅黑"/>
          <w:b w:val="0"/>
          <w:i w:val="0"/>
          <w:color w:val="333333"/>
          <w:sz w:val="18"/>
        </w:rPr>
        <w:t>红/橙/黄三级，同一对象同一规则 24 小时内合并；红级同步销售总监，影响金额 ≥100 万元加推总经理；超 SLA 未认领自动升级，最多两级，最终进入总经理风险池。</w:t>
      </w:r>
    </w:p>
    <w:p>
      <w:pPr>
        <w:spacing w:before="0" w:after="36" w:line="288" w:lineRule="auto"/>
        <w:ind w:left="272" w:hanging="272"/>
      </w:pPr>
      <w:r>
        <w:rPr>
          <w:rFonts w:ascii="微软雅黑" w:hAnsi="微软雅黑" w:eastAsia="微软雅黑"/>
          <w:b/>
          <w:i w:val="0"/>
          <w:color w:val="BF9000"/>
          <w:sz w:val="18"/>
        </w:rPr>
        <w:t xml:space="preserve">•  </w:t>
      </w:r>
      <w:r>
        <w:rPr>
          <w:rFonts w:ascii="微软雅黑" w:hAnsi="微软雅黑" w:eastAsia="微软雅黑"/>
          <w:b/>
          <w:i w:val="0"/>
          <w:color w:val="333333"/>
          <w:sz w:val="18"/>
        </w:rPr>
        <w:t>处置闭环：</w:t>
      </w:r>
      <w:r>
        <w:rPr>
          <w:rFonts w:ascii="微软雅黑" w:hAnsi="微软雅黑" w:eastAsia="微软雅黑"/>
          <w:b w:val="0"/>
          <w:i w:val="0"/>
          <w:color w:val="333333"/>
          <w:sz w:val="18"/>
        </w:rPr>
        <w:t>待认领→处理中→已关闭/误报/长期跟踪；关闭必填原因、动作、结果；支持附件，全程留痕，周报汇总闭环率。</w:t>
      </w:r>
    </w:p>
    <w:p>
      <w:pPr>
        <w:spacing w:before="0" w:after="36" w:line="288" w:lineRule="auto"/>
        <w:ind w:left="272" w:hanging="272"/>
      </w:pPr>
      <w:r>
        <w:rPr>
          <w:rFonts w:ascii="微软雅黑" w:hAnsi="微软雅黑" w:eastAsia="微软雅黑"/>
          <w:b/>
          <w:i w:val="0"/>
          <w:color w:val="BF9000"/>
          <w:sz w:val="18"/>
        </w:rPr>
        <w:t xml:space="preserve">•  </w:t>
      </w:r>
      <w:r>
        <w:rPr>
          <w:rFonts w:ascii="微软雅黑" w:hAnsi="微软雅黑" w:eastAsia="微软雅黑"/>
          <w:b/>
          <w:i w:val="0"/>
          <w:color w:val="333333"/>
          <w:sz w:val="18"/>
        </w:rPr>
        <w:t>风险看板：</w:t>
      </w:r>
      <w:r>
        <w:rPr>
          <w:rFonts w:ascii="微软雅黑" w:hAnsi="微软雅黑" w:eastAsia="微软雅黑"/>
          <w:b w:val="0"/>
          <w:i w:val="0"/>
          <w:color w:val="333333"/>
          <w:sz w:val="18"/>
        </w:rPr>
        <w:t>按级别/状态/组织/时间筛选，跟踪认领率、闭环率、平均响应时长和 Top 风险，支持导出。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644"/>
        <w:gridCol w:w="5783"/>
        <w:gridCol w:w="2211"/>
      </w:tblGrid>
      <w:tr>
        <w:trPr>
          <w:cantSplit/>
          <w:tblHeader w:val="true"/>
          <w:trHeight w:val="340" w:hRule="atLeast"/>
        </w:trPr>
        <w:tc>
          <w:tcPr>
            <w:tcW w:type="dxa" w:w="1644"/>
            <w:shd w:val="clear" w:color="auto" w:fill="1F3864"/>
            <w:tcMar>
              <w:top w:w="32" w:type="dxa"/>
              <w:left w:w="65" w:type="dxa"/>
              <w:bottom w:w="32" w:type="dxa"/>
              <w:right w:w="65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风险类型</w:t>
            </w:r>
          </w:p>
        </w:tc>
        <w:tc>
          <w:tcPr>
            <w:tcW w:type="dxa" w:w="5783"/>
            <w:shd w:val="clear" w:color="auto" w:fill="1F3864"/>
            <w:tcMar>
              <w:top w:w="32" w:type="dxa"/>
              <w:left w:w="65" w:type="dxa"/>
              <w:bottom w:w="32" w:type="dxa"/>
              <w:right w:w="65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默认触发条件（可配置）</w:t>
            </w:r>
          </w:p>
        </w:tc>
        <w:tc>
          <w:tcPr>
            <w:tcW w:type="dxa" w:w="2211"/>
            <w:shd w:val="clear" w:color="auto" w:fill="1F3864"/>
            <w:tcMar>
              <w:top w:w="32" w:type="dxa"/>
              <w:left w:w="65" w:type="dxa"/>
              <w:bottom w:w="32" w:type="dxa"/>
              <w:right w:w="65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默认级别</w:t>
            </w:r>
          </w:p>
        </w:tc>
      </w:tr>
      <w:tr>
        <w:trPr>
          <w:cantSplit/>
        </w:trPr>
        <w:tc>
          <w:tcPr>
            <w:tcW w:type="dxa" w:w="1644"/>
            <w:tcMar>
              <w:top w:w="34" w:type="dxa"/>
              <w:left w:w="65" w:type="dxa"/>
              <w:bottom w:w="34" w:type="dxa"/>
              <w:right w:w="65" w:type="dxa"/>
            </w:tcMar>
            <w:vAlign w:val="center"/>
          </w:tcPr>
          <w:p>
            <w:pPr>
              <w:keepNext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目标缺口</w:t>
            </w:r>
          </w:p>
        </w:tc>
        <w:tc>
          <w:tcPr>
            <w:tcW w:type="dxa" w:w="5783"/>
            <w:tcMar>
              <w:top w:w="34" w:type="dxa"/>
              <w:left w:w="65" w:type="dxa"/>
              <w:bottom w:w="34" w:type="dxa"/>
              <w:right w:w="65" w:type="dxa"/>
            </w:tcMar>
            <w:vAlign w:val="center"/>
          </w:tcPr>
          <w:p>
            <w:pPr>
              <w:keepNext/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6"/>
              </w:rPr>
              <w:t>时间进度 − 完成进度 ≥3 / 8 / 15 个百分点</w:t>
            </w:r>
          </w:p>
        </w:tc>
        <w:tc>
          <w:tcPr>
            <w:tcW w:type="dxa" w:w="2211"/>
            <w:tcMar>
              <w:top w:w="34" w:type="dxa"/>
              <w:left w:w="65" w:type="dxa"/>
              <w:bottom w:w="34" w:type="dxa"/>
              <w:right w:w="65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6"/>
              </w:rPr>
              <w:t>黄 / 橙 / 红</w:t>
            </w:r>
          </w:p>
        </w:tc>
      </w:tr>
      <w:tr>
        <w:trPr>
          <w:cantSplit/>
        </w:trPr>
        <w:tc>
          <w:tcPr>
            <w:tcW w:type="dxa" w:w="1644"/>
            <w:tcMar>
              <w:top w:w="34" w:type="dxa"/>
              <w:left w:w="65" w:type="dxa"/>
              <w:bottom w:w="34" w:type="dxa"/>
              <w:right w:w="65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业绩下滑</w:t>
            </w:r>
          </w:p>
        </w:tc>
        <w:tc>
          <w:tcPr>
            <w:tcW w:type="dxa" w:w="5783"/>
            <w:tcMar>
              <w:top w:w="34" w:type="dxa"/>
              <w:left w:w="65" w:type="dxa"/>
              <w:bottom w:w="34" w:type="dxa"/>
              <w:right w:w="65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6"/>
              </w:rPr>
              <w:t>日签约额连续 2 天环比下降 ≥20% / 30%</w:t>
            </w:r>
          </w:p>
        </w:tc>
        <w:tc>
          <w:tcPr>
            <w:tcW w:type="dxa" w:w="2211"/>
            <w:tcMar>
              <w:top w:w="34" w:type="dxa"/>
              <w:left w:w="65" w:type="dxa"/>
              <w:bottom w:w="34" w:type="dxa"/>
              <w:right w:w="65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6"/>
              </w:rPr>
              <w:t>橙 / 红</w:t>
            </w:r>
          </w:p>
        </w:tc>
      </w:tr>
      <w:tr>
        <w:trPr>
          <w:cantSplit/>
        </w:trPr>
        <w:tc>
          <w:tcPr>
            <w:tcW w:type="dxa" w:w="1644"/>
            <w:tcMar>
              <w:top w:w="34" w:type="dxa"/>
              <w:left w:w="65" w:type="dxa"/>
              <w:bottom w:w="34" w:type="dxa"/>
              <w:right w:w="65" w:type="dxa"/>
            </w:tcMar>
            <w:vAlign w:val="center"/>
          </w:tcPr>
          <w:p>
            <w:pPr>
              <w:keepNext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线索异常</w:t>
            </w:r>
          </w:p>
        </w:tc>
        <w:tc>
          <w:tcPr>
            <w:tcW w:type="dxa" w:w="5783"/>
            <w:tcMar>
              <w:top w:w="34" w:type="dxa"/>
              <w:left w:w="65" w:type="dxa"/>
              <w:bottom w:w="34" w:type="dxa"/>
              <w:right w:w="65" w:type="dxa"/>
            </w:tcMar>
            <w:vAlign w:val="center"/>
          </w:tcPr>
          <w:p>
            <w:pPr>
              <w:keepNext/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6"/>
              </w:rPr>
              <w:t>周新增线索环比降 ≥30%（橙）；线索转化率环比降 ≥20%（黄）</w:t>
            </w:r>
          </w:p>
        </w:tc>
        <w:tc>
          <w:tcPr>
            <w:tcW w:type="dxa" w:w="2211"/>
            <w:tcMar>
              <w:top w:w="34" w:type="dxa"/>
              <w:left w:w="65" w:type="dxa"/>
              <w:bottom w:w="34" w:type="dxa"/>
              <w:right w:w="65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6"/>
              </w:rPr>
              <w:t>橙 / 黄</w:t>
            </w:r>
          </w:p>
        </w:tc>
      </w:tr>
      <w:tr>
        <w:trPr>
          <w:cantSplit/>
        </w:trPr>
        <w:tc>
          <w:tcPr>
            <w:tcW w:type="dxa" w:w="1644"/>
            <w:tcMar>
              <w:top w:w="34" w:type="dxa"/>
              <w:left w:w="65" w:type="dxa"/>
              <w:bottom w:w="34" w:type="dxa"/>
              <w:right w:w="65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商机覆盖</w:t>
            </w:r>
          </w:p>
        </w:tc>
        <w:tc>
          <w:tcPr>
            <w:tcW w:type="dxa" w:w="5783"/>
            <w:tcMar>
              <w:top w:w="34" w:type="dxa"/>
              <w:left w:w="65" w:type="dxa"/>
              <w:bottom w:w="34" w:type="dxa"/>
              <w:right w:w="65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6"/>
              </w:rPr>
              <w:t>管道金额 / 目标 &lt; 2.5 倍</w:t>
            </w:r>
          </w:p>
        </w:tc>
        <w:tc>
          <w:tcPr>
            <w:tcW w:type="dxa" w:w="2211"/>
            <w:tcMar>
              <w:top w:w="34" w:type="dxa"/>
              <w:left w:w="65" w:type="dxa"/>
              <w:bottom w:w="34" w:type="dxa"/>
              <w:right w:w="65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6"/>
              </w:rPr>
              <w:t>橙</w:t>
            </w:r>
          </w:p>
        </w:tc>
      </w:tr>
      <w:tr>
        <w:trPr>
          <w:cantSplit/>
        </w:trPr>
        <w:tc>
          <w:tcPr>
            <w:tcW w:type="dxa" w:w="1644"/>
            <w:tcMar>
              <w:top w:w="34" w:type="dxa"/>
              <w:left w:w="65" w:type="dxa"/>
              <w:bottom w:w="34" w:type="dxa"/>
              <w:right w:w="65" w:type="dxa"/>
            </w:tcMar>
            <w:vAlign w:val="center"/>
          </w:tcPr>
          <w:p>
            <w:pPr>
              <w:keepNext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大客户流失</w:t>
            </w:r>
          </w:p>
        </w:tc>
        <w:tc>
          <w:tcPr>
            <w:tcW w:type="dxa" w:w="5783"/>
            <w:tcMar>
              <w:top w:w="34" w:type="dxa"/>
              <w:left w:w="65" w:type="dxa"/>
              <w:bottom w:w="34" w:type="dxa"/>
              <w:right w:w="65" w:type="dxa"/>
            </w:tcMar>
            <w:vAlign w:val="center"/>
          </w:tcPr>
          <w:p>
            <w:pPr>
              <w:keepNext/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6"/>
              </w:rPr>
              <w:t>30 天未跟进且商机金额 ≥50 万元</w:t>
            </w:r>
          </w:p>
        </w:tc>
        <w:tc>
          <w:tcPr>
            <w:tcW w:type="dxa" w:w="2211"/>
            <w:tcMar>
              <w:top w:w="34" w:type="dxa"/>
              <w:left w:w="65" w:type="dxa"/>
              <w:bottom w:w="34" w:type="dxa"/>
              <w:right w:w="65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6"/>
              </w:rPr>
              <w:t>红</w:t>
            </w:r>
          </w:p>
        </w:tc>
      </w:tr>
      <w:tr>
        <w:trPr>
          <w:cantSplit/>
        </w:trPr>
        <w:tc>
          <w:tcPr>
            <w:tcW w:type="dxa" w:w="1644"/>
            <w:tcMar>
              <w:top w:w="34" w:type="dxa"/>
              <w:left w:w="65" w:type="dxa"/>
              <w:bottom w:w="34" w:type="dxa"/>
              <w:right w:w="65" w:type="dxa"/>
            </w:tcMar>
            <w:vAlign w:val="center"/>
            <w:shd w:val="clear" w:color="auto" w:fill="F7F9FC"/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订单/回款</w:t>
            </w:r>
          </w:p>
        </w:tc>
        <w:tc>
          <w:tcPr>
            <w:tcW w:type="dxa" w:w="5783"/>
            <w:tcMar>
              <w:top w:w="34" w:type="dxa"/>
              <w:left w:w="65" w:type="dxa"/>
              <w:bottom w:w="34" w:type="dxa"/>
              <w:right w:w="65" w:type="dxa"/>
            </w:tcMar>
            <w:vAlign w:val="center"/>
            <w:shd w:val="clear" w:color="auto" w:fill="F7F9FC"/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6"/>
              </w:rPr>
              <w:t>单笔取消 ≥50 万元，或回款逾期 ≥30 天</w:t>
            </w:r>
          </w:p>
        </w:tc>
        <w:tc>
          <w:tcPr>
            <w:tcW w:type="dxa" w:w="2211"/>
            <w:tcMar>
              <w:top w:w="34" w:type="dxa"/>
              <w:left w:w="65" w:type="dxa"/>
              <w:bottom w:w="34" w:type="dxa"/>
              <w:right w:w="65" w:type="dxa"/>
            </w:tcMar>
            <w:vAlign w:val="center"/>
            <w:shd w:val="clear" w:color="auto" w:fill="F7F9FC"/>
          </w:tcPr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6"/>
              </w:rPr>
              <w:t>红</w:t>
            </w:r>
          </w:p>
        </w:tc>
      </w:tr>
    </w:tbl>
    <w:p>
      <w:pPr>
        <w:spacing w:before="40" w:after="20" w:line="288" w:lineRule="auto"/>
      </w:pPr>
      <w:r>
        <w:rPr>
          <w:rFonts w:ascii="微软雅黑" w:hAnsi="微软雅黑" w:eastAsia="微软雅黑"/>
          <w:b/>
          <w:i w:val="0"/>
          <w:color w:val="2F5597"/>
          <w:sz w:val="18"/>
        </w:rPr>
        <w:t>默认 SLA：</w:t>
      </w:r>
      <w:r>
        <w:rPr>
          <w:rFonts w:ascii="微软雅黑" w:hAnsi="微软雅黑" w:eastAsia="微软雅黑"/>
          <w:b w:val="0"/>
          <w:i w:val="0"/>
          <w:color w:val="333333"/>
          <w:sz w:val="16"/>
        </w:rPr>
        <w:t>红 4 小时/3 个工作日；橙 8 小时/5 个工作日；黄 1 个/10 个工作日；关闭 = 风险解除或上级确认的长期跟踪。</w:t>
      </w:r>
    </w:p>
    <w:p>
      <w:pPr>
        <w:pStyle w:val="Heading1"/>
        <w:keepNext/>
        <w:spacing w:before="180" w:after="60" w:line="240" w:lineRule="auto"/>
        <w:pBdr>
          <w:bottom w:val="single" w:sz="8" w:space="4" w:color="BF9000"/>
        </w:pBdr>
      </w:pPr>
      <w:r>
        <w:rPr>
          <w:rFonts w:ascii="微软雅黑" w:hAnsi="微软雅黑" w:eastAsia="微软雅黑"/>
          <w:b/>
          <w:i w:val="0"/>
          <w:color w:val="BF9000"/>
          <w:sz w:val="26"/>
        </w:rPr>
        <w:t>03</w:t>
      </w:r>
      <w:r>
        <w:rPr>
          <w:rFonts w:ascii="微软雅黑" w:hAnsi="微软雅黑" w:eastAsia="微软雅黑"/>
          <w:b/>
          <w:i w:val="0"/>
          <w:color w:val="1F3864"/>
          <w:sz w:val="28"/>
        </w:rPr>
        <w:t xml:space="preserve">  数据与口径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587"/>
        <w:gridCol w:w="8050"/>
      </w:tblGrid>
      <w:tr>
        <w:trPr>
          <w:cantSplit/>
          <w:tblHeader w:val="true"/>
          <w:trHeight w:val="340" w:hRule="atLeast"/>
        </w:trPr>
        <w:tc>
          <w:tcPr>
            <w:tcW w:type="dxa" w:w="1587"/>
            <w:shd w:val="clear" w:color="auto" w:fill="1F3864"/>
            <w:tcMar>
              <w:top w:w="32" w:type="dxa"/>
              <w:left w:w="65" w:type="dxa"/>
              <w:bottom w:w="32" w:type="dxa"/>
              <w:right w:w="65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项目</w:t>
            </w:r>
          </w:p>
        </w:tc>
        <w:tc>
          <w:tcPr>
            <w:tcW w:type="dxa" w:w="8050"/>
            <w:shd w:val="clear" w:color="auto" w:fill="1F3864"/>
            <w:tcMar>
              <w:top w:w="32" w:type="dxa"/>
              <w:left w:w="65" w:type="dxa"/>
              <w:bottom w:w="32" w:type="dxa"/>
              <w:right w:w="65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1587"/>
            <w:tcMar>
              <w:top w:w="34" w:type="dxa"/>
              <w:left w:w="65" w:type="dxa"/>
              <w:bottom w:w="34" w:type="dxa"/>
              <w:right w:w="65" w:type="dxa"/>
            </w:tcMar>
            <w:vAlign w:val="center"/>
          </w:tcPr>
          <w:p>
            <w:pPr>
              <w:keepNext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数据来源</w:t>
            </w:r>
          </w:p>
        </w:tc>
        <w:tc>
          <w:tcPr>
            <w:tcW w:type="dxa" w:w="8050"/>
            <w:tcMar>
              <w:top w:w="34" w:type="dxa"/>
              <w:left w:w="65" w:type="dxa"/>
              <w:bottom w:w="34" w:type="dxa"/>
              <w:right w:w="65" w:type="dxa"/>
            </w:tcMar>
            <w:vAlign w:val="center"/>
          </w:tcPr>
          <w:p>
            <w:pPr>
              <w:keepNext/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6"/>
              </w:rPr>
              <w:t>CRM（线索、客户、商机、合同）；ERP/财务（订单、回款）；投放平台（曝光、点击、线索、费用）；目标系统；HR/钉钉/企微（组织人员）。</w:t>
            </w:r>
          </w:p>
        </w:tc>
      </w:tr>
      <w:tr>
        <w:trPr>
          <w:cantSplit/>
        </w:trPr>
        <w:tc>
          <w:tcPr>
            <w:tcW w:type="dxa" w:w="1587"/>
            <w:tcMar>
              <w:top w:w="34" w:type="dxa"/>
              <w:left w:w="65" w:type="dxa"/>
              <w:bottom w:w="34" w:type="dxa"/>
              <w:right w:w="65" w:type="dxa"/>
            </w:tcMar>
            <w:vAlign w:val="center"/>
            <w:shd w:val="clear" w:color="auto" w:fill="F7F9FC"/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时效、质量与安全</w:t>
            </w:r>
          </w:p>
        </w:tc>
        <w:tc>
          <w:tcPr>
            <w:tcW w:type="dxa" w:w="8050"/>
            <w:tcMar>
              <w:top w:w="34" w:type="dxa"/>
              <w:left w:w="65" w:type="dxa"/>
              <w:bottom w:w="34" w:type="dxa"/>
              <w:right w:w="65" w:type="dxa"/>
            </w:tcMar>
            <w:vAlign w:val="center"/>
            <w:shd w:val="clear" w:color="auto" w:fill="F7F9FC"/>
          </w:tcPr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6"/>
              </w:rPr>
              <w:t>每日 06:00 同步、08:00 前完成；08:30 日报、周一 09:00 周报。核心字段完整率 ≥98%，源系统一致率 ≥99.5%，汇总与明细偏差 ≤0.5%；汇总可下钻，历史保留 ≥12 个月，敏感字段脱敏、导出审计。</w:t>
            </w:r>
          </w:p>
        </w:tc>
      </w:tr>
    </w:tbl>
    <w:p>
      <w:pPr>
        <w:pStyle w:val="Heading1"/>
        <w:keepNext/>
        <w:spacing w:before="180" w:after="60" w:line="240" w:lineRule="auto"/>
        <w:pBdr>
          <w:bottom w:val="single" w:sz="8" w:space="4" w:color="BF9000"/>
        </w:pBdr>
      </w:pPr>
      <w:r>
        <w:rPr>
          <w:rFonts w:ascii="微软雅黑" w:hAnsi="微软雅黑" w:eastAsia="微软雅黑"/>
          <w:b/>
          <w:i w:val="0"/>
          <w:color w:val="BF9000"/>
          <w:sz w:val="26"/>
        </w:rPr>
        <w:t>04</w:t>
      </w:r>
      <w:r>
        <w:rPr>
          <w:rFonts w:ascii="微软雅黑" w:hAnsi="微软雅黑" w:eastAsia="微软雅黑"/>
          <w:b/>
          <w:i w:val="0"/>
          <w:color w:val="1F3864"/>
          <w:sz w:val="28"/>
        </w:rPr>
        <w:t xml:space="preserve">  边界与非目标</w:t>
      </w:r>
    </w:p>
    <w:p>
      <w:pPr>
        <w:spacing w:before="20" w:after="40" w:line="288" w:lineRule="auto"/>
      </w:pPr>
      <w:r>
        <w:rPr>
          <w:rFonts w:ascii="微软雅黑" w:hAnsi="微软雅黑" w:eastAsia="微软雅黑"/>
          <w:b/>
          <w:i w:val="0"/>
          <w:color w:val="2F5597"/>
          <w:sz w:val="18"/>
        </w:rPr>
        <w:t>不做：</w:t>
      </w:r>
      <w:r>
        <w:rPr>
          <w:rFonts w:ascii="微软雅黑" w:hAnsi="微软雅黑" w:eastAsia="微软雅黑"/>
          <w:b w:val="0"/>
          <w:i w:val="0"/>
          <w:color w:val="333333"/>
          <w:sz w:val="18"/>
        </w:rPr>
        <w:t>CRM/ERP 替代或回写、自助 BI、AI 预测/归因、绩效提成、外部舆情/竞品、原生 App/秒级实时、非量化风险；一线销售首版不独立开户。</w:t>
      </w:r>
    </w:p>
    <w:p>
      <w:pPr>
        <w:spacing w:before="0" w:after="40" w:line="288" w:lineRule="auto"/>
      </w:pPr>
      <w:r>
        <w:rPr>
          <w:rFonts w:ascii="微软雅黑" w:hAnsi="微软雅黑" w:eastAsia="微软雅黑"/>
          <w:b/>
          <w:i w:val="0"/>
          <w:color w:val="2F5597"/>
          <w:sz w:val="18"/>
        </w:rPr>
        <w:t>替代：</w:t>
      </w:r>
      <w:r>
        <w:rPr>
          <w:rFonts w:ascii="微软雅黑" w:hAnsi="微软雅黑" w:eastAsia="微软雅黑"/>
          <w:b w:val="0"/>
          <w:i w:val="0"/>
          <w:color w:val="333333"/>
          <w:sz w:val="18"/>
        </w:rPr>
        <w:t>固定模板 + 受限下钻；PC Web + 钉钉/企微 H5，T+1 日批；修正走源系统或补录单。</w:t>
      </w:r>
    </w:p>
    <w:p>
      <w:pPr>
        <w:pStyle w:val="Heading1"/>
        <w:keepNext/>
        <w:spacing w:before="180" w:after="60" w:line="240" w:lineRule="auto"/>
        <w:pBdr>
          <w:bottom w:val="single" w:sz="8" w:space="4" w:color="BF9000"/>
        </w:pBdr>
      </w:pPr>
      <w:r>
        <w:rPr>
          <w:rFonts w:ascii="微软雅黑" w:hAnsi="微软雅黑" w:eastAsia="微软雅黑"/>
          <w:b/>
          <w:i w:val="0"/>
          <w:color w:val="BF9000"/>
          <w:sz w:val="26"/>
        </w:rPr>
        <w:t>05</w:t>
      </w:r>
      <w:r>
        <w:rPr>
          <w:rFonts w:ascii="微软雅黑" w:hAnsi="微软雅黑" w:eastAsia="微软雅黑"/>
          <w:b/>
          <w:i w:val="0"/>
          <w:color w:val="1F3864"/>
          <w:sz w:val="28"/>
        </w:rPr>
        <w:t xml:space="preserve">  验收门槛</w:t>
      </w:r>
    </w:p>
    <w:p>
      <w:pPr>
        <w:spacing w:before="0" w:after="36" w:line="288" w:lineRule="auto"/>
        <w:ind w:left="272" w:hanging="272"/>
      </w:pPr>
      <w:r>
        <w:rPr>
          <w:rFonts w:ascii="微软雅黑" w:hAnsi="微软雅黑" w:eastAsia="微软雅黑"/>
          <w:b/>
          <w:i w:val="0"/>
          <w:color w:val="BF9000"/>
          <w:sz w:val="17"/>
        </w:rPr>
        <w:t xml:space="preserve">•  </w:t>
      </w:r>
      <w:r>
        <w:rPr>
          <w:rFonts w:ascii="微软雅黑" w:hAnsi="微软雅黑" w:eastAsia="微软雅黑"/>
          <w:b/>
          <w:i w:val="0"/>
          <w:color w:val="333333"/>
          <w:sz w:val="17"/>
        </w:rPr>
        <w:t>范围与缺陷：</w:t>
      </w:r>
      <w:r>
        <w:rPr>
          <w:rFonts w:ascii="微软雅黑" w:hAnsi="微软雅黑" w:eastAsia="微软雅黑"/>
          <w:b w:val="0"/>
          <w:i w:val="0"/>
          <w:color w:val="333333"/>
          <w:sz w:val="17"/>
        </w:rPr>
        <w:t>2 个 Must have 全部验收标准通过；20 个端到端场景 ≥18 个通过；P0/P1 缺陷 0，P2 ≤5 且有规避方案。</w:t>
      </w:r>
    </w:p>
    <w:p>
      <w:pPr>
        <w:spacing w:before="0" w:after="36" w:line="288" w:lineRule="auto"/>
        <w:ind w:left="272" w:hanging="272"/>
      </w:pPr>
      <w:r>
        <w:rPr>
          <w:rFonts w:ascii="微软雅黑" w:hAnsi="微软雅黑" w:eastAsia="微软雅黑"/>
          <w:b/>
          <w:i w:val="0"/>
          <w:color w:val="BF9000"/>
          <w:sz w:val="17"/>
        </w:rPr>
        <w:t xml:space="preserve">•  </w:t>
      </w:r>
      <w:r>
        <w:rPr>
          <w:rFonts w:ascii="微软雅黑" w:hAnsi="微软雅黑" w:eastAsia="微软雅黑"/>
          <w:b/>
          <w:i w:val="0"/>
          <w:color w:val="333333"/>
          <w:sz w:val="17"/>
        </w:rPr>
        <w:t>权限与安全：</w:t>
      </w:r>
      <w:r>
        <w:rPr>
          <w:rFonts w:ascii="微软雅黑" w:hAnsi="微软雅黑" w:eastAsia="微软雅黑"/>
          <w:b w:val="0"/>
          <w:i w:val="0"/>
          <w:color w:val="333333"/>
          <w:sz w:val="17"/>
        </w:rPr>
        <w:t>越权访问 0 次；敏感字段脱敏率 100%；4 类角色权限矩阵 100% 通过。</w:t>
      </w:r>
    </w:p>
    <w:p>
      <w:pPr>
        <w:spacing w:before="0" w:after="36" w:line="288" w:lineRule="auto"/>
        <w:ind w:left="272" w:hanging="272"/>
      </w:pPr>
      <w:r>
        <w:rPr>
          <w:rFonts w:ascii="微软雅黑" w:hAnsi="微软雅黑" w:eastAsia="微软雅黑"/>
          <w:b/>
          <w:i w:val="0"/>
          <w:color w:val="BF9000"/>
          <w:sz w:val="17"/>
        </w:rPr>
        <w:t xml:space="preserve">•  </w:t>
      </w:r>
      <w:r>
        <w:rPr>
          <w:rFonts w:ascii="微软雅黑" w:hAnsi="微软雅黑" w:eastAsia="微软雅黑"/>
          <w:b/>
          <w:i w:val="0"/>
          <w:color w:val="333333"/>
          <w:sz w:val="17"/>
        </w:rPr>
        <w:t>数据与时效：</w:t>
      </w:r>
      <w:r>
        <w:rPr>
          <w:rFonts w:ascii="微软雅黑" w:hAnsi="微软雅黑" w:eastAsia="微软雅黑"/>
          <w:b w:val="0"/>
          <w:i w:val="0"/>
          <w:color w:val="333333"/>
          <w:sz w:val="17"/>
        </w:rPr>
        <w:t>连续 10 个工作日数据准确率 ≥99.5%；日报/周报按时推送率 100%。</w:t>
      </w:r>
    </w:p>
    <w:p>
      <w:pPr>
        <w:spacing w:before="0" w:after="36" w:line="288" w:lineRule="auto"/>
        <w:ind w:left="272" w:hanging="272"/>
      </w:pPr>
      <w:r>
        <w:rPr>
          <w:rFonts w:ascii="微软雅黑" w:hAnsi="微软雅黑" w:eastAsia="微软雅黑"/>
          <w:b/>
          <w:i w:val="0"/>
          <w:color w:val="BF9000"/>
          <w:sz w:val="17"/>
        </w:rPr>
        <w:t xml:space="preserve">•  </w:t>
      </w:r>
      <w:r>
        <w:rPr>
          <w:rFonts w:ascii="微软雅黑" w:hAnsi="微软雅黑" w:eastAsia="微软雅黑"/>
          <w:b/>
          <w:i w:val="0"/>
          <w:color w:val="333333"/>
          <w:sz w:val="17"/>
        </w:rPr>
        <w:t>风险与价值：</w:t>
      </w:r>
      <w:r>
        <w:rPr>
          <w:rFonts w:ascii="微软雅黑" w:hAnsi="微软雅黑" w:eastAsia="微软雅黑"/>
          <w:b w:val="0"/>
          <w:i w:val="0"/>
          <w:color w:val="333333"/>
          <w:sz w:val="17"/>
        </w:rPr>
        <w:t>30 天试运行预警精确率 ≥85%、高风险 4 小时认领率 ≥95%、闭环率 ≥90%、误报率 ≤15%；管理层 5 分钟内看清全貌，日报人工工时下降 ≥80%。</w:t>
      </w:r>
    </w:p>
    <w:p>
      <w:pPr>
        <w:spacing w:before="80" w:after="0" w:line="288" w:lineRule="auto"/>
        <w:pBdr>
          <w:top w:val="single" w:sz="4" w:space="6" w:color="D9D9D9"/>
        </w:pBdr>
      </w:pPr>
      <w:r>
        <w:rPr>
          <w:rFonts w:ascii="微软雅黑" w:hAnsi="微软雅黑" w:eastAsia="微软雅黑"/>
          <w:b/>
          <w:i w:val="0"/>
          <w:color w:val="666666"/>
          <w:sz w:val="16"/>
        </w:rPr>
        <w:t>评审签收：</w:t>
      </w:r>
      <w:r>
        <w:rPr>
          <w:rFonts w:ascii="微软雅黑" w:hAnsi="微软雅黑" w:eastAsia="微软雅黑"/>
          <w:b w:val="0"/>
          <w:i w:val="0"/>
          <w:color w:val="666666"/>
          <w:sz w:val="16"/>
        </w:rPr>
        <w:t>四类角色代表确认范围、权限与验收口径后签字归档；附件（指标字典、权限矩阵、风险规则、UAT 场景、字段映射表）评审后冻结。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  <w:spacing w:before="0" w:after="0"/>
    </w:pPr>
    <w:r>
      <w:rPr>
        <w:rFonts w:ascii="微软雅黑" w:hAnsi="微软雅黑" w:eastAsia="微软雅黑"/>
        <w:b w:val="0"/>
        <w:i w:val="0"/>
        <w:color w:val="666666"/>
        <w:sz w:val="16"/>
      </w:rPr>
      <w:t>内部资料 ｜ 2026-10-24</w:t>
    </w:r>
    <w:r>
      <w:tab/>
    </w:r>
    <w:r>
      <w:rPr>
        <w:rFonts w:ascii="微软雅黑" w:hAnsi="微软雅黑" w:eastAsia="微软雅黑"/>
        <w:b w:val="0"/>
        <w:i w:val="0"/>
        <w:color w:val="666666"/>
        <w:sz w:val="16"/>
      </w:rPr>
      <w:t xml:space="preserve">第 </w:t>
    </w:r>
    <w:r>
      <w:rPr>
        <w:rFonts w:ascii="微软雅黑" w:hAnsi="微软雅黑" w:eastAsia="微软雅黑"/>
        <w:b w:val="0"/>
        <w:i w:val="0"/>
        <w:color w:val="666666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微软雅黑" w:hAnsi="微软雅黑" w:eastAsia="微软雅黑"/>
        <w:b w:val="0"/>
        <w:i w:val="0"/>
        <w:color w:val="666666"/>
        <w:sz w:val="16"/>
      </w:rPr>
      <w:t xml:space="preserve"> 页 / 共 </w:t>
    </w:r>
    <w:r>
      <w:rPr>
        <w:rFonts w:ascii="微软雅黑" w:hAnsi="微软雅黑" w:eastAsia="微软雅黑"/>
        <w:b w:val="0"/>
        <w:i w:val="0"/>
        <w:color w:val="666666"/>
        <w:sz w:val="16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微软雅黑" w:hAnsi="微软雅黑" w:eastAsia="微软雅黑"/>
        <w:b w:val="0"/>
        <w:i w:val="0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4" w:space="2" w:color="D9D9D9"/>
      </w:pBdr>
    </w:pPr>
    <w:r>
      <w:rPr>
        <w:rFonts w:ascii="微软雅黑" w:hAnsi="微软雅黑" w:eastAsia="微软雅黑"/>
        <w:b w:val="0"/>
        <w:i w:val="0"/>
        <w:color w:val="666666"/>
        <w:sz w:val="16"/>
      </w:rPr>
      <w:t>营销日周动态汇总与风险预警 ｜ PRD V0.2 简化版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88" w:lineRule="auto"/>
    </w:pPr>
    <w:rPr>
      <w:rFonts w:ascii="微软雅黑" w:hAnsi="微软雅黑" w:eastAsia="微软雅黑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营销日周动态汇总与风险预警 PRD 一页纸（V0.2 简化版）</dc:title>
  <dc:subject>PRD 一页纸 V0.2 简化版</dc:subject>
  <dc:creator>产品团队</dc:creator>
  <cp:keywords/>
  <dc:description>在 V0.1 基础上精简表述，范围与口径不变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