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pBdr>
          <w:bottom w:val="single" w:sz="8" w:space="4" w:color="1F4E79"/>
        </w:pBdr>
      </w:pPr>
      <w:r>
        <w:rPr>
          <w:rFonts w:ascii="Segoe UI" w:hAnsi="Segoe UI" w:eastAsia="微软雅黑"/>
          <w:b/>
          <w:color w:val="1F364D"/>
          <w:sz w:val="30"/>
        </w:rPr>
        <w:t>营销日周动态汇总与风险预警 MVP V0.1 验收报告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报告编号：MVP-ACC-2026-10-25-01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版本：V1.0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验收日期：2026-10-25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验收对象：营销日周动态汇总与风险预警 MVP V0.1（PC Web + FastAPI + SQLite）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报告性质：在既有独立测试、独立验收和 1000 条专项测试基础上做汇总复核，并补跑全量自动化回归；不替代独立验收方的原始报告</w:t>
      </w:r>
    </w:p>
    <w:p>
      <w:pPr>
        <w:spacing w:before="40" w:after="80"/>
        <w:ind w:left="227"/>
      </w:pPr>
      <w:r>
        <w:rPr>
          <w:rFonts w:ascii="Segoe UI" w:hAnsi="Segoe UI" w:eastAsia="微软雅黑"/>
          <w:b/>
          <w:color w:val="5A6B7A"/>
          <w:sz w:val="17"/>
        </w:rPr>
        <w:t>验收结论：通过（MVP 演示/试点范围）。同意内部演示和试点准备，不同意生产上线。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一句话：核心闭环已经跑通，数据、权限、风险、导出和 1000 条线索专项都有证据；但定时调度、真实数据源、真实推送、12 条规则和生产安全还没有完成，不能把“演示通过”当成“生产就绪”。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一、结论先说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18"/>
        <w:gridCol w:w="8114"/>
      </w:tblGrid>
      <w:tr>
        <w:trPr>
          <w:tblHeader w:val="true"/>
          <w:cantSplit w:val="true"/>
        </w:trPr>
        <w:tc>
          <w:tcPr>
            <w:tcW w:type="dxa" w:w="231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问题</w:t>
            </w:r>
          </w:p>
        </w:tc>
        <w:tc>
          <w:tcPr>
            <w:tcW w:type="dxa" w:w="8114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本轮验收是否通过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通过</w:t>
            </w:r>
            <w:r>
              <w:rPr>
                <w:rFonts w:ascii="Segoe UI" w:hAnsi="Segoe UI" w:eastAsia="微软雅黑"/>
                <w:b w:val="0"/>
                <w:sz w:val="16"/>
              </w:rPr>
              <w:t>，限定为 MVP 演示/试点范围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两个必保功能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日/周简报、风险识别与闭环均通过；风险范围按用户确认的 6 类交付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有没有阻断问题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没有。P0=0、P1=0、P2=0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还有哪些改进项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 个 P3：无定时器、组织级投入产出比分母口径、失败横幅挤首屏、坏数据提示太笼统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能不能上生产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不能</w:t>
            </w:r>
            <w:r>
              <w:rPr>
                <w:rFonts w:ascii="Segoe UI" w:hAnsi="Segoe UI" w:eastAsia="微软雅黑"/>
                <w:b w:val="0"/>
                <w:sz w:val="16"/>
              </w:rPr>
              <w:t>。真实 CRM/ERP、真实推送、定时调度、12 条规则、生产安全、并发和留存均未验证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本次补跑结果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 xml:space="preserve">全量独立回归 </w:t>
            </w:r>
            <w:r>
              <w:rPr>
                <w:rFonts w:ascii="Segoe UI" w:hAnsi="Segoe UI" w:eastAsia="微软雅黑"/>
                <w:b/>
                <w:sz w:val="16"/>
              </w:rPr>
              <w:t>102/102 通过</w:t>
            </w:r>
            <w:r>
              <w:rPr>
                <w:rFonts w:ascii="Segoe UI" w:hAnsi="Segoe UI" w:eastAsia="微软雅黑"/>
                <w:b w:val="0"/>
                <w:sz w:val="16"/>
              </w:rPr>
              <w:t>，52.49 秒；演示库哈希前后一致，未被修改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1.1 为什么可以放行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/>
          <w:sz w:val="18"/>
        </w:rPr>
        <w:t>主流程完整</w:t>
      </w:r>
      <w:r>
        <w:rPr>
          <w:rFonts w:ascii="Segoe UI" w:hAnsi="Segoe UI" w:eastAsia="微软雅黑"/>
          <w:b w:val="0"/>
          <w:sz w:val="18"/>
        </w:rPr>
        <w:t>：取数 → 12 项指标 → 6 类风险 → 日报/周报 → 认领/转派/关闭 → 审计，能从头走到尾。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/>
          <w:sz w:val="18"/>
        </w:rPr>
        <w:t>数据算得对</w:t>
      </w:r>
      <w:r>
        <w:rPr>
          <w:rFonts w:ascii="Segoe UI" w:hAnsi="Segoe UI" w:eastAsia="微软雅黑"/>
          <w:b w:val="0"/>
          <w:sz w:val="18"/>
        </w:rPr>
        <w:t>：演示日 48/48、10 个工作日 480/480 与源数据独立复算一致；金额误差 0 元，比率误差 0 个百分点。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/>
          <w:sz w:val="18"/>
        </w:rPr>
        <w:t>风险找得准</w:t>
      </w:r>
      <w:r>
        <w:rPr>
          <w:rFonts w:ascii="Segoe UI" w:hAnsi="Segoe UI" w:eastAsia="微软雅黑"/>
          <w:b w:val="0"/>
          <w:sz w:val="18"/>
        </w:rPr>
        <w:t>：10 条预期风险 10/10 命中，类别、级别、对象、负责人、金额全部一致。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/>
          <w:sz w:val="18"/>
        </w:rPr>
        <w:t>权限和脱敏过关</w:t>
      </w:r>
      <w:r>
        <w:rPr>
          <w:rFonts w:ascii="Segoe UI" w:hAnsi="Segoe UI" w:eastAsia="微软雅黑"/>
          <w:b w:val="0"/>
          <w:sz w:val="18"/>
        </w:rPr>
        <w:t>：37 项 + 15 项权限检查通过；未登录 401、越权 403；手机号、邮箱在页面、接口、Excel、打印页均打码。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/>
          <w:sz w:val="18"/>
        </w:rPr>
        <w:t>1000 条数据过关</w:t>
      </w:r>
      <w:r>
        <w:rPr>
          <w:rFonts w:ascii="Segoe UI" w:hAnsi="Segoe UI" w:eastAsia="微软雅黑"/>
          <w:b w:val="0"/>
          <w:sz w:val="18"/>
        </w:rPr>
        <w:t>：1,000 行逐字段入库，30 天日计数一致，质量 100 分；专项 18/18，全量 102/102。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1.2 为什么不能上生产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没有定时调度器，当前靠人工触发；“08:30 发布”是计划时间，不是实际自动生成时间。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数据来自 10 个 CSV，未接真实 CRM/ERP；没有真实钉钉、企微、邮件推送，只有站内通知。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风险规则为 6 类、8 个独立触发条件，不是 PRD 原文的“至少 12 条规则”。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演示登录无密码、HTTP Cookie、无 CSRF、导出二次确认只在前端、Excel 公式注入未修；不能放公网。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没做 50 并发压测、12 个月留存、真实数据试点，不能回答生产环境的性能和效果问题。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二、验收依据、对象和方法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2.1 验收依据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961"/>
        <w:gridCol w:w="4471"/>
      </w:tblGrid>
      <w:tr>
        <w:trPr>
          <w:tblHeader w:val="true"/>
          <w:cantSplit w:val="true"/>
        </w:trPr>
        <w:tc>
          <w:tcPr>
            <w:tcW w:type="dxa" w:w="596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依据</w:t>
            </w:r>
          </w:p>
        </w:tc>
        <w:tc>
          <w:tcPr>
            <w:tcW w:type="dxa" w:w="447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596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PRD V0.2、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开发规划_MVP_V0.1.md</w:t>
            </w:r>
          </w:p>
        </w:tc>
        <w:tc>
          <w:tcPr>
            <w:tcW w:type="dxa" w:w="447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功能范围、验收门槛、完成定义</w:t>
            </w:r>
          </w:p>
        </w:tc>
      </w:tr>
      <w:tr>
        <w:trPr>
          <w:cantSplit w:val="true"/>
        </w:trPr>
        <w:tc>
          <w:tcPr>
            <w:tcW w:type="dxa" w:w="596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DOD验收标准-营销日周动态汇总与风险预警_V0.1</w:t>
            </w:r>
          </w:p>
        </w:tc>
        <w:tc>
          <w:tcPr>
            <w:tcW w:type="dxa" w:w="447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区分 L1 演示、L2 试点、L3 生产三级门槛</w:t>
            </w:r>
          </w:p>
        </w:tc>
      </w:tr>
      <w:tr>
        <w:trPr>
          <w:cantSplit w:val="true"/>
        </w:trPr>
        <w:tc>
          <w:tcPr>
            <w:tcW w:type="dxa" w:w="596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MVP_V0.1/docs/验收报告.md</w:t>
            </w:r>
          </w:p>
        </w:tc>
        <w:tc>
          <w:tcPr>
            <w:tcW w:type="dxa" w:w="447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独立验收方的原始 Gate C 结论和证据</w:t>
            </w:r>
          </w:p>
        </w:tc>
      </w:tr>
      <w:tr>
        <w:trPr>
          <w:cantSplit w:val="true"/>
        </w:trPr>
        <w:tc>
          <w:tcPr>
            <w:tcW w:type="dxa" w:w="596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MVP_V0.1/docs/测试报告.md</w:t>
            </w:r>
          </w:p>
        </w:tc>
        <w:tc>
          <w:tcPr>
            <w:tcW w:type="dxa" w:w="447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独立测试方的 Gate B 结论和证据</w:t>
            </w:r>
          </w:p>
        </w:tc>
      </w:tr>
      <w:tr>
        <w:trPr>
          <w:cantSplit w:val="true"/>
        </w:trPr>
        <w:tc>
          <w:tcPr>
            <w:tcW w:type="dxa" w:w="596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测试报告_1000条线索数据_V0.1.pdf</w:t>
            </w:r>
          </w:p>
        </w:tc>
        <w:tc>
          <w:tcPr>
            <w:tcW w:type="dxa" w:w="447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条线索专项测试结果</w:t>
            </w:r>
          </w:p>
        </w:tc>
      </w:tr>
      <w:tr>
        <w:trPr>
          <w:cantSplit w:val="true"/>
        </w:trPr>
        <w:tc>
          <w:tcPr>
            <w:tcW w:type="dxa" w:w="596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 xml:space="preserve">本次补跑 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pytest tests/independent -q</w:t>
            </w:r>
          </w:p>
        </w:tc>
        <w:tc>
          <w:tcPr>
            <w:tcW w:type="dxa" w:w="447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复核当前代码状态，确认 102 项仍全部通过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2.2 验收对象和范围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6051"/>
        <w:gridCol w:w="4381"/>
      </w:tblGrid>
      <w:tr>
        <w:trPr>
          <w:tblHeader w:val="true"/>
          <w:cantSplit w:val="true"/>
        </w:trPr>
        <w:tc>
          <w:tcPr>
            <w:tcW w:type="dxa" w:w="60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纳入本轮验收</w:t>
            </w:r>
          </w:p>
        </w:tc>
        <w:tc>
          <w:tcPr>
            <w:tcW w:type="dxa" w:w="438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不纳入本轮验收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电脑网页（PC Web，1280–1600px）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手机端/H5（本期明确不做）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四类角色：总经理、销售总监、事业部总经理、部门销售经理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生产账号体系、单点登录、权限后台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日报、周报、指标中心、风险中心、规则查看、导出、打印、审计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真实钉钉/企微/邮件推送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个 CSV、30 天、2,083 行演示数据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 CRM/ERP 对接、增量同步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类风险、红/橙/黄分级、认领/转派/关闭/升级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条完整规则库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手机号/邮箱脱敏、行级权限、审计留痕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 并发、12 个月留存、附件、复杂审批</w:t>
            </w:r>
          </w:p>
        </w:tc>
      </w:tr>
      <w:tr>
        <w:trPr>
          <w:cantSplit w:val="true"/>
        </w:trPr>
        <w:tc>
          <w:tcPr>
            <w:tcW w:type="dxa" w:w="60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条线索专项数据</w:t>
            </w:r>
          </w:p>
        </w:tc>
        <w:tc>
          <w:tcPr>
            <w:tcW w:type="dxa" w:w="438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真实数据试点效果指标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2.3 验收方法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1. </w:t>
      </w:r>
      <w:r>
        <w:rPr>
          <w:rFonts w:ascii="Segoe UI" w:hAnsi="Segoe UI" w:eastAsia="微软雅黑"/>
          <w:b/>
          <w:sz w:val="18"/>
        </w:rPr>
        <w:t>文档复核</w:t>
      </w:r>
      <w:r>
        <w:rPr>
          <w:rFonts w:ascii="Segoe UI" w:hAnsi="Segoe UI" w:eastAsia="微软雅黑"/>
          <w:b w:val="0"/>
          <w:sz w:val="18"/>
        </w:rPr>
        <w:t>：逐项对照 PRD、开发规划、DOD 和既有测试/验收报告。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2. </w:t>
      </w:r>
      <w:r>
        <w:rPr>
          <w:rFonts w:ascii="Segoe UI" w:hAnsi="Segoe UI" w:eastAsia="微软雅黑"/>
          <w:b/>
          <w:sz w:val="18"/>
        </w:rPr>
        <w:t>证据抽查</w:t>
      </w:r>
      <w:r>
        <w:rPr>
          <w:rFonts w:ascii="Segoe UI" w:hAnsi="Segoe UI" w:eastAsia="微软雅黑"/>
          <w:b w:val="0"/>
          <w:sz w:val="18"/>
        </w:rPr>
        <w:t>：核对指标复算表、风险清单、权限检查、脱敏结果、导出文件、审计记录和 UI 截图。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3. </w:t>
      </w:r>
      <w:r>
        <w:rPr>
          <w:rFonts w:ascii="Segoe UI" w:hAnsi="Segoe UI" w:eastAsia="微软雅黑"/>
          <w:b/>
          <w:sz w:val="18"/>
        </w:rPr>
        <w:t>补跑回归</w:t>
      </w:r>
      <w:r>
        <w:rPr>
          <w:rFonts w:ascii="Segoe UI" w:hAnsi="Segoe UI" w:eastAsia="微软雅黑"/>
          <w:b w:val="0"/>
          <w:sz w:val="18"/>
        </w:rPr>
        <w:t>：2026-10-25 在 MVP 自带环境运行全量独立回归，结果为 102 passed、1 warning、52.49 秒。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4. </w:t>
      </w:r>
      <w:r>
        <w:rPr>
          <w:rFonts w:ascii="Segoe UI" w:hAnsi="Segoe UI" w:eastAsia="微软雅黑"/>
          <w:b/>
          <w:sz w:val="18"/>
        </w:rPr>
        <w:t>库完整性检查</w:t>
      </w:r>
      <w:r>
        <w:rPr>
          <w:rFonts w:ascii="Segoe UI" w:hAnsi="Segoe UI" w:eastAsia="微软雅黑"/>
          <w:b w:val="0"/>
          <w:sz w:val="18"/>
        </w:rPr>
        <w:t xml:space="preserve">：补跑前后分别计算 </w:t>
      </w:r>
      <w:r>
        <w:rPr>
          <w:rFonts w:ascii="Consolas" w:hAnsi="Consolas" w:eastAsia="微软雅黑"/>
          <w:b w:val="0"/>
          <w:color w:val="1F4E79"/>
          <w:sz w:val="17"/>
        </w:rPr>
        <w:t>data/mvp.db</w:t>
      </w:r>
      <w:r>
        <w:rPr>
          <w:rFonts w:ascii="Segoe UI" w:hAnsi="Segoe UI" w:eastAsia="微软雅黑"/>
          <w:b w:val="0"/>
          <w:sz w:val="18"/>
        </w:rPr>
        <w:t xml:space="preserve"> 的 SHA-256，两次一致，证明本轮没有修改演示库。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5. </w:t>
      </w:r>
      <w:r>
        <w:rPr>
          <w:rFonts w:ascii="Segoe UI" w:hAnsi="Segoe UI" w:eastAsia="微软雅黑"/>
          <w:b/>
          <w:sz w:val="18"/>
        </w:rPr>
        <w:t>范围隔离</w:t>
      </w:r>
      <w:r>
        <w:rPr>
          <w:rFonts w:ascii="Segoe UI" w:hAnsi="Segoe UI" w:eastAsia="微软雅黑"/>
          <w:b w:val="0"/>
          <w:sz w:val="18"/>
        </w:rPr>
        <w:t xml:space="preserve">：所有破坏性测试使用临时数据库和临时源目录；未打开、未修改 </w:t>
      </w:r>
      <w:r>
        <w:rPr>
          <w:rFonts w:ascii="Consolas" w:hAnsi="Consolas" w:eastAsia="微软雅黑"/>
          <w:b w:val="0"/>
          <w:color w:val="1F4E79"/>
          <w:sz w:val="17"/>
        </w:rPr>
        <w:t>update_claude_api_key.py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三、本轮放行门禁逐项判定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76"/>
        <w:gridCol w:w="3445"/>
        <w:gridCol w:w="4133"/>
        <w:gridCol w:w="1378"/>
      </w:tblGrid>
      <w:tr>
        <w:trPr>
          <w:tblHeader w:val="true"/>
          <w:cantSplit w:val="true"/>
        </w:trPr>
        <w:tc>
          <w:tcPr>
            <w:tcW w:type="dxa" w:w="14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门禁项</w:t>
            </w:r>
          </w:p>
        </w:tc>
        <w:tc>
          <w:tcPr>
            <w:tcW w:type="dxa" w:w="3445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通过线</w:t>
            </w:r>
          </w:p>
        </w:tc>
        <w:tc>
          <w:tcPr>
            <w:tcW w:type="dxa" w:w="4133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实测结果</w:t>
            </w:r>
          </w:p>
        </w:tc>
        <w:tc>
          <w:tcPr>
            <w:tcW w:type="dxa" w:w="137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M1 日/周简报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结构完整、四角色可用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 条结论、6 张指标卡、增长/下降前三、风险前三、动作建议、数据说明齐全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M2 风险识别与闭环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类风险、分级、SLA、认领/转派/关闭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条风险与预期 10/10 对上；证据、SLA、两级升级、24 小时合并、审计均通过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通过（按确认的 6 类范围）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端到端场景（Gate B）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 个至少 18 个通过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20/20 通过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独立验收主场景（Gate C）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至少 18/20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29/29 主场景；另抽查 33/33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P0/P1 缺陷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均为 0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P0=0、P1=0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P2 缺陷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≤5 且有规避方案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P2=0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四类角色权限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矩阵 100%；越权 0 成功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37/37 + 补充 15/15；未登录 401、跨组织/越权 403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敏感字段脱敏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手机号、邮箱 100%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JSON、Excel、打印页均无完整值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项指标复算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一致率 ≥99.5%；金额误差 ≤1 元；比率误差 ≤0.1 个百分点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演示日 48/48、10 个工作日 480/480；误差 0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同日重复跑批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连续 3 次结果一致、不重复生成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 次业务数据一致，仅批次号不同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预期风险对照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条全部命中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10/10，类别、级别、对象、负责人、金额一致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规则范围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用户确认本轮按 6 类交付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类、8 个独立触发条件；用户 2026-10-24 已确认，12 条规则下一版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通过（按确认范围）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批次 08:00 前完成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每日 08:00 前跑完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无调度器；本次为人工触发，批次本身 51 毫秒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未验证，列入试点门槛</w:t>
            </w:r>
          </w:p>
        </w:tc>
      </w:tr>
      <w:tr>
        <w:trPr>
          <w:cantSplit w:val="true"/>
        </w:trPr>
        <w:tc>
          <w:tcPr>
            <w:tcW w:type="dxa" w:w="14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手机端</w:t>
            </w:r>
          </w:p>
        </w:tc>
        <w:tc>
          <w:tcPr>
            <w:tcW w:type="dxa" w:w="344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本期不做，路由应不存在</w:t>
            </w:r>
          </w:p>
        </w:tc>
        <w:tc>
          <w:tcPr>
            <w:tcW w:type="dxa" w:w="413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个移动路由全部 404</w:t>
            </w:r>
          </w:p>
        </w:tc>
        <w:tc>
          <w:tcPr>
            <w:tcW w:type="dxa" w:w="137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通过（不因缺少手机端判失败）</w:t>
            </w:r>
          </w:p>
        </w:tc>
      </w:tr>
    </w:tbl>
    <w:p>
      <w:pPr>
        <w:spacing w:after="20" w:line="240" w:lineRule="auto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结论：上表前 12 项是本轮演示/试点的放行门禁，均已达到；最后 2 项中，“08:00 前完成”没有达到，但不影响内部演示，已列入试点前必须补齐的事项。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四、两个必保功能验收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4.1 M1 日/周简报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97"/>
        <w:gridCol w:w="6639"/>
        <w:gridCol w:w="1897"/>
      </w:tblGrid>
      <w:tr>
        <w:trPr>
          <w:tblHeader w:val="true"/>
          <w:cantSplit w:val="true"/>
        </w:trPr>
        <w:tc>
          <w:tcPr>
            <w:tcW w:type="dxa" w:w="189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检查项</w:t>
            </w:r>
          </w:p>
        </w:tc>
        <w:tc>
          <w:tcPr>
            <w:tcW w:type="dxa" w:w="663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实测结果</w:t>
            </w:r>
          </w:p>
        </w:tc>
        <w:tc>
          <w:tcPr>
            <w:tcW w:type="dxa" w:w="189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日报结构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 条结论、6 张指标卡、增长/下降前三、风险前三、3 条动作建议、4 条数据说明、5 个渠道、4 组趋势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周报结构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本周/上周切换、6 项周指标、5 组环比、4 个组织排名、风险闭环、6 个工作日要点、3 条结论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四角色范围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总经理全公司、销售总监全销售条线、事业部总经理本事业部、部门经理本部门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计划发布时间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日报 08:30；本周周报周六 09:00；上周周报周一 09:00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通过（计划时间）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首屏体验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1280×720、1280×800、1440×900、1600×900 均无横向滚动；3 条结论、6 张卡、风险前三完整可见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 分钟路径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看结论 → 下钻一次 → 风险详情，实测 11 秒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4.2 M2 风险识别、分级与闭环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97"/>
        <w:gridCol w:w="6639"/>
        <w:gridCol w:w="1897"/>
      </w:tblGrid>
      <w:tr>
        <w:trPr>
          <w:tblHeader w:val="true"/>
          <w:cantSplit w:val="true"/>
        </w:trPr>
        <w:tc>
          <w:tcPr>
            <w:tcW w:type="dxa" w:w="189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检查项</w:t>
            </w:r>
          </w:p>
        </w:tc>
        <w:tc>
          <w:tcPr>
            <w:tcW w:type="dxa" w:w="663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实测结果</w:t>
            </w:r>
          </w:p>
        </w:tc>
        <w:tc>
          <w:tcPr>
            <w:tcW w:type="dxa" w:w="189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类风险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目标缺口 3、业绩下滑 1、线索异常 2、商机覆盖 1、大客户流失 1、订单/回款 2，共 10 条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风险级别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红色 6 条、橙色 2 条、黄色 2 条，与预期一致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证据链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10/10 条风险各 3 条证据，含当前值、阈值、基期、来源、触发时间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SLA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红 4 小时认领/3 个工作日关闭；橙 8 小时/5 天；黄 1 天/10 天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升级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手动最多 2 级；超时自动升级 2 级；重复检查不重复升级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合并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同对象同规则 24 小时内合并；9 条旧风险合并后证据 6 条/条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认领/转派/关闭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状态机完整；重复认领 409；SM 转派 403；关闭必填原因/动作/结果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审计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查看、导出、认领、转派、关闭、改规则、越权均留痕；覆盖 17 类动作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五、关键证据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5.1 测试与回归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97"/>
        <w:gridCol w:w="1897"/>
        <w:gridCol w:w="6639"/>
      </w:tblGrid>
      <w:tr>
        <w:trPr>
          <w:tblHeader w:val="true"/>
          <w:cantSplit w:val="true"/>
        </w:trPr>
        <w:tc>
          <w:tcPr>
            <w:tcW w:type="dxa" w:w="189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项目</w:t>
            </w:r>
          </w:p>
        </w:tc>
        <w:tc>
          <w:tcPr>
            <w:tcW w:type="dxa" w:w="189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结果</w:t>
            </w:r>
          </w:p>
        </w:tc>
        <w:tc>
          <w:tcPr>
            <w:tcW w:type="dxa" w:w="663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Gate B 自动化测试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84/84 通过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原有 82 项 + 新增 2 项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条专项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18/18 通过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个测试函数参数化后 18 项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全量回归（本次补跑）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102/102 通过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52.49 秒；1 个 warning 是 Starlette TestClient 弃用提示，不是产品缺陷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Gate B 端到端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20/20 通过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从登录到完成业务动作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Gate C 主场景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29/29 通过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独立验收方执行</w:t>
            </w:r>
          </w:p>
        </w:tc>
      </w:tr>
      <w:tr>
        <w:trPr>
          <w:cantSplit w:val="true"/>
        </w:trPr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Gate C 最终抽查</w:t>
            </w:r>
          </w:p>
        </w:tc>
        <w:tc>
          <w:tcPr>
            <w:tcW w:type="dxa" w:w="189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33/33 通过</w:t>
            </w:r>
          </w:p>
        </w:tc>
        <w:tc>
          <w:tcPr>
            <w:tcW w:type="dxa" w:w="663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权限、脱敏、导出、风险闭环等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5.2 1000 条线索专项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18"/>
        <w:gridCol w:w="8114"/>
      </w:tblGrid>
      <w:tr>
        <w:trPr>
          <w:tblHeader w:val="true"/>
          <w:cantSplit w:val="true"/>
        </w:trPr>
        <w:tc>
          <w:tcPr>
            <w:tcW w:type="dxa" w:w="231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检查项</w:t>
            </w:r>
          </w:p>
        </w:tc>
        <w:tc>
          <w:tcPr>
            <w:tcW w:type="dxa" w:w="8114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数据规模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1,000 行 × 10 列，2026-09-25 至 2026-10-24，共 30 天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入库完整性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1,000/1,000 行逐字段一致，无丢失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30 天日计数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30/30 天与源文件一致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数据质量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100.0 分；缺失 0、重复 0、映射失败 0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线索风险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 条：华东四部 E140 橙色、华北大区 N300 黄色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重复跑批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同一天 3 次，1,000 行、10 条风险、2 条线索风险均不重复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坏数据回滚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重复编号、非法日期均批次失败，线索/指标/风险三张表 0 行残留在临时库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与演示库关系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 xml:space="preserve">文件哈希与现有 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leads.csv</w:t>
            </w:r>
            <w:r>
              <w:rPr>
                <w:rFonts w:ascii="Segoe UI" w:hAnsi="Segoe UI" w:eastAsia="微软雅黑"/>
                <w:b w:val="0"/>
                <w:sz w:val="16"/>
              </w:rPr>
              <w:t xml:space="preserve"> 完全一致；如果本意是换新数据，需替换后重跑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5.3 权限、脱敏与数据安全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四类角色可见风险为 10/10/6/1 条；跨组织和功能越权全部 403；未登录访问 20 个受保护接口全部 401。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手机号、邮箱在 JSON、Excel、打印页均无完整值；导出文件带“演示数据·禁止外传”水印。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风险操作审计 10/10 含对象编号和操作人；越权访问也写审计。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演示库哈希前后一致：</w:t>
      </w:r>
      <w:r>
        <w:rPr>
          <w:rFonts w:ascii="Consolas" w:hAnsi="Consolas" w:eastAsia="微软雅黑"/>
          <w:b w:val="0"/>
          <w:color w:val="1F4E79"/>
          <w:sz w:val="17"/>
        </w:rPr>
        <w:t>92fab0a6...bbcd60</w:t>
      </w:r>
      <w:r>
        <w:rPr>
          <w:rFonts w:ascii="Segoe UI" w:hAnsi="Segoe UI" w:eastAsia="微软雅黑"/>
          <w:b w:val="0"/>
          <w:sz w:val="18"/>
        </w:rPr>
        <w:t xml:space="preserve">，本轮未修改 </w:t>
      </w:r>
      <w:r>
        <w:rPr>
          <w:rFonts w:ascii="Consolas" w:hAnsi="Consolas" w:eastAsia="微软雅黑"/>
          <w:b w:val="0"/>
          <w:color w:val="1F4E79"/>
          <w:sz w:val="17"/>
        </w:rPr>
        <w:t>data/mvp.db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六、缺陷与改进项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59"/>
        <w:gridCol w:w="1138"/>
        <w:gridCol w:w="3035"/>
        <w:gridCol w:w="2086"/>
        <w:gridCol w:w="3414"/>
      </w:tblGrid>
      <w:tr>
        <w:trPr>
          <w:tblHeader w:val="true"/>
          <w:cantSplit w:val="true"/>
        </w:trPr>
        <w:tc>
          <w:tcPr>
            <w:tcW w:type="dxa" w:w="75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编号</w:t>
            </w:r>
          </w:p>
        </w:tc>
        <w:tc>
          <w:tcPr>
            <w:tcW w:type="dxa" w:w="11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级别</w:t>
            </w:r>
          </w:p>
        </w:tc>
        <w:tc>
          <w:tcPr>
            <w:tcW w:type="dxa" w:w="3035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问题</w:t>
            </w:r>
          </w:p>
        </w:tc>
        <w:tc>
          <w:tcPr>
            <w:tcW w:type="dxa" w:w="208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影响</w:t>
            </w:r>
          </w:p>
        </w:tc>
        <w:tc>
          <w:tcPr>
            <w:tcW w:type="dxa" w:w="3414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处理建议</w:t>
            </w:r>
          </w:p>
        </w:tc>
      </w:tr>
      <w:tr>
        <w:trPr>
          <w:cantSplit w:val="true"/>
        </w:trPr>
        <w:tc>
          <w:tcPr>
            <w:tcW w:type="dxa" w:w="75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P3-01</w:t>
            </w:r>
          </w:p>
        </w:tc>
        <w:tc>
          <w:tcPr>
            <w:tcW w:type="dxa" w:w="11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</w:t>
            </w:r>
          </w:p>
        </w:tc>
        <w:tc>
          <w:tcPr>
            <w:tcW w:type="dxa" w:w="303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没有定时调度器；“08:00 前完成”未验证；发布时间是计划时间</w:t>
            </w:r>
          </w:p>
        </w:tc>
        <w:tc>
          <w:tcPr>
            <w:tcW w:type="dxa" w:w="208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上试点后不能保证每天自动出报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试点前加 Windows 计划任务或调度器，并证明 08:00 前跑完</w:t>
            </w:r>
          </w:p>
        </w:tc>
      </w:tr>
      <w:tr>
        <w:trPr>
          <w:cantSplit w:val="true"/>
        </w:trPr>
        <w:tc>
          <w:tcPr>
            <w:tcW w:type="dxa" w:w="75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P3-02</w:t>
            </w:r>
          </w:p>
        </w:tc>
        <w:tc>
          <w:tcPr>
            <w:tcW w:type="dxa" w:w="11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</w:t>
            </w:r>
          </w:p>
        </w:tc>
        <w:tc>
          <w:tcPr>
            <w:tcW w:type="dxa" w:w="303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组织级营销投入产出比的分母是公司级费用</w:t>
            </w:r>
          </w:p>
        </w:tc>
        <w:tc>
          <w:tcPr>
            <w:tcW w:type="dxa" w:w="208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组织之间横向比较可能失真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按组织拆分市场费用，或在页面显著标注不可比</w:t>
            </w:r>
          </w:p>
        </w:tc>
      </w:tr>
      <w:tr>
        <w:trPr>
          <w:cantSplit w:val="true"/>
        </w:trPr>
        <w:tc>
          <w:tcPr>
            <w:tcW w:type="dxa" w:w="75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P3-03</w:t>
            </w:r>
          </w:p>
        </w:tc>
        <w:tc>
          <w:tcPr>
            <w:tcW w:type="dxa" w:w="11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</w:t>
            </w:r>
          </w:p>
        </w:tc>
        <w:tc>
          <w:tcPr>
            <w:tcW w:type="dxa" w:w="303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批次失败横幅在 1280×720/800 下把风险第三条挤出首屏</w:t>
            </w:r>
          </w:p>
        </w:tc>
        <w:tc>
          <w:tcPr>
            <w:tcW w:type="dxa" w:w="208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只在失败、显示旧数据时出现；正常日报不受影响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横幅可折叠或压缩上方间距</w:t>
            </w:r>
          </w:p>
        </w:tc>
      </w:tr>
      <w:tr>
        <w:trPr>
          <w:cantSplit w:val="true"/>
        </w:trPr>
        <w:tc>
          <w:tcPr>
            <w:tcW w:type="dxa" w:w="75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O-01</w:t>
            </w:r>
          </w:p>
        </w:tc>
        <w:tc>
          <w:tcPr>
            <w:tcW w:type="dxa" w:w="11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</w:t>
            </w:r>
          </w:p>
        </w:tc>
        <w:tc>
          <w:tcPr>
            <w:tcW w:type="dxa" w:w="303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坏数据失败时只提示“源数据校验失败”，不显示行号/字段/原因</w:t>
            </w:r>
          </w:p>
        </w:tc>
        <w:tc>
          <w:tcPr>
            <w:tcW w:type="dxa" w:w="208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业务人员不知道哪一行错，修数据要靠开发查日志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试点前补“文件名 + 行号 + 字段 + 原因”，最多展示前 100 条</w:t>
            </w:r>
          </w:p>
        </w:tc>
      </w:tr>
    </w:tbl>
    <w:p>
      <w:pPr>
        <w:spacing w:after="20" w:line="240" w:lineRule="auto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计数：P0=0、P1=0、P2=0；验收基线 3 个 P3，1000 条专项新增 1 个 P3，共 4 个改进项。都不阻断内部演示，但 P3-01 和 O-01 建议在试点前解决。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七、未验证或不适用范围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08"/>
        <w:gridCol w:w="5146"/>
        <w:gridCol w:w="3477"/>
      </w:tblGrid>
      <w:tr>
        <w:trPr>
          <w:tblHeader w:val="true"/>
          <w:cantSplit w:val="true"/>
        </w:trPr>
        <w:tc>
          <w:tcPr>
            <w:tcW w:type="dxa" w:w="180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事项</w:t>
            </w:r>
          </w:p>
        </w:tc>
        <w:tc>
          <w:tcPr>
            <w:tcW w:type="dxa" w:w="514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当前状态</w:t>
            </w:r>
          </w:p>
        </w:tc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为什么不能据此判生产就绪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 CRM/ERP 对接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未接，使用 10 个 CSV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字段映射、增量同步、迟到/重复/补录数据未验证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真实钉钉/企微/邮件推送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未接，只有站内通知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到达率、时效、回执、失败重试未验证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定时调度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未实现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不能证明每天 08:00 前自动完成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条风险规则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当前 6 类、8 个独立触发条件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长尾风险覆盖不足；用户已确认本轮按 6 类交付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真实数据试点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未做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准确率、4 小时认领率、闭环率、误报率没有真实基线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 并发与性能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未压测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不能回答多人同时使用是否卡顿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个月留存与归档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未验证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长期趋势、历史追溯、合规留存未证明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生产安全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演示登录、HTTP、无 CSRF、导出确认仅前端、Excel 公式注入未修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不能放公网，不能录入真实客户信息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手机端/H5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本期明确不做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手机上看不了；移动路由全部 404</w:t>
            </w:r>
          </w:p>
        </w:tc>
      </w:tr>
      <w:tr>
        <w:trPr>
          <w:cantSplit w:val="true"/>
        </w:trPr>
        <w:tc>
          <w:tcPr>
            <w:tcW w:type="dxa" w:w="18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附件、复杂审批</w:t>
            </w:r>
          </w:p>
        </w:tc>
        <w:tc>
          <w:tcPr>
            <w:tcW w:type="dxa" w:w="514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未实现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相关业务场景不覆盖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八、验收结论与放行条件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8.1 验收结论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通过（MVP 演示/试点范围）。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同意：内部演示、试点准备、用演示数据做业务确认。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不同意：生产上线、公网部署、录入真实客户信息、对外宣称“生产就绪”。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8.2 放行条件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1. 演示环境必须显著标注“演示数据、非生产认证”，登录页和 README 都要保留。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2. 演示前重置演示数据，确认四个角色账号和页面可用。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3. 试点前完成：定时调度、真实数据源、至少 1 个真实推送渠道、12 条规则、P3-01/O-01 修复、生产安全底线。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4. 试点至少跑 10 个工作日，验证准确率、4 小时认领率、闭环率、误报率，再决定是否进入生产准备。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8.3 建议签字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2608"/>
        <w:gridCol w:w="2608"/>
        <w:gridCol w:w="2608"/>
      </w:tblGrid>
      <w:tr>
        <w:trPr>
          <w:tblHeader w:val="true"/>
          <w:cantSplit w:val="true"/>
        </w:trPr>
        <w:tc>
          <w:tcPr>
            <w:tcW w:type="dxa" w:w="260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角色</w:t>
            </w:r>
          </w:p>
        </w:tc>
        <w:tc>
          <w:tcPr>
            <w:tcW w:type="dxa" w:w="260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姓名</w:t>
            </w:r>
          </w:p>
        </w:tc>
        <w:tc>
          <w:tcPr>
            <w:tcW w:type="dxa" w:w="260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结论</w:t>
            </w:r>
          </w:p>
        </w:tc>
        <w:tc>
          <w:tcPr>
            <w:tcW w:type="dxa" w:w="260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产品负责人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测试负责人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验收负责人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业务代表（四类角色）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</w:p>
        </w:tc>
      </w:tr>
    </w:tbl>
    <w:p>
      <w:pPr>
        <w:spacing w:after="20" w:line="240" w:lineRule="auto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签字只代表“MVP 演示/试点范围验收通过”，不代表生产上线批准。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九、证据目录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18"/>
        <w:gridCol w:w="8114"/>
      </w:tblGrid>
      <w:tr>
        <w:trPr>
          <w:tblHeader w:val="true"/>
          <w:cantSplit w:val="true"/>
        </w:trPr>
        <w:tc>
          <w:tcPr>
            <w:tcW w:type="dxa" w:w="231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证据</w:t>
            </w:r>
          </w:p>
        </w:tc>
        <w:tc>
          <w:tcPr>
            <w:tcW w:type="dxa" w:w="8114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位置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本次补跑日志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MVP_V0.1/docs/验收证据/验收复核_2026-10-25/pytest.log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本次补跑摘要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MVP_V0.1/docs/验收证据/验收复核_2026-10-25/summary.json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演示库哈希前后值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 xml:space="preserve">同目录 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db_hash_before.txt</w:t>
            </w:r>
            <w:r>
              <w:rPr>
                <w:rFonts w:ascii="Segoe UI" w:hAnsi="Segoe UI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db_hash_after.txt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独立验收原始报告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MVP_V0.1/docs/验收报告.md</w:t>
            </w:r>
            <w:r>
              <w:rPr>
                <w:rFonts w:ascii="Segoe UI" w:hAnsi="Segoe UI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验收报告_简版.md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独立测试报告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MVP_V0.1/docs/测试报告.md</w:t>
            </w:r>
            <w:r>
              <w:rPr>
                <w:rFonts w:ascii="Segoe UI" w:hAnsi="Segoe UI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测试报告_简版.md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条专项报告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测试报告_1000条线索数据_V0.1.pdf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条专项证据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MVP_V0.1/docs/验收证据/1000条线索/</w:t>
            </w:r>
          </w:p>
        </w:tc>
      </w:tr>
      <w:tr>
        <w:trPr>
          <w:cantSplit w:val="true"/>
        </w:trPr>
        <w:tc>
          <w:tcPr>
            <w:tcW w:type="dxa" w:w="231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DOD 验收标准</w:t>
            </w:r>
          </w:p>
        </w:tc>
        <w:tc>
          <w:tcPr>
            <w:tcW w:type="dxa" w:w="8114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DOD验收标准-营销日周动态汇总与风险预警_V0.1.pdf</w:t>
            </w:r>
          </w:p>
        </w:tc>
      </w:tr>
    </w:tbl>
    <w:p>
      <w:pPr>
        <w:spacing w:after="20" w:line="240" w:lineRule="auto"/>
      </w:pPr>
    </w:p>
    <w:p>
      <w:pPr>
        <w:spacing w:before="40" w:after="40"/>
        <w:pBdr>
          <w:bottom w:val="single" w:sz="4" w:space="4" w:color="D9E2EC"/>
        </w:pBdr>
      </w:pPr>
    </w:p>
    <w:p>
      <w:pPr>
        <w:spacing w:after="60"/>
      </w:pPr>
      <w:r>
        <w:rPr>
          <w:rFonts w:ascii="Segoe UI" w:hAnsi="Segoe UI" w:eastAsia="微软雅黑"/>
          <w:b/>
          <w:sz w:val="18"/>
        </w:rPr>
        <w:t>最终结论：MVP V0.1 通过演示/试点范围验收，可以内部演示；生产上线未验收，禁止直接部署公网或录入真实客户信息。</w:t>
      </w:r>
    </w:p>
    <w:sectPr w:rsidR="00FC693F" w:rsidRPr="0006063C" w:rsidSect="00034616">
      <w:footerReference w:type="default" r:id="rId9"/>
      <w:pgSz w:w="11906" w:h="16838"/>
      <w:pgMar w:top="680" w:right="737" w:bottom="624" w:left="73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707B86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 / 共 </w:t>
    </w:r>
    <w:fldSimple w:instr="NUMPAGES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Segoe UI" w:hAnsi="Segoe U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