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0"/>
        </w:rPr>
        <w:t>MVP 验收报告 · 两页简版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营销日周动态汇总与风险预警 MVP V0.1｜2026-10-25｜V1.0</w:t>
      </w:r>
    </w:p>
    <w:p>
      <w:pPr>
        <w:spacing w:before="40" w:after="80"/>
        <w:ind w:left="227"/>
      </w:pPr>
      <w:r>
        <w:rPr>
          <w:rFonts w:ascii="Segoe UI" w:hAnsi="Segoe UI" w:eastAsia="微软雅黑"/>
          <w:b/>
          <w:color w:val="5A6B7A"/>
          <w:sz w:val="17"/>
        </w:rPr>
        <w:t>结论：通过（仅限 MVP 演示/试点范围）。可以内部演示，不能生产上线。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一、四个关键数字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07"/>
        <w:gridCol w:w="2407"/>
        <w:gridCol w:w="5617"/>
      </w:tblGrid>
      <w:tr>
        <w:trPr>
          <w:tblHeader w:val="true"/>
          <w:cantSplit w:val="true"/>
        </w:trPr>
        <w:tc>
          <w:tcPr>
            <w:tcW w:type="dxa" w:w="240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指标</w:t>
            </w:r>
          </w:p>
        </w:tc>
        <w:tc>
          <w:tcPr>
            <w:tcW w:type="dxa" w:w="240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  <w:tc>
          <w:tcPr>
            <w:tcW w:type="dxa" w:w="561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全量回归</w:t>
            </w:r>
          </w:p>
        </w:tc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102/102</w:t>
            </w:r>
          </w:p>
        </w:tc>
        <w:tc>
          <w:tcPr>
            <w:tcW w:type="dxa" w:w="561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本次补跑，52.49 秒；演示库未被修改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指标复算</w:t>
            </w:r>
          </w:p>
        </w:tc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480/480</w:t>
            </w:r>
          </w:p>
        </w:tc>
        <w:tc>
          <w:tcPr>
            <w:tcW w:type="dxa" w:w="561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个工作日、12 项指标，金额和比率误差均为 0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预期风险</w:t>
            </w:r>
          </w:p>
        </w:tc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10/10</w:t>
            </w:r>
          </w:p>
        </w:tc>
        <w:tc>
          <w:tcPr>
            <w:tcW w:type="dxa" w:w="561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类别、级别、对象、负责人、金额全部一致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阻断缺陷</w:t>
            </w:r>
          </w:p>
        </w:tc>
        <w:tc>
          <w:tcPr>
            <w:tcW w:type="dxa" w:w="240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0</w:t>
            </w:r>
          </w:p>
        </w:tc>
        <w:tc>
          <w:tcPr>
            <w:tcW w:type="dxa" w:w="561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P0=0、P1=0、P2=0；只有 4 个 P3 改进项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二、验收结论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53"/>
        <w:gridCol w:w="7379"/>
      </w:tblGrid>
      <w:tr>
        <w:trPr>
          <w:tblHeader w:val="true"/>
          <w:cantSplit w:val="true"/>
        </w:trPr>
        <w:tc>
          <w:tcPr>
            <w:tcW w:type="dxa" w:w="3053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问题</w:t>
            </w:r>
          </w:p>
        </w:tc>
        <w:tc>
          <w:tcPr>
            <w:tcW w:type="dxa" w:w="737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305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两个必保功能</w:t>
            </w:r>
          </w:p>
        </w:tc>
        <w:tc>
          <w:tcPr>
            <w:tcW w:type="dxa" w:w="737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日/周简报、风险识别与闭环均通过</w:t>
            </w:r>
          </w:p>
        </w:tc>
      </w:tr>
      <w:tr>
        <w:trPr>
          <w:cantSplit w:val="true"/>
        </w:trPr>
        <w:tc>
          <w:tcPr>
            <w:tcW w:type="dxa" w:w="305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能不能演示</w:t>
            </w:r>
          </w:p>
        </w:tc>
        <w:tc>
          <w:tcPr>
            <w:tcW w:type="dxa" w:w="737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能</w:t>
            </w:r>
            <w:r>
              <w:rPr>
                <w:rFonts w:ascii="Segoe UI" w:hAnsi="Segoe UI" w:eastAsia="微软雅黑"/>
                <w:b w:val="0"/>
                <w:sz w:val="16"/>
              </w:rPr>
              <w:t>，用演示数据、四类角色、电脑网页</w:t>
            </w:r>
          </w:p>
        </w:tc>
      </w:tr>
      <w:tr>
        <w:trPr>
          <w:cantSplit w:val="true"/>
        </w:trPr>
        <w:tc>
          <w:tcPr>
            <w:tcW w:type="dxa" w:w="305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能不能试点</w:t>
            </w:r>
          </w:p>
        </w:tc>
        <w:tc>
          <w:tcPr>
            <w:tcW w:type="dxa" w:w="737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先补定时调度、真实数据源、真实推送、12 条规则和安全底线</w:t>
            </w:r>
          </w:p>
        </w:tc>
      </w:tr>
      <w:tr>
        <w:trPr>
          <w:cantSplit w:val="true"/>
        </w:trPr>
        <w:tc>
          <w:tcPr>
            <w:tcW w:type="dxa" w:w="305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能不能上生产</w:t>
            </w:r>
          </w:p>
        </w:tc>
        <w:tc>
          <w:tcPr>
            <w:tcW w:type="dxa" w:w="737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不能</w:t>
            </w:r>
            <w:r>
              <w:rPr>
                <w:rFonts w:ascii="Segoe UI" w:hAnsi="Segoe UI" w:eastAsia="微软雅黑"/>
                <w:b w:val="0"/>
                <w:sz w:val="16"/>
              </w:rPr>
              <w:t>，生产条件一项都未验收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三、放行门禁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782"/>
        <w:gridCol w:w="7650"/>
      </w:tblGrid>
      <w:tr>
        <w:trPr>
          <w:tblHeader w:val="true"/>
          <w:cantSplit w:val="true"/>
        </w:trPr>
        <w:tc>
          <w:tcPr>
            <w:tcW w:type="dxa" w:w="2782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门禁</w:t>
            </w:r>
          </w:p>
        </w:tc>
        <w:tc>
          <w:tcPr>
            <w:tcW w:type="dxa" w:w="765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B 端到端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20/20 通过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Gate C 独立验收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29/29 主场景；33/33 抽查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四类角色权限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37/37 + 15/15；未登录 401、越权 403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手机号/邮箱脱敏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100%，页面、接口、Excel、打印页均打码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同日重复跑批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连续 3 次结果一致，不重复生成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条线索专项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18/18；1,000 行入库、30 天计数一致、质量 100 分</w:t>
            </w:r>
          </w:p>
        </w:tc>
      </w:tr>
      <w:tr>
        <w:trPr>
          <w:cantSplit w:val="true"/>
        </w:trPr>
        <w:tc>
          <w:tcPr>
            <w:tcW w:type="dxa" w:w="278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08:00 前自动出报</w:t>
            </w:r>
          </w:p>
        </w:tc>
        <w:tc>
          <w:tcPr>
            <w:tcW w:type="dxa" w:w="765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未通过</w:t>
            </w:r>
            <w:r>
              <w:rPr>
                <w:rFonts w:ascii="Segoe UI" w:hAnsi="Segoe UI" w:eastAsia="微软雅黑"/>
                <w:b w:val="0"/>
                <w:sz w:val="16"/>
              </w:rPr>
              <w:t>：没有定时器，当前人工触发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四、还差什么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41"/>
        <w:gridCol w:w="5580"/>
        <w:gridCol w:w="2911"/>
      </w:tblGrid>
      <w:tr>
        <w:trPr>
          <w:tblHeader w:val="true"/>
          <w:cantSplit w:val="true"/>
        </w:trPr>
        <w:tc>
          <w:tcPr>
            <w:tcW w:type="dxa" w:w="194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编号</w:t>
            </w:r>
          </w:p>
        </w:tc>
        <w:tc>
          <w:tcPr>
            <w:tcW w:type="dxa" w:w="558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问题</w:t>
            </w:r>
          </w:p>
        </w:tc>
        <w:tc>
          <w:tcPr>
            <w:tcW w:type="dxa" w:w="291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什么时候解决</w:t>
            </w:r>
          </w:p>
        </w:tc>
      </w:tr>
      <w:tr>
        <w:trPr>
          <w:cantSplit w:val="true"/>
        </w:trPr>
        <w:tc>
          <w:tcPr>
            <w:tcW w:type="dxa" w:w="194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P3-01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没有定时调度器，“08:00 前完成”未验证</w:t>
            </w:r>
          </w:p>
        </w:tc>
        <w:tc>
          <w:tcPr>
            <w:tcW w:type="dxa" w:w="29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试点前</w:t>
            </w:r>
          </w:p>
        </w:tc>
      </w:tr>
      <w:tr>
        <w:trPr>
          <w:cantSplit w:val="true"/>
        </w:trPr>
        <w:tc>
          <w:tcPr>
            <w:tcW w:type="dxa" w:w="194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P3-02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组织级投入产出比用了公司级分母</w:t>
            </w:r>
          </w:p>
        </w:tc>
        <w:tc>
          <w:tcPr>
            <w:tcW w:type="dxa" w:w="29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试点前标注或修正</w:t>
            </w:r>
          </w:p>
        </w:tc>
      </w:tr>
      <w:tr>
        <w:trPr>
          <w:cantSplit w:val="true"/>
        </w:trPr>
        <w:tc>
          <w:tcPr>
            <w:tcW w:type="dxa" w:w="194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P3-03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失败横幅在 1280×720 下挤掉第三条风险</w:t>
            </w:r>
          </w:p>
        </w:tc>
        <w:tc>
          <w:tcPr>
            <w:tcW w:type="dxa" w:w="29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下个版本</w:t>
            </w:r>
          </w:p>
        </w:tc>
      </w:tr>
      <w:tr>
        <w:trPr>
          <w:cantSplit w:val="true"/>
        </w:trPr>
        <w:tc>
          <w:tcPr>
            <w:tcW w:type="dxa" w:w="194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O-01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坏数据只提示“校验失败”，不显示行号/字段</w:t>
            </w:r>
          </w:p>
        </w:tc>
        <w:tc>
          <w:tcPr>
            <w:tcW w:type="dxa" w:w="29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试点前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五、不能说过头的话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 xml:space="preserve">当前是 </w:t>
      </w:r>
      <w:r>
        <w:rPr>
          <w:rFonts w:ascii="Segoe UI" w:hAnsi="Segoe UI" w:eastAsia="微软雅黑"/>
          <w:b/>
          <w:sz w:val="18"/>
        </w:rPr>
        <w:t>6 类风险、8 个独立触发条件</w:t>
      </w:r>
      <w:r>
        <w:rPr>
          <w:rFonts w:ascii="Segoe UI" w:hAnsi="Segoe UI" w:eastAsia="微软雅黑"/>
          <w:b w:val="0"/>
          <w:sz w:val="18"/>
        </w:rPr>
        <w:t>，不是“12 条规则已完成”。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 xml:space="preserve">数据是 </w:t>
      </w:r>
      <w:r>
        <w:rPr>
          <w:rFonts w:ascii="Segoe UI" w:hAnsi="Segoe UI" w:eastAsia="微软雅黑"/>
          <w:b/>
          <w:sz w:val="18"/>
        </w:rPr>
        <w:t>10 个 CSV</w:t>
      </w:r>
      <w:r>
        <w:rPr>
          <w:rFonts w:ascii="Segoe UI" w:hAnsi="Segoe UI" w:eastAsia="微软雅黑"/>
          <w:b w:val="0"/>
          <w:sz w:val="18"/>
        </w:rPr>
        <w:t>，没有接真实 CRM/ERP；没有真实钉钉、企微、邮件推送。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登录是演示账号、没有密码；HTTP、无 CSRF、Excel 公式注入未修，</w:t>
      </w:r>
      <w:r>
        <w:rPr>
          <w:rFonts w:ascii="Segoe UI" w:hAnsi="Segoe UI" w:eastAsia="微软雅黑"/>
          <w:b/>
          <w:sz w:val="18"/>
        </w:rPr>
        <w:t>不能放公网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1000 条数据与现有演示库同源；如果本意是换新数据，需要替换后重跑。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没做 50 并发压测、12 个月留存、真实数据试点，不能回答生产性能和效果。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六、本次验收到哪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605"/>
        <w:gridCol w:w="4827"/>
      </w:tblGrid>
      <w:tr>
        <w:trPr>
          <w:tblHeader w:val="true"/>
          <w:cantSplit w:val="true"/>
        </w:trPr>
        <w:tc>
          <w:tcPr>
            <w:tcW w:type="dxa" w:w="5605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纳入本轮验收</w:t>
            </w:r>
          </w:p>
        </w:tc>
        <w:tc>
          <w:tcPr>
            <w:tcW w:type="dxa" w:w="482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不纳入本轮验收</w:t>
            </w:r>
          </w:p>
        </w:tc>
      </w:tr>
      <w:tr>
        <w:trPr>
          <w:cantSplit w:val="true"/>
        </w:trPr>
        <w:tc>
          <w:tcPr>
            <w:tcW w:type="dxa" w:w="560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电脑网页、四类角色、日报/周报、指标中心、风险中心、导出打印、审计</w:t>
            </w:r>
          </w:p>
        </w:tc>
        <w:tc>
          <w:tcPr>
            <w:tcW w:type="dxa" w:w="482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手机端/H5、生产账号体系、单点登录、权限后台</w:t>
            </w:r>
          </w:p>
        </w:tc>
      </w:tr>
      <w:tr>
        <w:trPr>
          <w:cantSplit w:val="true"/>
        </w:trPr>
        <w:tc>
          <w:tcPr>
            <w:tcW w:type="dxa" w:w="560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 个 CSV、30 天、2,083 行演示数据；1000 条线索专项</w:t>
            </w:r>
          </w:p>
        </w:tc>
        <w:tc>
          <w:tcPr>
            <w:tcW w:type="dxa" w:w="482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 CRM/ERP 对接、真实钉钉/企微/邮件推送</w:t>
            </w:r>
          </w:p>
        </w:tc>
      </w:tr>
      <w:tr>
        <w:trPr>
          <w:cantSplit w:val="true"/>
        </w:trPr>
        <w:tc>
          <w:tcPr>
            <w:tcW w:type="dxa" w:w="560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 类风险、红橙黄分级、认领/转派/关闭/升级、24 小时合并</w:t>
            </w:r>
          </w:p>
        </w:tc>
        <w:tc>
          <w:tcPr>
            <w:tcW w:type="dxa" w:w="482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 条完整规则库、50 并发、12 个月留存、附件、复杂审批</w:t>
            </w:r>
          </w:p>
        </w:tc>
      </w:tr>
      <w:tr>
        <w:trPr>
          <w:cantSplit w:val="true"/>
        </w:trPr>
        <w:tc>
          <w:tcPr>
            <w:tcW w:type="dxa" w:w="5605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手机号/邮箱脱敏、行级权限、审计留痕</w:t>
            </w:r>
          </w:p>
        </w:tc>
        <w:tc>
          <w:tcPr>
            <w:tcW w:type="dxa" w:w="482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真实数据试点效果、生产安全评审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七、怎么验的、证据在哪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1. 先对照 PRD、开发规划、DOD 和原有测试/验收报告，再抽查指标复算、风险清单、权限、脱敏、导出和审计证据。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2. 2026-10-25 补跑全量独立回归，102 项全部通过；破坏性测试都用临时库，没有改动演示库。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3. 补跑前后分别计算演示库指纹（SHA-256），两次一致，证明演示库没有被修改。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63"/>
        <w:gridCol w:w="7769"/>
      </w:tblGrid>
      <w:tr>
        <w:trPr>
          <w:tblHeader w:val="true"/>
          <w:cantSplit w:val="true"/>
        </w:trPr>
        <w:tc>
          <w:tcPr>
            <w:tcW w:type="dxa" w:w="2663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证据</w:t>
            </w:r>
          </w:p>
        </w:tc>
        <w:tc>
          <w:tcPr>
            <w:tcW w:type="dxa" w:w="776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位置</w:t>
            </w:r>
          </w:p>
        </w:tc>
      </w:tr>
      <w:tr>
        <w:trPr>
          <w:cantSplit w:val="true"/>
        </w:trPr>
        <w:tc>
          <w:tcPr>
            <w:tcW w:type="dxa" w:w="266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本次补跑日志和摘要</w:t>
            </w:r>
          </w:p>
        </w:tc>
        <w:tc>
          <w:tcPr>
            <w:tcW w:type="dxa" w:w="7769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MVP_V0.1/docs/验收证据/验收复核_2026-10-25/</w:t>
            </w:r>
          </w:p>
        </w:tc>
      </w:tr>
      <w:tr>
        <w:trPr>
          <w:cantSplit w:val="true"/>
        </w:trPr>
        <w:tc>
          <w:tcPr>
            <w:tcW w:type="dxa" w:w="266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独立验收原始报告</w:t>
            </w:r>
          </w:p>
        </w:tc>
        <w:tc>
          <w:tcPr>
            <w:tcW w:type="dxa" w:w="7769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MVP_V0.1/docs/验收报告.md</w:t>
            </w:r>
          </w:p>
        </w:tc>
      </w:tr>
      <w:tr>
        <w:trPr>
          <w:cantSplit w:val="true"/>
        </w:trPr>
        <w:tc>
          <w:tcPr>
            <w:tcW w:type="dxa" w:w="266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独立测试报告</w:t>
            </w:r>
          </w:p>
        </w:tc>
        <w:tc>
          <w:tcPr>
            <w:tcW w:type="dxa" w:w="7769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MVP_V0.1/docs/测试报告.md</w:t>
            </w:r>
          </w:p>
        </w:tc>
      </w:tr>
      <w:tr>
        <w:trPr>
          <w:cantSplit w:val="true"/>
        </w:trPr>
        <w:tc>
          <w:tcPr>
            <w:tcW w:type="dxa" w:w="266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1000 条专项报告</w:t>
            </w:r>
          </w:p>
        </w:tc>
        <w:tc>
          <w:tcPr>
            <w:tcW w:type="dxa" w:w="7769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测试报告_1000条线索数据_V0.1.pdf</w:t>
            </w:r>
          </w:p>
        </w:tc>
      </w:tr>
      <w:tr>
        <w:trPr>
          <w:cantSplit w:val="true"/>
        </w:trPr>
        <w:tc>
          <w:tcPr>
            <w:tcW w:type="dxa" w:w="2663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DOD 验收标准</w:t>
            </w:r>
          </w:p>
        </w:tc>
        <w:tc>
          <w:tcPr>
            <w:tcW w:type="dxa" w:w="7769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DOD验收标准-营销日周动态汇总与风险预警_V0.1.pdf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八、请领导决策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</w:t>
      </w:r>
      <w:r>
        <w:rPr>
          <w:rFonts w:ascii="Segoe UI" w:hAnsi="Segoe UI" w:eastAsia="微软雅黑"/>
          <w:b/>
          <w:sz w:val="18"/>
        </w:rPr>
        <w:t>同意</w:t>
      </w:r>
      <w:r>
        <w:rPr>
          <w:rFonts w:ascii="Segoe UI" w:hAnsi="Segoe UI" w:eastAsia="微软雅黑"/>
          <w:b w:val="0"/>
          <w:sz w:val="18"/>
        </w:rPr>
        <w:t>按“MVP 演示/试点范围”验收通过，安排内部演示。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2. </w:t>
      </w:r>
      <w:r>
        <w:rPr>
          <w:rFonts w:ascii="Segoe UI" w:hAnsi="Segoe UI" w:eastAsia="微软雅黑"/>
          <w:b/>
          <w:sz w:val="18"/>
        </w:rPr>
        <w:t>同意</w:t>
      </w:r>
      <w:r>
        <w:rPr>
          <w:rFonts w:ascii="Segoe UI" w:hAnsi="Segoe UI" w:eastAsia="微软雅黑"/>
          <w:b w:val="0"/>
          <w:sz w:val="18"/>
        </w:rPr>
        <w:t>启动试点准备，先补定时调度、真实数据源、1 个真实推送渠道、12 条规则和 P3-01/O-01。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3. </w:t>
      </w:r>
      <w:r>
        <w:rPr>
          <w:rFonts w:ascii="Segoe UI" w:hAnsi="Segoe UI" w:eastAsia="微软雅黑"/>
          <w:b/>
          <w:sz w:val="18"/>
        </w:rPr>
        <w:t>明确</w:t>
      </w:r>
      <w:r>
        <w:rPr>
          <w:rFonts w:ascii="Segoe UI" w:hAnsi="Segoe UI" w:eastAsia="微软雅黑"/>
          <w:b w:val="0"/>
          <w:sz w:val="18"/>
        </w:rPr>
        <w:t>在试点跑满 10 个工作日、验证准确率/认领率/闭环率/误报率之前，不对外称“生产就绪”。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角色</w:t>
            </w:r>
          </w:p>
        </w:tc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签字</w:t>
            </w:r>
          </w:p>
        </w:tc>
        <w:tc>
          <w:tcPr>
            <w:tcW w:type="dxa" w:w="3477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产品负责人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测试负责人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验收负责人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477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业务代表</w:t>
            </w:r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  <w:tc>
          <w:tcPr>
            <w:tcW w:type="dxa" w:w="3477"/>
          </w:tcPr>
          <w:p>
            <w:pPr>
              <w:spacing w:after="0" w:line="252" w:lineRule="auto"/>
            </w:pPr>
            <w:r/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签字仅代表“演示/试点范围验收通过”，不代表生产上线批准。完整证据见《MVP验收报告》正文。</w:t>
      </w:r>
    </w:p>
    <w:sectPr w:rsidR="00FC693F" w:rsidRPr="0006063C" w:rsidSect="00034616">
      <w:footerReference w:type="default" r:id="rId9"/>
      <w:pgSz w:w="11906" w:h="16838"/>
      <w:pgMar w:top="680" w:right="737" w:bottom="624" w:left="73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Segoe UI" w:hAnsi="Segoe U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