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start"/>
        <w:rPr/>
      </w:pPr>
      <w:r>
        <w:rPr/>
        <w:t xml:space="preserve">NPC </w:t>
      </w:r>
      <w:r>
        <w:rPr/>
        <w:t xml:space="preserve">智能体最小运行采集数据 </w:t>
      </w:r>
      <w:r>
        <w:rPr/>
        <w:t>Schema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>
          <w:rStyle w:val="StrongEmphasis"/>
        </w:rPr>
        <w:t xml:space="preserve">Schema </w:t>
      </w:r>
      <w:r>
        <w:rPr>
          <w:rStyle w:val="StrongEmphasis"/>
        </w:rPr>
        <w:t>版本：</w:t>
      </w:r>
      <w:r>
        <w:rPr/>
        <w:t xml:space="preserve"> </w:t>
      </w:r>
      <w:r>
        <w:rPr>
          <w:rStyle w:val="SourceText"/>
        </w:rPr>
        <w:t>1.1.0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>
          <w:rStyle w:val="StrongEmphasis"/>
        </w:rPr>
        <w:t xml:space="preserve">Schema </w:t>
      </w:r>
      <w:r>
        <w:rPr>
          <w:rStyle w:val="StrongEmphasis"/>
        </w:rPr>
        <w:t>名称：</w:t>
      </w:r>
      <w:r>
        <w:rPr/>
        <w:t xml:space="preserve"> </w:t>
      </w:r>
      <w:r>
        <w:rPr>
          <w:rStyle w:val="SourceText"/>
        </w:rPr>
        <w:t>NpcMinimalRuntimeRecord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>
          <w:rStyle w:val="StrongEmphasis"/>
        </w:rPr>
        <w:t>JSON Schema</w:t>
      </w:r>
      <w:r>
        <w:rPr>
          <w:rStyle w:val="StrongEmphasis"/>
        </w:rPr>
        <w:t>：</w:t>
      </w:r>
      <w:r>
        <w:rPr/>
        <w:t xml:space="preserve"> </w:t>
      </w:r>
      <w:r>
        <w:rPr/>
        <w:t>Draft 2020-12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>
          <w:rStyle w:val="StrongEmphasis"/>
        </w:rPr>
        <w:t>适用对象：</w:t>
      </w:r>
      <w:r>
        <w:rPr/>
        <w:t xml:space="preserve"> </w:t>
      </w:r>
      <w:r>
        <w:rPr/>
        <w:t xml:space="preserve">NPC </w:t>
      </w:r>
      <w:r>
        <w:rPr/>
        <w:t>智能体轻量采集、快速回归和应用层行为统计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>
          <w:rStyle w:val="StrongEmphasis"/>
        </w:rPr>
        <w:t>存储合同：</w:t>
      </w:r>
      <w:r>
        <w:rPr/>
        <w:t xml:space="preserve"> </w:t>
      </w:r>
      <w:r>
        <w:rPr/>
        <w:t xml:space="preserve">SDAR ClickHouse Schema </w:t>
      </w:r>
      <w:r>
        <w:rPr>
          <w:rStyle w:val="SourceText"/>
        </w:rPr>
        <w:t>1.1.0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>
          <w:rStyle w:val="StrongEmphasis"/>
        </w:rPr>
        <w:t>更新日期：</w:t>
      </w:r>
      <w:r>
        <w:rPr/>
        <w:t xml:space="preserve"> </w:t>
      </w:r>
      <w:r>
        <w:rPr/>
        <w:t>2026-07-16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 xml:space="preserve">文件名保留 </w:t>
      </w:r>
      <w:r>
        <w:rPr>
          <w:rStyle w:val="SourceText"/>
        </w:rPr>
        <w:t>V1.0</w:t>
      </w:r>
      <w:r>
        <w:rPr/>
        <w:t xml:space="preserve"> </w:t>
      </w:r>
      <w:r>
        <w:rPr/>
        <w:t xml:space="preserve">仅用于兼容已有工程引用，实际 </w:t>
      </w:r>
      <w:r>
        <w:rPr/>
        <w:t xml:space="preserve">Schema </w:t>
      </w:r>
      <w:r>
        <w:rPr/>
        <w:t xml:space="preserve">版本以 </w:t>
      </w:r>
      <w:r>
        <w:rPr/>
        <w:t xml:space="preserve">JSON </w:t>
      </w:r>
      <w:r>
        <w:rPr/>
        <w:t xml:space="preserve">中的 </w:t>
      </w:r>
      <w:r>
        <w:rPr>
          <w:rStyle w:val="SourceText"/>
        </w:rPr>
        <w:t>schemaVersion=1.1.0</w:t>
      </w:r>
      <w:r>
        <w:rPr/>
        <w:t xml:space="preserve"> </w:t>
      </w:r>
      <w:r>
        <w:rPr/>
        <w:t>为准。</w:t>
      </w:r>
    </w:p>
    <w:p>
      <w:pPr>
        <w:pStyle w:val="Heading2"/>
        <w:bidi w:val="0"/>
        <w:jc w:val="start"/>
        <w:rPr/>
      </w:pPr>
      <w:r>
        <w:rPr/>
        <w:t xml:space="preserve">1. </w:t>
      </w:r>
      <w:r>
        <w:rPr/>
        <w:t>定位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 xml:space="preserve">本 </w:t>
      </w:r>
      <w:r>
        <w:rPr/>
        <w:t xml:space="preserve">Schema </w:t>
      </w:r>
      <w:r>
        <w:rPr/>
        <w:t xml:space="preserve">记录 </w:t>
      </w:r>
      <w:r>
        <w:rPr/>
        <w:t xml:space="preserve">NPC </w:t>
      </w:r>
      <w:r>
        <w:rPr/>
        <w:t xml:space="preserve">智能体一次“关键触发—决策—动作—结果”片段。它是 </w:t>
      </w:r>
      <w:r>
        <w:rPr>
          <w:rStyle w:val="SourceText"/>
        </w:rPr>
        <w:t>collectionProfile=minimal</w:t>
      </w:r>
      <w:r>
        <w:rPr/>
        <w:t xml:space="preserve"> </w:t>
      </w:r>
      <w:r>
        <w:rPr/>
        <w:t xml:space="preserve">的应用层采集格式，不是测试案例，也不是完整的 </w:t>
      </w:r>
      <w:r>
        <w:rPr/>
        <w:t xml:space="preserve">SDAR </w:t>
      </w:r>
      <w:r>
        <w:rPr>
          <w:rStyle w:val="SourceText"/>
        </w:rPr>
        <w:t>Episode Evidence Bundle</w:t>
      </w:r>
      <w:r>
        <w:rPr/>
        <w:t>。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 xml:space="preserve">它刻意不采集 </w:t>
      </w:r>
      <w:r>
        <w:rPr/>
        <w:t>Blackboard/StateSnapshot</w:t>
      </w:r>
      <w:r>
        <w:rPr/>
        <w:t>、</w:t>
      </w:r>
      <w:r>
        <w:rPr/>
        <w:t>StateDelta</w:t>
      </w:r>
      <w:r>
        <w:rPr/>
        <w:t xml:space="preserve">、完整 </w:t>
      </w:r>
      <w:r>
        <w:rPr/>
        <w:t>Event</w:t>
      </w:r>
      <w:r>
        <w:rPr/>
        <w:t>、</w:t>
      </w:r>
      <w:r>
        <w:rPr/>
        <w:t>EvidenceRef</w:t>
      </w:r>
      <w:r>
        <w:rPr/>
        <w:t xml:space="preserve">、原始 </w:t>
      </w:r>
      <w:r>
        <w:rPr/>
        <w:t xml:space="preserve">MCP </w:t>
      </w:r>
      <w:r>
        <w:rPr/>
        <w:t>请求响应、</w:t>
      </w:r>
      <w:r>
        <w:rPr/>
        <w:t xml:space="preserve">VerificationRecord </w:t>
      </w:r>
      <w:r>
        <w:rPr/>
        <w:t xml:space="preserve">和 </w:t>
      </w:r>
      <w:r>
        <w:rPr/>
        <w:t>StateTrajectory</w:t>
      </w:r>
      <w:r>
        <w:rPr/>
        <w:t>。因此它可以支撑快速行为回归，但不能证明车辆已经到达、停止、扫描完成或打击成功。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>三个相关对象的边界如下：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101"/>
        <w:gridCol w:w="2029"/>
        <w:gridCol w:w="1327"/>
        <w:gridCol w:w="4882"/>
      </w:tblGrid>
      <w:tr>
        <w:trPr>
          <w:tblHeader w:val="true"/>
        </w:trPr>
        <w:tc>
          <w:tcPr>
            <w:tcW w:w="3101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100" w:after="100"/>
              <w:jc w:val="center"/>
              <w:rPr/>
            </w:pPr>
            <w:r>
              <w:rPr/>
              <w:t>对象</w:t>
            </w:r>
          </w:p>
        </w:tc>
        <w:tc>
          <w:tcPr>
            <w:tcW w:w="2029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100" w:after="100"/>
              <w:jc w:val="center"/>
              <w:rPr/>
            </w:pPr>
            <w:r>
              <w:rPr/>
              <w:t>用途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100" w:after="100"/>
              <w:jc w:val="center"/>
              <w:rPr/>
            </w:pPr>
            <w:r>
              <w:rPr/>
              <w:t>是否是运行事实</w:t>
            </w:r>
          </w:p>
        </w:tc>
        <w:tc>
          <w:tcPr>
            <w:tcW w:w="4882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100" w:after="100"/>
              <w:jc w:val="center"/>
              <w:rPr/>
            </w:pPr>
            <w:r>
              <w:rPr/>
              <w:t xml:space="preserve">ClickHouse </w:t>
            </w:r>
            <w:r>
              <w:rPr/>
              <w:t>去向</w:t>
            </w:r>
          </w:p>
        </w:tc>
      </w:tr>
      <w:tr>
        <w:trPr/>
        <w:tc>
          <w:tcPr>
            <w:tcW w:w="310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>
                <w:rStyle w:val="SourceText"/>
              </w:rPr>
              <w:t>NpcMinimalEvaluationCase</w:t>
            </w:r>
          </w:p>
        </w:tc>
        <w:tc>
          <w:tcPr>
            <w:tcW w:w="2029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定义输入、预期和断言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否</w:t>
            </w:r>
          </w:p>
        </w:tc>
        <w:tc>
          <w:tcPr>
            <w:tcW w:w="4882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测试案例目录；需要时作为 </w:t>
            </w:r>
            <w:r>
              <w:rPr/>
              <w:t xml:space="preserve">artifact </w:t>
            </w:r>
            <w:r>
              <w:rPr/>
              <w:t>引用</w:t>
            </w:r>
          </w:p>
        </w:tc>
      </w:tr>
      <w:tr>
        <w:trPr/>
        <w:tc>
          <w:tcPr>
            <w:tcW w:w="310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>
                <w:rStyle w:val="SourceText"/>
              </w:rPr>
              <w:t>NpcMinimalRuntimeRecord</w:t>
            </w:r>
          </w:p>
        </w:tc>
        <w:tc>
          <w:tcPr>
            <w:tcW w:w="2029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记录一次轻量运行片段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是</w:t>
            </w:r>
          </w:p>
        </w:tc>
        <w:tc>
          <w:tcPr>
            <w:tcW w:w="4882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>
                <w:rStyle w:val="SourceText"/>
              </w:rPr>
              <w:t>sdar_npc.raw_record</w:t>
            </w:r>
            <w:r>
              <w:rPr/>
              <w:t xml:space="preserve"> + </w:t>
            </w:r>
            <w:r>
              <w:rPr>
                <w:rStyle w:val="SourceText"/>
              </w:rPr>
              <w:t>sdar_npc.minimal_runtime_record</w:t>
            </w:r>
          </w:p>
        </w:tc>
      </w:tr>
      <w:tr>
        <w:trPr/>
        <w:tc>
          <w:tcPr>
            <w:tcW w:w="310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>
                <w:rStyle w:val="SourceText"/>
              </w:rPr>
              <w:t>EpisodeEvidenceBundle</w:t>
            </w:r>
          </w:p>
        </w:tc>
        <w:tc>
          <w:tcPr>
            <w:tcW w:w="2029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完整证据链和正式评价输入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是</w:t>
            </w:r>
          </w:p>
        </w:tc>
        <w:tc>
          <w:tcPr>
            <w:tcW w:w="4882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>
                <w:rStyle w:val="SourceText"/>
              </w:rPr>
              <w:t>sdar_npc</w:t>
            </w:r>
            <w:r>
              <w:rPr/>
              <w:t xml:space="preserve"> </w:t>
            </w:r>
            <w:r>
              <w:rPr/>
              <w:t xml:space="preserve">完整事实表，并经 </w:t>
            </w:r>
            <w:r>
              <w:rPr/>
              <w:t xml:space="preserve">P1/P2 </w:t>
            </w:r>
            <w:r>
              <w:rPr/>
              <w:t>投影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2. </w:t>
      </w:r>
      <w:r>
        <w:rPr/>
        <w:t>数据流和评价边界</w:t>
      </w:r>
    </w:p>
    <w:p>
      <w:pPr>
        <w:pStyle w:val="PreformattedText"/>
        <w:pBdr/>
        <w:shd w:fill="F4F4F4" w:val="clear"/>
        <w:bidi w:val="0"/>
        <w:spacing w:before="0" w:after="0"/>
        <w:jc w:val="start"/>
        <w:rPr/>
      </w:pPr>
      <w:r>
        <w:rPr>
          <w:rStyle w:val="SourceText"/>
        </w:rPr>
        <w:t>NpcMinimalEvaluationCase.caseId</w:t>
      </w:r>
    </w:p>
    <w:p>
      <w:pPr>
        <w:pStyle w:val="PreformattedText"/>
        <w:pBdr/>
        <w:shd w:fill="F4F4F4" w:val="clear"/>
        <w:bidi w:val="0"/>
        <w:spacing w:before="0" w:after="0"/>
        <w:jc w:val="start"/>
        <w:rPr/>
      </w:pPr>
      <w:r>
        <w:rPr>
          <w:rStyle w:val="SourceText"/>
        </w:rPr>
        <w:t xml:space="preserve">                │</w:t>
      </w:r>
    </w:p>
    <w:p>
      <w:pPr>
        <w:pStyle w:val="PreformattedText"/>
        <w:pBdr/>
        <w:shd w:fill="F4F4F4" w:val="clear"/>
        <w:bidi w:val="0"/>
        <w:spacing w:before="0" w:after="0"/>
        <w:jc w:val="start"/>
        <w:rPr/>
      </w:pPr>
      <w:r>
        <w:rPr>
          <w:rStyle w:val="SourceText"/>
        </w:rPr>
        <w:t xml:space="preserve">                ▼</w:t>
      </w:r>
    </w:p>
    <w:p>
      <w:pPr>
        <w:pStyle w:val="PreformattedText"/>
        <w:pBdr/>
        <w:shd w:fill="F4F4F4" w:val="clear"/>
        <w:bidi w:val="0"/>
        <w:spacing w:before="0" w:after="0"/>
        <w:jc w:val="start"/>
        <w:rPr/>
      </w:pPr>
      <w:r>
        <w:rPr>
          <w:rStyle w:val="SourceText"/>
        </w:rPr>
        <w:t>NpcMinimalRuntimeRecord.caseId</w:t>
      </w:r>
    </w:p>
    <w:p>
      <w:pPr>
        <w:pStyle w:val="PreformattedText"/>
        <w:pBdr/>
        <w:shd w:fill="F4F4F4" w:val="clear"/>
        <w:bidi w:val="0"/>
        <w:spacing w:before="0" w:after="0"/>
        <w:jc w:val="start"/>
        <w:rPr/>
      </w:pPr>
      <w:r>
        <w:rPr>
          <w:rStyle w:val="SourceText"/>
        </w:rPr>
        <w:t xml:space="preserve">                │ </w:t>
      </w:r>
      <w:r>
        <w:rPr>
          <w:rStyle w:val="SourceText"/>
        </w:rPr>
        <w:t>Collector</w:t>
      </w:r>
      <w:r>
        <w:rPr>
          <w:rStyle w:val="SourceText"/>
        </w:rPr>
        <w:t>：</w:t>
      </w:r>
      <w:r>
        <w:rPr>
          <w:rStyle w:val="SourceText"/>
        </w:rPr>
        <w:t xml:space="preserve">raw + typed </w:t>
      </w:r>
      <w:r>
        <w:rPr>
          <w:rStyle w:val="SourceText"/>
        </w:rPr>
        <w:t xml:space="preserve">同 </w:t>
      </w:r>
      <w:r>
        <w:rPr>
          <w:rStyle w:val="SourceText"/>
        </w:rPr>
        <w:t>ID/Hash</w:t>
      </w:r>
    </w:p>
    <w:p>
      <w:pPr>
        <w:pStyle w:val="PreformattedText"/>
        <w:pBdr/>
        <w:shd w:fill="F4F4F4" w:val="clear"/>
        <w:bidi w:val="0"/>
        <w:spacing w:before="0" w:after="0"/>
        <w:jc w:val="start"/>
        <w:rPr/>
      </w:pPr>
      <w:r>
        <w:rPr>
          <w:rStyle w:val="SourceText"/>
        </w:rPr>
        <w:t xml:space="preserve">                ▼</w:t>
      </w:r>
    </w:p>
    <w:p>
      <w:pPr>
        <w:pStyle w:val="PreformattedText"/>
        <w:pBdr/>
        <w:shd w:fill="F4F4F4" w:val="clear"/>
        <w:bidi w:val="0"/>
        <w:spacing w:before="0" w:after="0"/>
        <w:jc w:val="start"/>
        <w:rPr/>
      </w:pPr>
      <w:r>
        <w:rPr>
          <w:rStyle w:val="SourceText"/>
        </w:rPr>
        <w:t xml:space="preserve">sdar_npc.minimal_runtime_record ──→ NPC </w:t>
      </w:r>
      <w:r>
        <w:rPr>
          <w:rStyle w:val="SourceText"/>
        </w:rPr>
        <w:t>应用层受限评价</w:t>
      </w:r>
    </w:p>
    <w:p>
      <w:pPr>
        <w:pStyle w:val="PreformattedText"/>
        <w:pBdr/>
        <w:shd w:fill="F4F4F4" w:val="clear"/>
        <w:bidi w:val="0"/>
        <w:spacing w:before="0" w:after="0"/>
        <w:jc w:val="start"/>
        <w:rPr/>
      </w:pPr>
      <w:r>
        <w:rPr>
          <w:rStyle w:val="SourceText"/>
        </w:rPr>
        <w:t xml:space="preserve">                │ </w:t>
      </w:r>
      <w:r>
        <w:rPr>
          <w:rStyle w:val="SourceText"/>
        </w:rPr>
        <w:t xml:space="preserve">P1 </w:t>
      </w:r>
      <w:r>
        <w:rPr>
          <w:rStyle w:val="SourceText"/>
        </w:rPr>
        <w:t>只能投影可证明的摘要事实</w:t>
      </w:r>
    </w:p>
    <w:p>
      <w:pPr>
        <w:pStyle w:val="PreformattedText"/>
        <w:pBdr/>
        <w:shd w:fill="F4F4F4" w:val="clear"/>
        <w:bidi w:val="0"/>
        <w:spacing w:before="0" w:after="0"/>
        <w:jc w:val="start"/>
        <w:rPr/>
      </w:pPr>
      <w:r>
        <w:rPr>
          <w:rStyle w:val="SourceText"/>
        </w:rPr>
        <w:t xml:space="preserve">                ▼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sdar_embodied / sdar_core ────────→ insufficient_evidence / NE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>
          <w:rStyle w:val="SourceText"/>
        </w:rPr>
        <w:t>minimal</w:t>
      </w:r>
      <w:r>
        <w:rPr/>
        <w:t xml:space="preserve"> </w:t>
      </w:r>
      <w:r>
        <w:rPr/>
        <w:t xml:space="preserve">记录只允许生成受限的 </w:t>
      </w:r>
      <w:r>
        <w:rPr/>
        <w:t xml:space="preserve">NPC </w:t>
      </w:r>
      <w:r>
        <w:rPr/>
        <w:t>应用层离线评价：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application scope </w:t>
      </w:r>
      <w:r>
        <w:rPr/>
        <w:t>可对分支选择、抢占、动作触发、审批和时延进行有限判断；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domain/general scope </w:t>
      </w:r>
      <w:r>
        <w:rPr/>
        <w:t xml:space="preserve">必须为 </w:t>
      </w:r>
      <w:r>
        <w:rPr>
          <w:rStyle w:val="SourceText"/>
        </w:rPr>
        <w:t>evaluation_status=insufficient_evidence</w:t>
      </w:r>
      <w:r>
        <w:rPr/>
        <w:t>、</w:t>
      </w:r>
      <w:r>
        <w:rPr>
          <w:rStyle w:val="SourceText"/>
        </w:rPr>
        <w:t>level=NE</w:t>
      </w:r>
      <w:r>
        <w:rPr/>
        <w:t>、</w:t>
      </w:r>
      <w:r>
        <w:rPr>
          <w:rStyle w:val="SourceText"/>
        </w:rPr>
        <w:t>passed=0</w:t>
      </w:r>
      <w:r>
        <w:rPr/>
        <w:t>；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不得从 </w:t>
      </w:r>
      <w:r>
        <w:rPr/>
        <w:t xml:space="preserve">minimal </w:t>
      </w:r>
      <w:r>
        <w:rPr/>
        <w:t xml:space="preserve">记录生成物理 </w:t>
      </w:r>
      <w:r>
        <w:rPr/>
        <w:t>Verification pass</w:t>
      </w:r>
      <w:r>
        <w:rPr/>
        <w:t xml:space="preserve">、状态新鲜度 </w:t>
      </w:r>
      <w:r>
        <w:rPr/>
        <w:t xml:space="preserve">pass </w:t>
      </w:r>
      <w:r>
        <w:rPr/>
        <w:t>或完整轨迹；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不得为 </w:t>
      </w:r>
      <w:r>
        <w:rPr/>
        <w:t>M3</w:t>
      </w:r>
      <w:r>
        <w:rPr/>
        <w:t>、</w:t>
      </w:r>
      <w:r>
        <w:rPr/>
        <w:t>M13</w:t>
      </w:r>
      <w:r>
        <w:rPr/>
        <w:t>、</w:t>
      </w:r>
      <w:r>
        <w:rPr/>
        <w:t xml:space="preserve">M14 </w:t>
      </w:r>
      <w:r>
        <w:rPr/>
        <w:t>生成正分；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>HG2</w:t>
      </w:r>
      <w:r>
        <w:rPr/>
        <w:t>、</w:t>
      </w:r>
      <w:r>
        <w:rPr/>
        <w:t>HG5</w:t>
      </w:r>
      <w:r>
        <w:rPr/>
        <w:t>、</w:t>
      </w:r>
      <w:r>
        <w:rPr/>
        <w:t xml:space="preserve">HG6 </w:t>
      </w:r>
      <w:r>
        <w:rPr/>
        <w:t xml:space="preserve">不得判定为 </w:t>
      </w:r>
      <w:r>
        <w:rPr/>
        <w:t>pass</w:t>
      </w:r>
      <w:r>
        <w:rPr/>
        <w:t xml:space="preserve">；任何 </w:t>
      </w:r>
      <w:r>
        <w:rPr/>
        <w:t xml:space="preserve">Gate pass </w:t>
      </w:r>
      <w:r>
        <w:rPr/>
        <w:t xml:space="preserve">都必须有 </w:t>
      </w:r>
      <w:r>
        <w:rPr/>
        <w:t xml:space="preserve">E2 </w:t>
      </w:r>
      <w:r>
        <w:rPr/>
        <w:t>结构化证据；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ind w:start="809" w:end="100" w:hanging="283"/>
        <w:jc w:val="start"/>
        <w:rPr/>
      </w:pPr>
      <w:r>
        <w:rPr>
          <w:rStyle w:val="SourceText"/>
        </w:rPr>
        <w:t>sdar_embodied.v_minimal_evidence_overclaim</w:t>
      </w:r>
      <w:r>
        <w:rPr/>
        <w:t xml:space="preserve"> </w:t>
      </w:r>
      <w:r>
        <w:rPr/>
        <w:t>必须保持空结果。</w:t>
      </w:r>
    </w:p>
    <w:p>
      <w:pPr>
        <w:pStyle w:val="TextBody"/>
        <w:bidi w:val="0"/>
        <w:jc w:val="start"/>
        <w:rPr/>
      </w:pPr>
      <w:r>
        <w:rPr/>
        <w:t>完整规则见 评价存储与版本合同和验证与上线门槛。</w:t>
      </w:r>
    </w:p>
    <w:p>
      <w:pPr>
        <w:pStyle w:val="Heading2"/>
        <w:bidi w:val="0"/>
        <w:jc w:val="start"/>
        <w:rPr/>
      </w:pPr>
      <w:r>
        <w:rPr/>
        <w:t xml:space="preserve">3. </w:t>
      </w:r>
      <w:r>
        <w:rPr/>
        <w:t>记录粒度与不变性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一条记录对应一次关键决策片段，不对应每一个 </w:t>
      </w:r>
      <w:r>
        <w:rPr/>
        <w:t>Tick</w:t>
      </w:r>
      <w:r>
        <w:rPr/>
        <w:t>。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同一 </w:t>
      </w:r>
      <w:r>
        <w:rPr/>
        <w:t xml:space="preserve">Episode </w:t>
      </w:r>
      <w:r>
        <w:rPr/>
        <w:t xml:space="preserve">的多条记录复用 </w:t>
      </w:r>
      <w:r>
        <w:rPr>
          <w:rStyle w:val="SourceText"/>
        </w:rPr>
        <w:t>episodeId</w:t>
      </w:r>
      <w:r>
        <w:rPr/>
        <w:t xml:space="preserve">，并按严格递增的 </w:t>
      </w:r>
      <w:r>
        <w:rPr>
          <w:rStyle w:val="SourceText"/>
        </w:rPr>
        <w:t>sequence</w:t>
      </w:r>
      <w:r>
        <w:rPr/>
        <w:t xml:space="preserve"> </w:t>
      </w:r>
      <w:r>
        <w:rPr/>
        <w:t>排序。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>只在分支、意图、控制权、审批、动作或结果发生实质变化时追加记录。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记录写出后不可修改；修正时使用新的 </w:t>
      </w:r>
      <w:r>
        <w:rPr>
          <w:rStyle w:val="SourceText"/>
        </w:rPr>
        <w:t>recordId</w:t>
      </w:r>
      <w:r>
        <w:rPr/>
        <w:t xml:space="preserve"> </w:t>
      </w:r>
      <w:r>
        <w:rPr/>
        <w:t xml:space="preserve">和新的 </w:t>
      </w:r>
      <w:r>
        <w:rPr/>
        <w:t xml:space="preserve">Episode </w:t>
      </w:r>
      <w:r>
        <w:rPr/>
        <w:t xml:space="preserve">末尾 </w:t>
      </w:r>
      <w:r>
        <w:rPr/>
        <w:t>sequence</w:t>
      </w:r>
      <w:r>
        <w:rPr/>
        <w:t>。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>
          <w:rStyle w:val="SourceText"/>
        </w:rPr>
        <w:t>executionStatus=succeeded</w:t>
      </w:r>
      <w:r>
        <w:rPr/>
        <w:t xml:space="preserve"> </w:t>
      </w:r>
      <w:r>
        <w:rPr/>
        <w:t>只说明工具调用或执行适配成功，不表示物理结果成功。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ind w:start="809" w:end="100" w:hanging="283"/>
        <w:jc w:val="start"/>
        <w:rPr/>
      </w:pPr>
      <w:r>
        <w:rPr/>
        <w:t xml:space="preserve">不采集完整 </w:t>
      </w:r>
      <w:r>
        <w:rPr/>
        <w:t xml:space="preserve">MCP </w:t>
      </w:r>
      <w:r>
        <w:rPr/>
        <w:t xml:space="preserve">参数、图像、原始敏感载荷或模型思维过程；这类内容只允许以受控 </w:t>
      </w:r>
      <w:r>
        <w:rPr/>
        <w:t xml:space="preserve">artifact </w:t>
      </w:r>
      <w:r>
        <w:rPr/>
        <w:t>引用保存。</w:t>
      </w:r>
    </w:p>
    <w:p>
      <w:pPr>
        <w:pStyle w:val="Heading2"/>
        <w:bidi w:val="0"/>
        <w:jc w:val="start"/>
        <w:rPr/>
      </w:pPr>
      <w:r>
        <w:rPr/>
        <w:t xml:space="preserve">4. JSON </w:t>
      </w:r>
      <w:r>
        <w:rPr/>
        <w:t>顶层结构</w:t>
      </w:r>
    </w:p>
    <w:p>
      <w:pPr>
        <w:pStyle w:val="PreformattedText"/>
        <w:pBdr/>
        <w:shd w:fill="F4F4F4" w:val="clear"/>
        <w:bidi w:val="0"/>
        <w:spacing w:before="0" w:after="0"/>
        <w:jc w:val="start"/>
        <w:rPr/>
      </w:pPr>
      <w:r>
        <w:rPr>
          <w:rStyle w:val="SourceText"/>
        </w:rPr>
        <w:t>NpcMinimalRuntimeRecord</w:t>
      </w:r>
    </w:p>
    <w:p>
      <w:pPr>
        <w:pStyle w:val="PreformattedText"/>
        <w:pBdr/>
        <w:shd w:fill="F4F4F4" w:val="clear"/>
        <w:bidi w:val="0"/>
        <w:spacing w:before="0" w:after="0"/>
        <w:jc w:val="start"/>
        <w:rPr/>
      </w:pPr>
      <w:r>
        <w:rPr>
          <w:rStyle w:val="SourceText"/>
        </w:rPr>
        <w:t xml:space="preserve">├─ </w:t>
      </w:r>
      <w:r>
        <w:rPr>
          <w:rStyle w:val="SourceText"/>
        </w:rPr>
        <w:t>合同：</w:t>
      </w:r>
      <w:r>
        <w:rPr>
          <w:rStyle w:val="SourceText"/>
        </w:rPr>
        <w:t>schemaVersion / recordType / collectionProfile</w:t>
      </w:r>
    </w:p>
    <w:p>
      <w:pPr>
        <w:pStyle w:val="PreformattedText"/>
        <w:pBdr/>
        <w:shd w:fill="F4F4F4" w:val="clear"/>
        <w:bidi w:val="0"/>
        <w:spacing w:before="0" w:after="0"/>
        <w:jc w:val="start"/>
        <w:rPr/>
      </w:pPr>
      <w:r>
        <w:rPr>
          <w:rStyle w:val="SourceText"/>
        </w:rPr>
        <w:t xml:space="preserve">├─ </w:t>
      </w:r>
      <w:r>
        <w:rPr>
          <w:rStyle w:val="SourceText"/>
        </w:rPr>
        <w:t>标识：</w:t>
      </w:r>
      <w:r>
        <w:rPr>
          <w:rStyle w:val="SourceText"/>
        </w:rPr>
        <w:t>recordId / episodeId / sequence / caseId / correlationId</w:t>
      </w:r>
    </w:p>
    <w:p>
      <w:pPr>
        <w:pStyle w:val="PreformattedText"/>
        <w:pBdr/>
        <w:shd w:fill="F4F4F4" w:val="clear"/>
        <w:bidi w:val="0"/>
        <w:spacing w:before="0" w:after="0"/>
        <w:jc w:val="start"/>
        <w:rPr/>
      </w:pPr>
      <w:r>
        <w:rPr>
          <w:rStyle w:val="SourceText"/>
        </w:rPr>
        <w:t xml:space="preserve">├─ </w:t>
      </w:r>
      <w:r>
        <w:rPr>
          <w:rStyle w:val="SourceText"/>
        </w:rPr>
        <w:t>上下文：</w:t>
      </w:r>
      <w:r>
        <w:rPr>
          <w:rStyle w:val="SourceText"/>
        </w:rPr>
        <w:t>missionId / tickId / agentId / scenarioType / environment</w:t>
      </w:r>
    </w:p>
    <w:p>
      <w:pPr>
        <w:pStyle w:val="PreformattedText"/>
        <w:pBdr/>
        <w:shd w:fill="F4F4F4" w:val="clear"/>
        <w:bidi w:val="0"/>
        <w:spacing w:before="0" w:after="0"/>
        <w:jc w:val="start"/>
        <w:rPr/>
      </w:pPr>
      <w:r>
        <w:rPr>
          <w:rStyle w:val="SourceText"/>
        </w:rPr>
        <w:t xml:space="preserve">├─ </w:t>
      </w:r>
      <w:r>
        <w:rPr>
          <w:rStyle w:val="SourceText"/>
        </w:rPr>
        <w:t>时间：</w:t>
      </w:r>
      <w:r>
        <w:rPr>
          <w:rStyle w:val="SourceText"/>
        </w:rPr>
        <w:t>startedAt / endedAt</w:t>
      </w:r>
    </w:p>
    <w:p>
      <w:pPr>
        <w:pStyle w:val="PreformattedText"/>
        <w:pBdr/>
        <w:shd w:fill="F4F4F4" w:val="clear"/>
        <w:bidi w:val="0"/>
        <w:spacing w:before="0" w:after="0"/>
        <w:jc w:val="start"/>
        <w:rPr/>
      </w:pPr>
      <w:r>
        <w:rPr>
          <w:rStyle w:val="SourceText"/>
        </w:rPr>
        <w:t xml:space="preserve">├─ </w:t>
      </w:r>
      <w:r>
        <w:rPr>
          <w:rStyle w:val="SourceText"/>
        </w:rPr>
        <w:t>trigger</w:t>
      </w:r>
      <w:r>
        <w:rPr>
          <w:rStyle w:val="SourceText"/>
        </w:rPr>
        <w:t>：触发来源、名称、优先级和摘要</w:t>
      </w:r>
    </w:p>
    <w:p>
      <w:pPr>
        <w:pStyle w:val="PreformattedText"/>
        <w:pBdr/>
        <w:shd w:fill="F4F4F4" w:val="clear"/>
        <w:bidi w:val="0"/>
        <w:spacing w:before="0" w:after="0"/>
        <w:jc w:val="start"/>
        <w:rPr/>
      </w:pPr>
      <w:r>
        <w:rPr>
          <w:rStyle w:val="SourceText"/>
        </w:rPr>
        <w:t xml:space="preserve">├─ </w:t>
      </w:r>
      <w:r>
        <w:rPr>
          <w:rStyle w:val="SourceText"/>
        </w:rPr>
        <w:t>decision</w:t>
      </w:r>
      <w:r>
        <w:rPr>
          <w:rStyle w:val="SourceText"/>
        </w:rPr>
        <w:t>：决策类型、控制优先级、依据、分支和意图</w:t>
      </w:r>
    </w:p>
    <w:p>
      <w:pPr>
        <w:pStyle w:val="PreformattedText"/>
        <w:pBdr/>
        <w:shd w:fill="F4F4F4" w:val="clear"/>
        <w:bidi w:val="0"/>
        <w:spacing w:before="0" w:after="0"/>
        <w:jc w:val="start"/>
        <w:rPr/>
      </w:pPr>
      <w:r>
        <w:rPr>
          <w:rStyle w:val="SourceText"/>
        </w:rPr>
        <w:t xml:space="preserve">├─ </w:t>
      </w:r>
      <w:r>
        <w:rPr>
          <w:rStyle w:val="SourceText"/>
        </w:rPr>
        <w:t>action</w:t>
      </w:r>
      <w:r>
        <w:rPr>
          <w:rStyle w:val="SourceText"/>
        </w:rPr>
        <w:t>：动作类型、工具、目标和执行状态</w:t>
      </w:r>
    </w:p>
    <w:p>
      <w:pPr>
        <w:pStyle w:val="PreformattedText"/>
        <w:pBdr/>
        <w:shd w:fill="F4F4F4" w:val="clear"/>
        <w:bidi w:val="0"/>
        <w:spacing w:before="0" w:after="0"/>
        <w:jc w:val="start"/>
        <w:rPr/>
      </w:pPr>
      <w:r>
        <w:rPr>
          <w:rStyle w:val="SourceText"/>
        </w:rPr>
        <w:t xml:space="preserve">├─ </w:t>
      </w:r>
      <w:r>
        <w:rPr>
          <w:rStyle w:val="SourceText"/>
        </w:rPr>
        <w:t>control</w:t>
      </w:r>
      <w:r>
        <w:rPr>
          <w:rStyle w:val="SourceText"/>
        </w:rPr>
        <w:t>：控制权、抢占和人工审批摘要</w:t>
      </w:r>
    </w:p>
    <w:p>
      <w:pPr>
        <w:pStyle w:val="PreformattedText"/>
        <w:pBdr/>
        <w:shd w:fill="F4F4F4" w:val="clear"/>
        <w:bidi w:val="0"/>
        <w:spacing w:before="0" w:after="0"/>
        <w:jc w:val="start"/>
        <w:rPr/>
      </w:pPr>
      <w:r>
        <w:rPr>
          <w:rStyle w:val="SourceText"/>
        </w:rPr>
        <w:t xml:space="preserve">├─ </w:t>
      </w:r>
      <w:r>
        <w:rPr>
          <w:rStyle w:val="SourceText"/>
        </w:rPr>
        <w:t>outcome</w:t>
      </w:r>
      <w:r>
        <w:rPr>
          <w:rStyle w:val="SourceText"/>
        </w:rPr>
        <w:t xml:space="preserve">：片段终止语义；不是物理 </w:t>
      </w:r>
      <w:r>
        <w:rPr>
          <w:rStyle w:val="SourceText"/>
        </w:rPr>
        <w:t>Verification</w:t>
      </w:r>
    </w:p>
    <w:p>
      <w:pPr>
        <w:pStyle w:val="PreformattedText"/>
        <w:pBdr/>
        <w:shd w:fill="F4F4F4" w:val="clear"/>
        <w:bidi w:val="0"/>
        <w:spacing w:before="0" w:after="0"/>
        <w:jc w:val="start"/>
        <w:rPr/>
      </w:pPr>
      <w:r>
        <w:rPr>
          <w:rStyle w:val="SourceText"/>
        </w:rPr>
        <w:t xml:space="preserve">├─ </w:t>
      </w:r>
      <w:r>
        <w:rPr>
          <w:rStyle w:val="SourceText"/>
        </w:rPr>
        <w:t>error</w:t>
      </w:r>
      <w:r>
        <w:rPr>
          <w:rStyle w:val="SourceText"/>
        </w:rPr>
        <w:t>：失败摘要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└─ </w:t>
      </w:r>
      <w:r>
        <w:rPr>
          <w:rStyle w:val="SourceText"/>
        </w:rPr>
        <w:t>operational</w:t>
      </w:r>
      <w:r>
        <w:rPr>
          <w:rStyle w:val="SourceText"/>
        </w:rPr>
        <w:t>：决策、下发和总耗时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>
          <w:rStyle w:val="SourceText"/>
        </w:rPr>
        <w:t>schemaVersion</w:t>
      </w:r>
      <w:r>
        <w:rPr/>
        <w:t xml:space="preserve"> </w:t>
      </w:r>
      <w:r>
        <w:rPr/>
        <w:t xml:space="preserve">固定为 </w:t>
      </w:r>
      <w:r>
        <w:rPr>
          <w:rStyle w:val="SourceText"/>
        </w:rPr>
        <w:t>1.1.0</w:t>
      </w:r>
      <w:r>
        <w:rPr/>
        <w:t>，</w:t>
      </w:r>
      <w:r>
        <w:rPr>
          <w:rStyle w:val="SourceText"/>
        </w:rPr>
        <w:t>recordType</w:t>
      </w:r>
      <w:r>
        <w:rPr/>
        <w:t xml:space="preserve"> </w:t>
      </w:r>
      <w:r>
        <w:rPr/>
        <w:t xml:space="preserve">固定为 </w:t>
      </w:r>
      <w:r>
        <w:rPr>
          <w:rStyle w:val="SourceText"/>
        </w:rPr>
        <w:t>npc_minimal_runtime_record</w:t>
      </w:r>
      <w:r>
        <w:rPr/>
        <w:t>，</w:t>
      </w:r>
      <w:r>
        <w:rPr>
          <w:rStyle w:val="SourceText"/>
        </w:rPr>
        <w:t>collectionProfile</w:t>
      </w:r>
      <w:r>
        <w:rPr/>
        <w:t xml:space="preserve"> </w:t>
      </w:r>
      <w:r>
        <w:rPr/>
        <w:t xml:space="preserve">固定为 </w:t>
      </w:r>
      <w:r>
        <w:rPr>
          <w:rStyle w:val="SourceText"/>
        </w:rPr>
        <w:t>minimal</w:t>
      </w:r>
      <w:r>
        <w:rPr/>
        <w:t>。</w:t>
      </w:r>
    </w:p>
    <w:p>
      <w:pPr>
        <w:pStyle w:val="Heading2"/>
        <w:bidi w:val="0"/>
        <w:jc w:val="start"/>
        <w:rPr/>
      </w:pPr>
      <w:r>
        <w:rPr/>
        <w:t xml:space="preserve">5. ClickHouse Collector </w:t>
      </w:r>
      <w:r>
        <w:rPr/>
        <w:t>信封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 xml:space="preserve">JSON </w:t>
      </w:r>
      <w:r>
        <w:rPr/>
        <w:t xml:space="preserve">是业务载荷；以下 </w:t>
      </w:r>
      <w:r>
        <w:rPr/>
        <w:t xml:space="preserve">ClickHouse </w:t>
      </w:r>
      <w:r>
        <w:rPr/>
        <w:t xml:space="preserve">公共列由 </w:t>
      </w:r>
      <w:r>
        <w:rPr/>
        <w:t xml:space="preserve">Collector </w:t>
      </w:r>
      <w:r>
        <w:rPr/>
        <w:t xml:space="preserve">根据部署配置和载荷确定，不要求生产者重复写入 </w:t>
      </w:r>
      <w:r>
        <w:rPr/>
        <w:t>JSON</w:t>
      </w:r>
      <w:r>
        <w:rPr/>
        <w:t>：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531"/>
        <w:gridCol w:w="5808"/>
      </w:tblGrid>
      <w:tr>
        <w:trPr>
          <w:tblHeader w:val="true"/>
        </w:trPr>
        <w:tc>
          <w:tcPr>
            <w:tcW w:w="5531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100" w:after="100"/>
              <w:jc w:val="center"/>
              <w:rPr/>
            </w:pPr>
            <w:r>
              <w:rPr/>
              <w:t xml:space="preserve">ClickHouse </w:t>
            </w:r>
            <w:r>
              <w:rPr/>
              <w:t>列</w:t>
            </w:r>
          </w:p>
        </w:tc>
        <w:tc>
          <w:tcPr>
            <w:tcW w:w="5808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100" w:after="100"/>
              <w:jc w:val="center"/>
              <w:rPr/>
            </w:pPr>
            <w:r>
              <w:rPr/>
              <w:t>来源</w:t>
            </w:r>
            <w:r>
              <w:rPr/>
              <w:t>/</w:t>
            </w:r>
            <w:r>
              <w:rPr/>
              <w:t>规则</w:t>
            </w:r>
          </w:p>
        </w:tc>
      </w:tr>
      <w:tr>
        <w:trPr/>
        <w:tc>
          <w:tcPr>
            <w:tcW w:w="553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>
                <w:rStyle w:val="SourceText"/>
              </w:rPr>
              <w:t>tenant_id</w:t>
            </w:r>
            <w:r>
              <w:rPr/>
              <w:t>、</w:t>
            </w:r>
            <w:r>
              <w:rPr>
                <w:rStyle w:val="SourceText"/>
              </w:rPr>
              <w:t>project_id</w:t>
            </w:r>
          </w:p>
        </w:tc>
        <w:tc>
          <w:tcPr>
            <w:tcW w:w="5808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Collector </w:t>
            </w:r>
            <w:r>
              <w:rPr/>
              <w:t xml:space="preserve">部署配置，禁止从 </w:t>
            </w:r>
            <w:r>
              <w:rPr/>
              <w:t xml:space="preserve">payload </w:t>
            </w:r>
            <w:r>
              <w:rPr/>
              <w:t>猜测</w:t>
            </w:r>
          </w:p>
        </w:tc>
      </w:tr>
      <w:tr>
        <w:trPr/>
        <w:tc>
          <w:tcPr>
            <w:tcW w:w="553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>
                <w:rStyle w:val="SourceText"/>
              </w:rPr>
              <w:t>environment</w:t>
            </w:r>
          </w:p>
        </w:tc>
        <w:tc>
          <w:tcPr>
            <w:tcW w:w="5808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部署环境，只允许 </w:t>
            </w:r>
            <w:r>
              <w:rPr>
                <w:rStyle w:val="SourceText"/>
              </w:rPr>
              <w:t>dev/test/staging/prod</w:t>
            </w:r>
          </w:p>
        </w:tc>
      </w:tr>
      <w:tr>
        <w:trPr/>
        <w:tc>
          <w:tcPr>
            <w:tcW w:w="553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>
                <w:rStyle w:val="SourceText"/>
              </w:rPr>
              <w:t>record_id</w:t>
            </w:r>
            <w:r>
              <w:rPr/>
              <w:t>、</w:t>
            </w:r>
            <w:r>
              <w:rPr>
                <w:rStyle w:val="SourceText"/>
              </w:rPr>
              <w:t>episode_id</w:t>
            </w:r>
            <w:r>
              <w:rPr/>
              <w:t>、</w:t>
            </w:r>
            <w:r>
              <w:rPr>
                <w:rStyle w:val="SourceText"/>
              </w:rPr>
              <w:t>correlation_id</w:t>
            </w:r>
            <w:r>
              <w:rPr/>
              <w:t>、</w:t>
            </w:r>
            <w:r>
              <w:rPr>
                <w:rStyle w:val="SourceText"/>
              </w:rPr>
              <w:t>sequence</w:t>
            </w:r>
          </w:p>
        </w:tc>
        <w:tc>
          <w:tcPr>
            <w:tcW w:w="5808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对应 </w:t>
            </w:r>
            <w:r>
              <w:rPr/>
              <w:t xml:space="preserve">JSON camelCase </w:t>
            </w:r>
            <w:r>
              <w:rPr/>
              <w:t>字段</w:t>
            </w:r>
          </w:p>
        </w:tc>
      </w:tr>
      <w:tr>
        <w:trPr/>
        <w:tc>
          <w:tcPr>
            <w:tcW w:w="553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>
                <w:rStyle w:val="SourceText"/>
              </w:rPr>
              <w:t>agent_id</w:t>
            </w:r>
            <w:r>
              <w:rPr/>
              <w:t>、</w:t>
            </w:r>
            <w:r>
              <w:rPr>
                <w:rStyle w:val="SourceText"/>
              </w:rPr>
              <w:t>agent_version</w:t>
            </w:r>
          </w:p>
        </w:tc>
        <w:tc>
          <w:tcPr>
            <w:tcW w:w="5808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>
                <w:rStyle w:val="SourceText"/>
              </w:rPr>
              <w:t>agentId</w:t>
            </w:r>
            <w:r>
              <w:rPr/>
              <w:t xml:space="preserve"> </w:t>
            </w:r>
            <w:r>
              <w:rPr/>
              <w:t xml:space="preserve">及 </w:t>
            </w:r>
            <w:r>
              <w:rPr>
                <w:rStyle w:val="SourceText"/>
              </w:rPr>
              <w:t>metadata.agentVersion</w:t>
            </w:r>
          </w:p>
        </w:tc>
      </w:tr>
      <w:tr>
        <w:trPr/>
        <w:tc>
          <w:tcPr>
            <w:tcW w:w="553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>
                <w:rStyle w:val="SourceText"/>
              </w:rPr>
              <w:t>schema_name</w:t>
            </w:r>
          </w:p>
        </w:tc>
        <w:tc>
          <w:tcPr>
            <w:tcW w:w="5808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固定 </w:t>
            </w:r>
            <w:r>
              <w:rPr>
                <w:rStyle w:val="SourceText"/>
              </w:rPr>
              <w:t>npc_minimal_runtime_record</w:t>
            </w:r>
          </w:p>
        </w:tc>
      </w:tr>
      <w:tr>
        <w:trPr/>
        <w:tc>
          <w:tcPr>
            <w:tcW w:w="553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>
                <w:rStyle w:val="SourceText"/>
              </w:rPr>
              <w:t>schema_version</w:t>
            </w:r>
            <w:r>
              <w:rPr/>
              <w:t>、</w:t>
            </w:r>
            <w:r>
              <w:rPr>
                <w:rStyle w:val="SourceText"/>
              </w:rPr>
              <w:t>minimal_schema_version</w:t>
            </w:r>
          </w:p>
        </w:tc>
        <w:tc>
          <w:tcPr>
            <w:tcW w:w="5808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均保存 </w:t>
            </w:r>
            <w:r>
              <w:rPr/>
              <w:t xml:space="preserve">JSON </w:t>
            </w:r>
            <w:r>
              <w:rPr>
                <w:rStyle w:val="SourceText"/>
              </w:rPr>
              <w:t>schemaVersion</w:t>
            </w:r>
            <w:r>
              <w:rPr/>
              <w:t xml:space="preserve">；不得把 </w:t>
            </w:r>
            <w:r>
              <w:rPr/>
              <w:t xml:space="preserve">SemVer </w:t>
            </w:r>
            <w:r>
              <w:rPr/>
              <w:t>静默转为整数</w:t>
            </w:r>
          </w:p>
        </w:tc>
      </w:tr>
      <w:tr>
        <w:trPr/>
        <w:tc>
          <w:tcPr>
            <w:tcW w:w="553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>
                <w:rStyle w:val="SourceText"/>
              </w:rPr>
              <w:t>collection_profile</w:t>
            </w:r>
          </w:p>
        </w:tc>
        <w:tc>
          <w:tcPr>
            <w:tcW w:w="5808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JSON </w:t>
            </w:r>
            <w:r>
              <w:rPr>
                <w:rStyle w:val="SourceText"/>
              </w:rPr>
              <w:t>collectionProfile</w:t>
            </w:r>
            <w:r>
              <w:rPr/>
              <w:t xml:space="preserve">，固定 </w:t>
            </w:r>
            <w:r>
              <w:rPr>
                <w:rStyle w:val="SourceText"/>
              </w:rPr>
              <w:t>minimal</w:t>
            </w:r>
          </w:p>
        </w:tc>
      </w:tr>
      <w:tr>
        <w:trPr/>
        <w:tc>
          <w:tcPr>
            <w:tcW w:w="553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>
                <w:rStyle w:val="SourceText"/>
              </w:rPr>
              <w:t>occurred_at</w:t>
            </w:r>
          </w:p>
        </w:tc>
        <w:tc>
          <w:tcPr>
            <w:tcW w:w="5808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本合同取 </w:t>
            </w:r>
            <w:r>
              <w:rPr>
                <w:rStyle w:val="SourceText"/>
              </w:rPr>
              <w:t>endedAt</w:t>
            </w:r>
            <w:r>
              <w:rPr/>
              <w:t>，表示该决策片段结果形成时间</w:t>
            </w:r>
          </w:p>
        </w:tc>
      </w:tr>
      <w:tr>
        <w:trPr/>
        <w:tc>
          <w:tcPr>
            <w:tcW w:w="553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>
                <w:rStyle w:val="SourceText"/>
              </w:rPr>
              <w:t>payload_json</w:t>
            </w:r>
          </w:p>
        </w:tc>
        <w:tc>
          <w:tcPr>
            <w:tcW w:w="5808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UTF-8 </w:t>
            </w:r>
            <w:r>
              <w:rPr/>
              <w:t xml:space="preserve">完整原始 </w:t>
            </w:r>
            <w:r>
              <w:rPr/>
              <w:t>JSON</w:t>
            </w:r>
          </w:p>
        </w:tc>
      </w:tr>
      <w:tr>
        <w:trPr/>
        <w:tc>
          <w:tcPr>
            <w:tcW w:w="553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>
                <w:rStyle w:val="SourceText"/>
              </w:rPr>
              <w:t>payload_hash</w:t>
            </w:r>
          </w:p>
        </w:tc>
        <w:tc>
          <w:tcPr>
            <w:tcW w:w="5808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来源声明 </w:t>
            </w:r>
            <w:r>
              <w:rPr/>
              <w:t>Hash</w:t>
            </w:r>
            <w:r>
              <w:rPr/>
              <w:t xml:space="preserve">；来源未声明时可与 </w:t>
            </w:r>
            <w:r>
              <w:rPr/>
              <w:t xml:space="preserve">Collector SHA-256 </w:t>
            </w:r>
            <w:r>
              <w:rPr/>
              <w:t>相同</w:t>
            </w:r>
          </w:p>
        </w:tc>
      </w:tr>
      <w:tr>
        <w:trPr/>
        <w:tc>
          <w:tcPr>
            <w:tcW w:w="553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>
                <w:rStyle w:val="SourceText"/>
              </w:rPr>
              <w:t>payload_sha256</w:t>
            </w:r>
          </w:p>
        </w:tc>
        <w:tc>
          <w:tcPr>
            <w:tcW w:w="5808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Collector </w:t>
            </w:r>
            <w:r>
              <w:rPr/>
              <w:t xml:space="preserve">对规范化完整载荷计算的 </w:t>
            </w:r>
            <w:r>
              <w:rPr/>
              <w:t xml:space="preserve">64 </w:t>
            </w:r>
            <w:r>
              <w:rPr/>
              <w:t xml:space="preserve">位小写 </w:t>
            </w:r>
            <w:r>
              <w:rPr/>
              <w:t>SHA-256</w:t>
            </w:r>
          </w:p>
        </w:tc>
      </w:tr>
    </w:tbl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 xml:space="preserve">JSON </w:t>
      </w:r>
      <w:r>
        <w:rPr/>
        <w:t xml:space="preserve">的 </w:t>
      </w:r>
      <w:r>
        <w:rPr>
          <w:rStyle w:val="SourceText"/>
        </w:rPr>
        <w:t>environment</w:t>
      </w:r>
      <w:r>
        <w:rPr/>
        <w:t xml:space="preserve"> </w:t>
      </w:r>
      <w:r>
        <w:rPr/>
        <w:t xml:space="preserve">表示运行环境，列化到 </w:t>
      </w:r>
      <w:r>
        <w:rPr>
          <w:rStyle w:val="SourceText"/>
        </w:rPr>
        <w:t>runtime_environment</w:t>
      </w:r>
      <w:r>
        <w:rPr/>
        <w:t xml:space="preserve">，允许 </w:t>
      </w:r>
      <w:r>
        <w:rPr>
          <w:rStyle w:val="SourceText"/>
        </w:rPr>
        <w:t>simulation/field_test/real_vehicle/replay/unspecified</w:t>
      </w:r>
      <w:r>
        <w:rPr/>
        <w:t xml:space="preserve">；它不能覆盖 </w:t>
      </w:r>
      <w:r>
        <w:rPr/>
        <w:t xml:space="preserve">ClickHouse </w:t>
      </w:r>
      <w:r>
        <w:rPr/>
        <w:t xml:space="preserve">公共列 </w:t>
      </w:r>
      <w:r>
        <w:rPr>
          <w:rStyle w:val="SourceText"/>
        </w:rPr>
        <w:t>environment</w:t>
      </w:r>
      <w:r>
        <w:rPr/>
        <w:t xml:space="preserve"> </w:t>
      </w:r>
      <w:r>
        <w:rPr/>
        <w:t>的部署环境。</w:t>
      </w:r>
      <w:r>
        <w:rPr/>
        <w:t xml:space="preserve">P1 </w:t>
      </w:r>
      <w:r>
        <w:rPr/>
        <w:t xml:space="preserve">投影时将 </w:t>
      </w:r>
      <w:r>
        <w:rPr>
          <w:rStyle w:val="SourceText"/>
        </w:rPr>
        <w:t>unspecified</w:t>
      </w:r>
      <w:r>
        <w:rPr/>
        <w:t xml:space="preserve"> </w:t>
      </w:r>
      <w:r>
        <w:rPr/>
        <w:t xml:space="preserve">显式映射为领域合同的 </w:t>
      </w:r>
      <w:r>
        <w:rPr>
          <w:rStyle w:val="SourceText"/>
        </w:rPr>
        <w:t>unknown</w:t>
      </w:r>
      <w:r>
        <w:rPr/>
        <w:t xml:space="preserve">，并在来源 </w:t>
      </w:r>
      <w:r>
        <w:rPr/>
        <w:t xml:space="preserve">JSON </w:t>
      </w:r>
      <w:r>
        <w:rPr/>
        <w:t>中保留原值。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 xml:space="preserve">Collector </w:t>
      </w:r>
      <w:r>
        <w:rPr/>
        <w:t>接受一条记录时必须：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校验 </w:t>
      </w:r>
      <w:r>
        <w:rPr/>
        <w:t>JSON Schema</w:t>
      </w:r>
      <w:r>
        <w:rPr/>
        <w:t>；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规范化载荷并计算 </w:t>
      </w:r>
      <w:r>
        <w:rPr/>
        <w:t>Hash</w:t>
      </w:r>
      <w:r>
        <w:rPr/>
        <w:t>；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先写 </w:t>
      </w:r>
      <w:r>
        <w:rPr>
          <w:rStyle w:val="SourceText"/>
        </w:rPr>
        <w:t>sdar_npc.raw_record</w:t>
      </w:r>
      <w:r>
        <w:rPr/>
        <w:t>；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再写 </w:t>
      </w:r>
      <w:r>
        <w:rPr>
          <w:rStyle w:val="SourceText"/>
        </w:rPr>
        <w:t>sdar_npc.minimal_runtime_record</w:t>
      </w:r>
      <w:r>
        <w:rPr/>
        <w:t>；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两行复用相同 </w:t>
      </w:r>
      <w:r>
        <w:rPr>
          <w:rStyle w:val="SourceText"/>
        </w:rPr>
        <w:t>tenant_id/project_id/record_id/payload_sha256</w:t>
      </w:r>
      <w:r>
        <w:rPr/>
        <w:t>；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ind w:start="809" w:end="100" w:hanging="283"/>
        <w:jc w:val="start"/>
        <w:rPr/>
      </w:pPr>
      <w:r>
        <w:rPr/>
        <w:t xml:space="preserve">raw/typed </w:t>
      </w:r>
      <w:r>
        <w:rPr/>
        <w:t xml:space="preserve">缺失或 </w:t>
      </w:r>
      <w:r>
        <w:rPr/>
        <w:t xml:space="preserve">Hash </w:t>
      </w:r>
      <w:r>
        <w:rPr/>
        <w:t xml:space="preserve">不一致时阻断 </w:t>
      </w:r>
      <w:r>
        <w:rPr/>
        <w:t xml:space="preserve">P1 </w:t>
      </w:r>
      <w:r>
        <w:rPr/>
        <w:t>投影。</w:t>
      </w:r>
    </w:p>
    <w:p>
      <w:pPr>
        <w:pStyle w:val="TextBody"/>
        <w:bidi w:val="0"/>
        <w:jc w:val="start"/>
        <w:rPr/>
      </w:pPr>
      <w:r>
        <w:rPr/>
        <w:t>完整写入要求见 部署说明和投影合同。</w:t>
      </w:r>
    </w:p>
    <w:p>
      <w:pPr>
        <w:pStyle w:val="Heading2"/>
        <w:bidi w:val="0"/>
        <w:jc w:val="start"/>
        <w:rPr/>
      </w:pPr>
      <w:r>
        <w:rPr/>
        <w:t xml:space="preserve">6. </w:t>
      </w:r>
      <w:r>
        <w:rPr/>
        <w:t>可支持的轻量检查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>可直接检查：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Safety/Tactical/Mission/Idle </w:t>
      </w:r>
      <w:r>
        <w:rPr/>
        <w:t>的控制优先级是否正确；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是否选择预期 </w:t>
      </w:r>
      <w:r>
        <w:rPr/>
        <w:t xml:space="preserve">BehaviorTree </w:t>
      </w:r>
      <w:r>
        <w:rPr/>
        <w:t>分支和意图；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>是否下发应有动作、禁止动作或人工审批请求；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>工具调用状态、错误类别、重试和时延；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ind w:start="809" w:end="100" w:hanging="283"/>
        <w:jc w:val="start"/>
        <w:rPr/>
      </w:pPr>
      <w:r>
        <w:rPr/>
        <w:t xml:space="preserve">片段级 </w:t>
      </w:r>
      <w:r>
        <w:rPr/>
        <w:t xml:space="preserve">Outcome </w:t>
      </w:r>
      <w:r>
        <w:rPr/>
        <w:t>是否符合测试断言。</w:t>
      </w:r>
    </w:p>
    <w:p>
      <w:pPr>
        <w:pStyle w:val="TextBody"/>
        <w:bidi w:val="0"/>
        <w:jc w:val="start"/>
        <w:rPr/>
      </w:pPr>
      <w:r>
        <w:rPr/>
        <w:t>只能部分检查：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>策略与行动一致性；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>异常处置和恢复；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ind w:start="809" w:end="100" w:hanging="283"/>
        <w:jc w:val="start"/>
        <w:rPr/>
      </w:pPr>
      <w:r>
        <w:rPr/>
        <w:t>控制冲突和无效重试。</w:t>
      </w:r>
    </w:p>
    <w:p>
      <w:pPr>
        <w:pStyle w:val="TextBody"/>
        <w:bidi w:val="0"/>
        <w:jc w:val="start"/>
        <w:rPr/>
      </w:pPr>
      <w:r>
        <w:rPr/>
        <w:t>无法直接检查：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Blackboard </w:t>
      </w:r>
      <w:r>
        <w:rPr/>
        <w:t>一致性和状态新鲜度；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>完整状态轨迹和决策证据关联；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>实体目标有效性、实际位置、停止速度或任务物理完成；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09" w:leader="none"/>
        </w:tabs>
        <w:bidi w:val="0"/>
        <w:ind w:start="809" w:end="100" w:hanging="283"/>
        <w:jc w:val="start"/>
        <w:rPr/>
      </w:pPr>
      <w:r>
        <w:rPr/>
        <w:t xml:space="preserve">完整领域评价和 </w:t>
      </w:r>
      <w:r>
        <w:rPr/>
        <w:t xml:space="preserve">SDAR </w:t>
      </w:r>
      <w:r>
        <w:rPr/>
        <w:t>通用评价。</w:t>
      </w:r>
    </w:p>
    <w:p>
      <w:pPr>
        <w:pStyle w:val="Heading2"/>
        <w:bidi w:val="0"/>
        <w:jc w:val="start"/>
        <w:rPr/>
      </w:pPr>
      <w:r>
        <w:rPr/>
        <w:t xml:space="preserve">7. </w:t>
      </w:r>
      <w:r>
        <w:rPr/>
        <w:t>版本升级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 xml:space="preserve">从 </w:t>
      </w:r>
      <w:r>
        <w:rPr>
          <w:rStyle w:val="SourceText"/>
        </w:rPr>
        <w:t>1.0.0</w:t>
      </w:r>
      <w:r>
        <w:rPr/>
        <w:t xml:space="preserve"> </w:t>
      </w:r>
      <w:r>
        <w:rPr/>
        <w:t xml:space="preserve">升级到 </w:t>
      </w:r>
      <w:r>
        <w:rPr>
          <w:rStyle w:val="SourceText"/>
        </w:rPr>
        <w:t>1.1.0</w:t>
      </w:r>
      <w:r>
        <w:rPr/>
        <w:t xml:space="preserve"> </w:t>
      </w:r>
      <w:r>
        <w:rPr/>
        <w:t>时：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新增必填 </w:t>
      </w:r>
      <w:r>
        <w:rPr>
          <w:rStyle w:val="SourceText"/>
        </w:rPr>
        <w:t>collectionProfile</w:t>
      </w:r>
      <w:r>
        <w:rPr/>
        <w:t xml:space="preserve">，固定为 </w:t>
      </w:r>
      <w:r>
        <w:rPr>
          <w:rStyle w:val="SourceText"/>
        </w:rPr>
        <w:t>minimal</w:t>
      </w:r>
      <w:r>
        <w:rPr/>
        <w:t>；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Collector </w:t>
      </w:r>
      <w:r>
        <w:rPr/>
        <w:t xml:space="preserve">必须将其写入公共列 </w:t>
      </w:r>
      <w:r>
        <w:rPr>
          <w:rStyle w:val="SourceText"/>
        </w:rPr>
        <w:t>collection_profile</w:t>
      </w:r>
      <w:r>
        <w:rPr/>
        <w:t>；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>其余业务字段保持兼容；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809" w:leader="none"/>
        </w:tabs>
        <w:bidi w:val="0"/>
        <w:ind w:start="809" w:end="100" w:hanging="283"/>
        <w:jc w:val="start"/>
        <w:rPr/>
      </w:pPr>
      <w:r>
        <w:rPr/>
        <w:t xml:space="preserve">历史 </w:t>
      </w:r>
      <w:r>
        <w:rPr>
          <w:rStyle w:val="SourceText"/>
        </w:rPr>
        <w:t>1.0.0</w:t>
      </w:r>
      <w:r>
        <w:rPr/>
        <w:t xml:space="preserve"> </w:t>
      </w:r>
      <w:r>
        <w:rPr/>
        <w:t xml:space="preserve">记录仍按原始 </w:t>
      </w:r>
      <w:r>
        <w:rPr/>
        <w:t xml:space="preserve">Schema </w:t>
      </w:r>
      <w:r>
        <w:rPr/>
        <w:t xml:space="preserve">回放，不允许原地改写成 </w:t>
      </w:r>
      <w:r>
        <w:rPr>
          <w:rStyle w:val="SourceText"/>
        </w:rPr>
        <w:t>1.1.0</w:t>
      </w:r>
      <w:r>
        <w:rPr/>
        <w:t>。</w:t>
      </w:r>
    </w:p>
    <w:p>
      <w:pPr>
        <w:pStyle w:val="TextBody"/>
        <w:bidi w:val="0"/>
        <w:jc w:val="start"/>
        <w:rPr/>
      </w:pPr>
      <w:r>
        <w:rPr/>
        <w:t xml:space="preserve">示例见 </w:t>
      </w:r>
      <w:r>
        <w:rPr>
          <w:rStyle w:val="SourceText"/>
        </w:rPr>
        <w:t>npc_minimal_runtime_record.example.json</w:t>
      </w:r>
      <w:r>
        <w:rPr/>
        <w:t>，</w:t>
      </w:r>
      <w:r>
        <w:rPr/>
        <w:t xml:space="preserve">Schema </w:t>
      </w:r>
      <w:r>
        <w:rPr/>
        <w:t xml:space="preserve">见 </w:t>
      </w:r>
      <w:r>
        <w:rPr>
          <w:rStyle w:val="SourceText"/>
        </w:rPr>
        <w:t>npc_minimal_runtime_record.schema.json</w:t>
      </w:r>
      <w:r>
        <w:rPr/>
        <w:t>。在仓库根目录执行：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python3 validate_examples.py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CJK SC">
    <w:altName w:val="Microsoft YaHei"/>
    <w:charset w:val="01" w:characterSet="utf-8"/>
    <w:family w:val="auto"/>
    <w:pitch w:val="default"/>
  </w:font>
  <w:font w:name="Liberation Sans Unicode MS">
    <w:charset w:val="01" w:characterSet="utf-8"/>
    <w:family w:val="auto"/>
    <w:pitch w:val="variable"/>
  </w:font>
  <w:font w:name="monospace"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/>
    </w:pPr>
    <w:rPr>
      <w:rFonts w:ascii="Noto Sans CJK SC;Microsoft YaHei;sans-serif" w:hAnsi="Noto Sans CJK SC;Microsoft YaHei;sans-serif" w:eastAsia="Noto Sans CJK SC;Microsoft YaHei;sans-serif" w:cs="Noto Sans CJK SC;Microsoft YaHei;sans-serif"/>
      <w:color w:val="auto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TextBody"/>
    <w:qFormat/>
    <w:pPr/>
    <w:rPr>
      <w:rFonts w:ascii="Liberation Sans Unicode MS" w:hAnsi="Liberation Sans Unicode MS"/>
      <w:b/>
      <w:bCs/>
      <w:sz w:val="44"/>
      <w:szCs w:val="44"/>
    </w:rPr>
  </w:style>
  <w:style w:type="paragraph" w:styleId="Heading2">
    <w:name w:val="Heading 2"/>
    <w:basedOn w:val="Heading"/>
    <w:next w:val="TextBody"/>
    <w:qFormat/>
    <w:pPr>
      <w:spacing w:before="360" w:after="120"/>
      <w:outlineLvl w:val="1"/>
    </w:pPr>
    <w:rPr>
      <w:rFonts w:ascii="Liberation Serif" w:hAnsi="Liberation Serif" w:eastAsia="Noto Serif CJK SC" w:cs="Lohit Devanagari"/>
      <w:b/>
      <w:bCs/>
      <w:sz w:val="32"/>
      <w:szCs w:val="32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6"/>
      <w:szCs w:val="2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ourceText">
    <w:name w:val="Source Text"/>
    <w:qFormat/>
    <w:rPr>
      <w:rFonts w:ascii="monospace" w:hAnsi="monospace" w:eastAsia="monospace" w:cs="monospace"/>
      <w:shd w:fill="F3F3F3" w:val="clear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">
    <w:name w:val="Body Text"/>
    <w:basedOn w:val="Normal"/>
    <w:pPr>
      <w:spacing w:before="100" w:after="100"/>
      <w:ind w:start="100" w:end="100" w:hanging="0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top w:val="single" w:sz="2" w:space="8" w:color="CCCCCC"/>
        <w:left w:val="single" w:sz="2" w:space="8" w:color="CCCCCC"/>
        <w:bottom w:val="single" w:sz="2" w:space="8" w:color="CCCCCC"/>
        <w:right w:val="single" w:sz="2" w:space="8" w:color="CCCCCC"/>
      </w:pBdr>
      <w:shd w:fill="F4F4F4" w:val="clear"/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E8EEF7" w:val="clear"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