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p>
      <w:pPr>
        <w:numPr>
          <w:ilvl w:val="0"/>
          <w:numId w:val="1"/>
        </w:numPr>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 For what types of A and B is the simple assignment statement A = B legal in C++ but not Java?</w:t>
      </w:r>
    </w:p>
    <w:p>
      <w:pPr>
        <w:numPr>
          <w:ilvl w:val="0"/>
          <w:numId w:val="0"/>
        </w:numPr>
        <w:rPr>
          <w:rFonts w:hint="default" w:ascii="Arial" w:hAnsi="Arial" w:cs="Arial"/>
          <w:color w:val="FFFFFF" w:themeColor="background1"/>
          <w:lang w:val="en-US"/>
          <w14:textFill>
            <w14:solidFill>
              <w14:schemeClr w14:val="bg1"/>
            </w14:solidFill>
          </w14:textFill>
        </w:rPr>
      </w:pP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int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and B is: bool, double,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bool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char, double, short,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char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bool, double, short,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double 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double;</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short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bool, char, double,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float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bool, double;</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long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and B is</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bool, double, float;</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2.</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eastAsia" w:ascii="Arial" w:hAnsi="Arial" w:cs="Arial" w:eastAsiaTheme="minorEastAsia"/>
          <w:color w:val="FFFFFF" w:themeColor="background1"/>
          <w:lang w:val="en-US" w:eastAsia="zh-CN"/>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Disadvantages: More things to pay attention to while coding. Use has to remember and map out the binding carefully. The advantage is better memory use if done correctly. The program also becomes safer. Unintended casting and mutation can be avoided.</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Supposedly, we can use actual “True” and “False” to represent boolean values, instead of integer coercion. This will ensure the boolean variable does not get adjusted unnoticed.</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Evaluation criteria wise: (replace all implicit type conversion with explicit type conversion):</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readability,</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Worse writeability,</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reliability,</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cost due to ease to optimisation.</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color w:val="FFFFFF" w:themeColor="background1"/>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3.</w:t>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90525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5250" cy="77152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4695825" cy="98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95825" cy="9810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5800725" cy="742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00725" cy="742950"/>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4352925" cy="619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52925" cy="61912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276600" cy="82867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8"/>
                    <a:stretch>
                      <a:fillRect/>
                    </a:stretch>
                  </pic:blipFill>
                  <pic:spPr>
                    <a:xfrm>
                      <a:off x="0" y="0"/>
                      <a:ext cx="3276600" cy="8286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876675" cy="95250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3876675" cy="952500"/>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2533650" cy="1095375"/>
            <wp:effectExtent l="0" t="0" r="0"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0"/>
                    <a:stretch>
                      <a:fillRect/>
                    </a:stretch>
                  </pic:blipFill>
                  <pic:spPr>
                    <a:xfrm>
                      <a:off x="0" y="0"/>
                      <a:ext cx="2533650" cy="10953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295650" cy="60007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a:stretch>
                      <a:fillRect/>
                    </a:stretch>
                  </pic:blipFill>
                  <pic:spPr>
                    <a:xfrm>
                      <a:off x="0" y="0"/>
                      <a:ext cx="3295650" cy="6000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2524125" cy="619125"/>
            <wp:effectExtent l="0" t="0" r="952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2"/>
                    <a:stretch>
                      <a:fillRect/>
                    </a:stretch>
                  </pic:blipFill>
                  <pic:spPr>
                    <a:xfrm>
                      <a:off x="0" y="0"/>
                      <a:ext cx="2524125" cy="619125"/>
                    </a:xfrm>
                    <a:prstGeom prst="rect">
                      <a:avLst/>
                    </a:prstGeom>
                    <a:noFill/>
                    <a:ln>
                      <a:noFill/>
                    </a:ln>
                  </pic:spPr>
                </pic:pic>
              </a:graphicData>
            </a:graphic>
          </wp:inline>
        </w:drawing>
      </w:r>
    </w:p>
    <w:p>
      <w:pPr>
        <w:widowControl w:val="0"/>
        <w:numPr>
          <w:ilvl w:val="0"/>
          <w:numId w:val="0"/>
        </w:numPr>
        <w:jc w:val="both"/>
        <w:rPr>
          <w:color w:val="FFFFFF" w:themeColor="background1"/>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ANS:</w:t>
      </w:r>
    </w:p>
    <w:p>
      <w:pPr>
        <w:ind w:firstLine="420" w:firstLineChars="0"/>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p>
    <w:p>
      <w:pPr>
        <w:numPr>
          <w:ilvl w:val="0"/>
          <w:numId w:val="3"/>
        </w:numPr>
        <w:ind w:firstLine="420" w:firstLineChars="0"/>
        <w:rPr>
          <w:rFonts w:hint="default"/>
          <w:color w:val="FFFFFF" w:themeColor="background1"/>
          <w:lang w:val="en-US"/>
          <w14:textFill>
            <w14:solidFill>
              <w14:schemeClr w14:val="bg1"/>
            </w14:solidFill>
          </w14:textFill>
        </w:rPr>
      </w:pPr>
    </w:p>
    <w:p>
      <w:pPr>
        <w:numPr>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(((a*b)-1)+c)</w:t>
      </w:r>
    </w:p>
    <w:p>
      <w:pPr>
        <w:numPr>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=((51*7)-1)+11)</w:t>
      </w:r>
    </w:p>
    <w:p>
      <w:pPr>
        <w:numPr>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=357-1+11</w:t>
      </w:r>
    </w:p>
    <w:p>
      <w:pPr>
        <w:numPr>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=367</w:t>
      </w:r>
    </w:p>
    <w:p>
      <w:pPr>
        <w:widowControl w:val="0"/>
        <w:numPr>
          <w:numId w:val="0"/>
        </w:numPr>
        <w:ind w:firstLine="420" w:firstLineChars="0"/>
        <w:jc w:val="both"/>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((a*(b-1)) / (c%d))</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 / (13%2))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=(51*6/1)</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=306</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((a-b)/(c&amp;((d*e)/(a-3))))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=((51-7)/(11&amp;((13*2)/(51-3))))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=42/(11&amp;0.541667)</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=42/0</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=infinity</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((a+b)&lt;=11)*(d&gt;(b-e))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=((51+7)&lt;=11)*(13&gt;(7-2))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=(58&lt;=11)*(13&gt;5)</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=False * True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Cannot compute boolean value multiplication</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 || (c ) = (d&amp;&amp;e))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 || (c = (13&amp;&amp;2) ))</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value 2 assigned to c</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 || 2 )</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w:t>
      </w:r>
    </w:p>
    <w:p>
      <w:pPr>
        <w:numPr>
          <w:ilvl w:val="0"/>
          <w:numId w:val="0"/>
        </w:numPr>
        <w:ind w:firstLine="420" w:firstLineChars="0"/>
        <w:rPr>
          <w:rFonts w:hint="default"/>
          <w:color w:val="FFFFFF" w:themeColor="background1"/>
          <w:lang w:val="en-US"/>
          <w14:textFill>
            <w14:solidFill>
              <w14:schemeClr w14:val="bg1"/>
            </w14:solidFill>
          </w14:textFill>
        </w:rPr>
      </w:pP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(6)</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(((a&gt;b)~|c)||(d&lt;=17))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=((51&gt;7)~|11) || (13&lt;=17)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=(True ~| 11) || True</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boolean value should not be in a bitwise computation</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suppose True == 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=(0 ~| 11) || 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=11||0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=11</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=-44</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(8)</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((a+(b*c))+d)</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=(51+(7*11))+13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=(51+77)+13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=141</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(9)</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(++(a++)))</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(++(51++)))</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(++(52)))</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assigned to 53</w:t>
      </w:r>
    </w:p>
    <w:p>
      <w:pPr>
        <w:ind w:left="420" w:leftChars="0" w:firstLine="420" w:firstLineChars="0"/>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CFG:</w:t>
      </w:r>
    </w:p>
    <w:p>
      <w:pPr>
        <w:rPr>
          <w:rFonts w:hint="default"/>
          <w:color w:val="FFFFFF" w:themeColor="background1"/>
          <w:lang w:val="en-US"/>
          <w14:textFill>
            <w14:solidFill>
              <w14:schemeClr w14:val="bg1"/>
            </w14:solidFill>
          </w14:textFill>
        </w:rPr>
      </w:pP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&lt;expr&gt; -&gt;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&lt;expr&gt; {+|-|*|/|&amp;&amp;||||~||&amp;}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 = &lt;expr&gt;</w:t>
      </w:r>
    </w:p>
    <w:p>
      <w:pPr>
        <w:ind w:left="420" w:leftChars="0" w:firstLine="420" w:firstLineChars="0"/>
        <w:rPr>
          <w:rFonts w:hint="default"/>
          <w:color w:val="FFFFFF" w:themeColor="background1"/>
          <w:lang w:val="en-US"/>
          <w14:textFill>
            <w14:solidFill>
              <w14:schemeClr w14:val="bg1"/>
            </w14:solidFill>
          </w14:textFill>
        </w:rPr>
      </w:pP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&lt;var&gt; -&gt;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&lt;var_id&gt;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6.</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1.add(minus(multi(a,b),1),c)</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2.div( multi(a,minus(b,1)), mod(c,d)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3.div(minus(a,b), div( bitwise_and(c, multi(d,e) ) , minus(a,3)  )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4.multi(  less_equal_than( add(a,b),c), larger_than(d,  minus(b,e)  )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5.logical_or(negative(a) , c = logcial_add(d,e)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6.logical_or(  XOR(larger_tahn(a,b), c) ,  less_than(d,17)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7.negative( add(a,b) )</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8.add(add(a, multi(b,c)), d)</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9.e = increment(increment(a))</w:t>
      </w:r>
    </w:p>
    <w:p>
      <w:pPr>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No need to use precedence marker/symbol. Every function, except for the parent function, will always be a child to another function. </w:t>
      </w:r>
    </w:p>
    <w:p>
      <w:pPr>
        <w:ind w:firstLine="420" w:firstLineChars="0"/>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7.</w:t>
      </w:r>
    </w:p>
    <w:p>
      <w:pPr>
        <w:ind w:left="420" w:leftChars="0" w:firstLine="420" w:firstLineChars="0"/>
        <w:rPr>
          <w:rFonts w:hint="eastAsia"/>
          <w:color w:val="FFFF00"/>
          <w:lang w:val="en-US" w:eastAsia="zh-CN"/>
        </w:rPr>
      </w:pPr>
      <w:r>
        <w:rPr>
          <w:rFonts w:hint="default"/>
          <w:color w:val="FFFFFF" w:themeColor="background1"/>
          <w:lang w:val="en-US"/>
          <w14:textFill>
            <w14:solidFill>
              <w14:schemeClr w14:val="bg1"/>
            </w14:solidFill>
          </w14:textFill>
        </w:rPr>
        <w:t>Fq7_2.py is the RDA for OOP style rewritten expression from problem 6.</w:t>
      </w:r>
      <w:r>
        <w:rPr>
          <w:rFonts w:hint="eastAsia"/>
          <w:color w:val="FFFF00"/>
          <w:lang w:val="en-US" w:eastAsia="zh-CN"/>
        </w:rPr>
        <w:t xml:space="preserve"> </w:t>
      </w:r>
    </w:p>
    <w:p>
      <w:pPr>
        <w:ind w:left="420" w:leftChars="0" w:firstLine="420" w:firstLineChars="0"/>
        <w:rPr>
          <w:rFonts w:hint="default" w:eastAsiaTheme="minorEastAsia"/>
          <w:color w:val="FFFF00"/>
          <w:lang w:val="en-US" w:eastAsia="zh-CN"/>
        </w:rPr>
      </w:pPr>
      <w:r>
        <w:rPr>
          <w:rFonts w:hint="eastAsia"/>
          <w:color w:val="FFFF00"/>
          <w:lang w:val="en-US" w:eastAsia="zh-CN"/>
        </w:rPr>
        <w:t>see output in fq7_output.txt</w:t>
      </w:r>
    </w:p>
    <w:p>
      <w:pPr>
        <w:ind w:firstLine="420" w:firstLineChars="0"/>
        <w:rPr>
          <w:rFonts w:hint="default"/>
          <w:color w:val="FFFFFF" w:themeColor="background1"/>
          <w:sz w:val="32"/>
          <w:szCs w:val="32"/>
          <w:lang w:val="en-US"/>
          <w14:textFill>
            <w14:solidFill>
              <w14:schemeClr w14:val="bg1"/>
            </w14:solidFill>
          </w14:textFill>
        </w:rPr>
      </w:pPr>
    </w:p>
    <w:p>
      <w:pPr>
        <w:ind w:firstLine="420" w:firstLineChars="0"/>
        <w:rPr>
          <w:rFonts w:hint="default"/>
          <w:color w:val="FFFFFF" w:themeColor="background1"/>
          <w:sz w:val="32"/>
          <w:szCs w:val="32"/>
          <w:lang w:val="en-US"/>
          <w14:textFill>
            <w14:solidFill>
              <w14:schemeClr w14:val="bg1"/>
            </w14:solidFill>
          </w14:textFill>
        </w:rPr>
      </w:pPr>
      <w:r>
        <w:rPr>
          <w:rFonts w:hint="default"/>
          <w:color w:val="FFFFFF" w:themeColor="background1"/>
          <w:sz w:val="32"/>
          <w:szCs w:val="32"/>
          <w:lang w:val="en-US"/>
          <w14:textFill>
            <w14:solidFill>
              <w14:schemeClr w14:val="bg1"/>
            </w14:solidFill>
          </w14:textFill>
        </w:rPr>
        <w:t>This RDA parse the following syntax: (Too much to fix. I can write RDA)</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(1) (a.(multi(a, b)).sub(1)).add(c)</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(2) (a.multi((b.sub(1)))).div((c.mod(d)))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(3) (a.sub(b)).div( c.bitwise_and( (d.multi(e)).div( a.sub(3) )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(4) ((a.add(b)).smaller_equal_than(c)).multi( d.larger_than( b.sub(e)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(5) ((a.negative(1)).logical_or(c)).assign( d.logical_and(e)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(6) ((a.larger_than(b)).xor(c)).logical_or( (d.smaller_equal_than(17))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(7) (a.add((b))).negative(1)</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(8) (a.add((b.multi(c)))).add(d)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(9) e.assign( (a.increment(1)).increment(1) )</w:t>
      </w:r>
    </w:p>
    <w:p>
      <w:pPr>
        <w:ind w:left="420" w:leftChars="0" w:firstLine="420" w:firstLineChars="0"/>
        <w:rPr>
          <w:rFonts w:hint="default"/>
          <w:color w:val="FFFFFF" w:themeColor="background1"/>
          <w:lang w:val="en-US"/>
          <w14:textFill>
            <w14:solidFill>
              <w14:schemeClr w14:val="bg1"/>
            </w14:solidFill>
          </w14:textFill>
        </w:rPr>
      </w:pPr>
    </w:p>
    <w:p>
      <w:pPr>
        <w:ind w:left="420" w:leftChars="0" w:firstLine="420" w:firstLineChars="0"/>
        <w:rPr>
          <w:rFonts w:hint="eastAsia" w:eastAsiaTheme="minorEastAsia"/>
          <w:color w:val="FFFFFF" w:themeColor="background1"/>
          <w:lang w:val="en-US" w:eastAsia="zh-CN"/>
          <w14:textFill>
            <w14:solidFill>
              <w14:schemeClr w14:val="bg1"/>
            </w14:solidFill>
          </w14:textFill>
        </w:rPr>
      </w:pPr>
      <w:r>
        <w:rPr>
          <w:rFonts w:hint="default"/>
          <w:color w:val="FFFFFF" w:themeColor="background1"/>
          <w:lang w:val="en-US"/>
          <w14:textFill>
            <w14:solidFill>
              <w14:schemeClr w14:val="bg1"/>
            </w14:solidFill>
          </w14:textFill>
        </w:rPr>
        <w:t>EBNF:</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&lt;expr&gt;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&lt;sub_expr&gt;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&lt;expr&gt;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&lt;func_para&gt;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&lt;sub_expr&gt;  -&gt;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&lt;var&gt; &lt;fac&gt;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&lt;num&gt;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&lt;fac&gt;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ε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&lt;func_para&gt;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&lt;func_para&gt;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&lt;func_name&gt; '('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&lt;func_name&gt;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"add" | "sub" | "multi" | "div" | "mod"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"smaller_than" | "smaller_equal_than" | "larger_than" | "larger_equal_than"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"bitwise_and" | "bitwise_or" | "xor"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"logical_and" | "logical_or"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"negative" | "assign"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"increment" | "decrement"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&lt;var&gt; -&gt; 'a' | 'b' | 'c' | 'd' | 'e'</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&lt;num&gt; _&gt; '0-9' &lt;num&gt;</w:t>
      </w:r>
    </w:p>
    <w:p>
      <w:pPr>
        <w:ind w:left="420" w:leftChars="0" w:firstLine="420" w:firstLineChars="0"/>
        <w:rPr>
          <w:rFonts w:hint="default"/>
          <w:color w:val="FFFFFF" w:themeColor="background1"/>
          <w:lang w:val="en-US"/>
          <w14:textFill>
            <w14:solidFill>
              <w14:schemeClr w14:val="bg1"/>
            </w14:solidFill>
          </w14:textFill>
        </w:rPr>
      </w:pPr>
    </w:p>
    <w:p>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Noting: .neg</w:t>
      </w:r>
      <w:r>
        <w:rPr>
          <w:rFonts w:hint="default"/>
          <w:color w:val="FFFFFF" w:themeColor="background1"/>
          <w:lang w:val="en-US" w:eastAsia="zh-CN"/>
          <w14:textFill>
            <w14:solidFill>
              <w14:schemeClr w14:val="bg1"/>
            </w14:solidFill>
          </w14:textFill>
        </w:rPr>
        <w:t>a</w:t>
      </w:r>
      <w:r>
        <w:rPr>
          <w:rFonts w:hint="eastAsia"/>
          <w:color w:val="FFFFFF" w:themeColor="background1"/>
          <w:lang w:val="en-US" w:eastAsia="zh-CN"/>
          <w14:textFill>
            <w14:solidFill>
              <w14:schemeClr w14:val="bg1"/>
            </w14:solidFill>
          </w14:textFill>
        </w:rPr>
        <w:t xml:space="preserve">tive and .assign functions MUST take parameter to ease the rules. Not an uncommon practice, those parameters may come in handy. They will not cause confusions, such as: </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.minus(0)</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 xml:space="preserve"> means negative on the variable while </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.minus(anything not zero)</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 xml:space="preserve"> means no operations done; the same with .increment() and .</w:t>
      </w:r>
      <w:r>
        <w:rPr>
          <w:rFonts w:hint="default"/>
          <w:color w:val="FFFFFF" w:themeColor="background1"/>
          <w:lang w:val="en-US" w:eastAsia="zh-CN"/>
          <w14:textFill>
            <w14:solidFill>
              <w14:schemeClr w14:val="bg1"/>
            </w14:solidFill>
          </w14:textFill>
        </w:rPr>
        <w:t>decrement()</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numPr>
          <w:ilvl w:val="0"/>
          <w:numId w:val="4"/>
        </w:num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w:t>
      </w:r>
    </w:p>
    <w:p>
      <w:pPr>
        <w:numPr>
          <w:numId w:val="0"/>
        </w:numPr>
        <w:ind w:left="420" w:left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Code at fq8.py</w:t>
      </w:r>
    </w:p>
    <w:p>
      <w:pPr>
        <w:numPr>
          <w:numId w:val="0"/>
        </w:numPr>
        <w:ind w:left="420" w:left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See output at fq8_output.txt</w:t>
      </w:r>
    </w:p>
    <w:p>
      <w:pPr>
        <w:numPr>
          <w:ilvl w:val="0"/>
          <w:numId w:val="0"/>
        </w:numPr>
        <w:rPr>
          <w:rFonts w:hint="default"/>
          <w:color w:val="FFFFFF" w:themeColor="background1"/>
          <w:lang w:val="en-US"/>
          <w14:textFill>
            <w14:solidFill>
              <w14:schemeClr w14:val="bg1"/>
            </w14:solidFill>
          </w14:textFill>
        </w:rPr>
      </w:pPr>
    </w:p>
    <w:p>
      <w:pPr>
        <w:numPr>
          <w:ilvl w:val="0"/>
          <w:numId w:val="0"/>
        </w:numPr>
        <w:ind w:firstLine="420" w:firstLineChars="0"/>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 xml:space="preserve">Im using </w:t>
      </w:r>
      <w:r>
        <w:rPr>
          <w:rFonts w:hint="default"/>
          <w:color w:val="FFFFFF" w:themeColor="background1"/>
          <w:lang w:val="en-US" w:eastAsia="zh-CN"/>
          <w14:textFill>
            <w14:solidFill>
              <w14:schemeClr w14:val="bg1"/>
            </w14:solidFill>
          </w14:textFill>
        </w:rPr>
        <w:t>OOP function call style expressions in problem6.</w:t>
      </w:r>
    </w:p>
    <w:p>
      <w:pPr>
        <w:ind w:firstLine="420" w:firstLineChars="0"/>
        <w:rPr>
          <w:rFonts w:hint="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Rules that the expression must follow:</w:t>
      </w:r>
    </w:p>
    <w:p>
      <w:pPr>
        <w:ind w:left="420" w:leftChars="0" w:firstLine="420" w:firstLineChars="0"/>
        <w:rPr>
          <w:rFonts w:hint="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A.Certain function-call</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s result must follow the datatype of the variable, who calls the function.</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B. Certain function-call has certain type of datatype output.</w:t>
      </w:r>
    </w:p>
    <w:p>
      <w:pPr>
        <w:ind w:left="84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C. As a result of A &amp; B, some functions should not be in the same expression.</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D.Some function only works on certain type of variables.</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E.Only one assignment function allowed per line/ statement.(exclude increment and decrement)</w:t>
      </w:r>
    </w:p>
    <w:p>
      <w:pPr>
        <w:ind w:left="420" w:leftChars="0" w:firstLine="420" w:firstLineChars="0"/>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F. No zero division allowed</w:t>
      </w:r>
    </w:p>
    <w:p>
      <w:pPr>
        <w:ind w:left="420" w:leftChars="0" w:firstLine="420" w:firstLineChars="0"/>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G. Increment, decrement should only be called by unary variable</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color w:val="FFFFFF" w:themeColor="background1"/>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9.</w:t>
      </w:r>
    </w:p>
    <w:p>
      <w:pPr>
        <w:rPr>
          <w:color w:val="FFFFFF" w:themeColor="background1"/>
          <w14:textFill>
            <w14:solidFill>
              <w14:schemeClr w14:val="bg1"/>
            </w14:solidFill>
          </w14:textFill>
        </w:rPr>
      </w:pPr>
      <w:r>
        <w:rPr>
          <w:color w:val="FFFFFF" w:themeColor="background1"/>
          <w14:textFill>
            <w14:solidFill>
              <w14:schemeClr w14:val="bg1"/>
            </w14:solidFill>
          </w14:textFill>
        </w:rPr>
        <w:drawing>
          <wp:inline distT="0" distB="0" distL="114300" distR="114300">
            <wp:extent cx="6962775" cy="217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6962775" cy="2171700"/>
                    </a:xfrm>
                    <a:prstGeom prst="rect">
                      <a:avLst/>
                    </a:prstGeom>
                    <a:noFill/>
                    <a:ln>
                      <a:noFill/>
                    </a:ln>
                  </pic:spPr>
                </pic:pic>
              </a:graphicData>
            </a:graphic>
          </wp:inline>
        </w:drawing>
      </w:r>
    </w:p>
    <w:p>
      <w:pPr>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in math logic, "a&gt;b&gt;c" means (a&gt;b and b&gt;c). there are two mathematical comparisons: evalu</w:t>
      </w:r>
      <w:r>
        <w:rPr>
          <w:rFonts w:hint="default"/>
          <w:color w:val="FFFFFF" w:themeColor="background1"/>
          <w:lang w:val="en-US"/>
          <w14:textFill>
            <w14:solidFill>
              <w14:schemeClr w14:val="bg1"/>
            </w14:solidFill>
          </w14:textFill>
        </w:rPr>
        <w:t>a</w:t>
      </w:r>
      <w:r>
        <w:rPr>
          <w:rFonts w:hint="default"/>
          <w:color w:val="FFFFFF" w:themeColor="background1"/>
          <w14:textFill>
            <w14:solidFill>
              <w14:schemeClr w14:val="bg1"/>
            </w14:solidFill>
          </w14:textFill>
        </w:rPr>
        <w:t>ting a and b, then b and c. for C, a&gt;b is evaluated first, producing either 0 or 1. then, this boolean result in form of integer is compared with c. Comparison between b and c is never done.</w:t>
      </w:r>
    </w:p>
    <w:p>
      <w:pPr>
        <w:rPr>
          <w:color w:val="FFFFFF" w:themeColor="background1"/>
          <w14:textFill>
            <w14:solidFill>
              <w14:schemeClr w14:val="bg1"/>
            </w14:solidFill>
          </w14:textFill>
        </w:rPr>
      </w:pPr>
      <w:r>
        <w:rPr>
          <w:rFonts w:hint="default"/>
          <w:color w:val="FFFFFF" w:themeColor="background1"/>
          <w14:textFill>
            <w14:solidFill>
              <w14:schemeClr w14:val="bg1"/>
            </w14:solidFill>
          </w14:textFill>
        </w:rPr>
        <w:t>for example: int a = 0, b = -1, c = 0; gives a&gt;b&gt;c an result of 1, True in C, while mathematically false.</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bookmarkStart w:id="0" w:name="_GoBack"/>
      <w:bookmarkEnd w:id="0"/>
    </w:p>
    <w:p>
      <w:pPr>
        <w:rPr>
          <w:rFonts w:hint="default"/>
          <w:color w:val="FFFFFF" w:themeColor="background1"/>
          <w:lang w:val="en-US" w:eastAsia="zh-CN"/>
          <w14:textFill>
            <w14:solidFill>
              <w14:schemeClr w14:val="bg1"/>
            </w14:solidFill>
          </w14:textFill>
        </w:rPr>
      </w:pPr>
      <w:r>
        <w:rPr>
          <w:rFonts w:hint="default"/>
          <w:color w:val="FFFFFF" w:themeColor="background1"/>
          <w:lang w:val="en-US"/>
          <w14:textFill>
            <w14:solidFill>
              <w14:schemeClr w14:val="bg1"/>
            </w14:solidFill>
          </w14:textFill>
        </w:rPr>
        <w:t>10.</w:t>
      </w:r>
    </w:p>
    <w:p>
      <w:r>
        <w:drawing>
          <wp:inline distT="0" distB="0" distL="114300" distR="114300">
            <wp:extent cx="6854190" cy="3650615"/>
            <wp:effectExtent l="0" t="0" r="3810" b="698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6854190" cy="3650615"/>
                    </a:xfrm>
                    <a:prstGeom prst="rect">
                      <a:avLst/>
                    </a:prstGeom>
                    <a:noFill/>
                    <a:ln>
                      <a:noFill/>
                    </a:ln>
                  </pic:spPr>
                </pic:pic>
              </a:graphicData>
            </a:graphic>
          </wp:inline>
        </w:drawing>
      </w:r>
    </w:p>
    <w:p>
      <w:pPr>
        <w:rPr>
          <w:rFonts w:hint="default"/>
          <w:lang w:val="en-US" w:eastAsia="zh-CN"/>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the final values of sum1 and sum2 are 42 and 42.</w:t>
      </w:r>
    </w:p>
    <w:p>
      <w:pPr>
        <w:rPr>
          <w:rFonts w:hint="default"/>
          <w:color w:val="FFFFFF" w:themeColor="background1"/>
          <w:lang w:val="en-US" w:eastAsia="zh-CN"/>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at line: sum1 = (i / j) + fun(&amp;j):</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"i / j" is 10/10 = 1 for i and j values are 10 and 10 at this point.</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fun(&amp;j) takes the address of int j as parameter:</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at fun(int *k) function definition: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where the address of j is viewed as a pointer k;</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 xml:space="preserve">"*k" is the value of what the address k(j's address) points to, which denotes the value of j itself; </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"*k += 4" increments j's value by 4. j's value is now 14.</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Then j values is multiplied by 3 and minus 1, which is: 14 * 3 -1 = 41, and returned to main.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sum1 = 10/10 + 41 = 42.</w:t>
      </w:r>
    </w:p>
    <w:p>
      <w:pPr>
        <w:rPr>
          <w:rFonts w:hint="default"/>
          <w:color w:val="FFFFFF" w:themeColor="background1"/>
          <w:lang w:val="en-US" w:eastAsia="zh-CN"/>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at line: sum2 = fun(&amp;i) + (i / j);</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fun(&amp;j) takes the address of int i as parameter:</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at fun(int *k) function definition: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where the address of i is viewed as a pointer k;</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 xml:space="preserve">"*k" is the value of what the address k(i's address) points to, which denotes the value of i itself; </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"*k += 4" increments i's value by 4. i's value is now 14.</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Then i values is multiplied by 3 and minus 1, which is: 14 * 3 -1 = 41, and returned to main.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"i / j" is 14/14 = 1 for i and j values are 14 and 14 at this point.</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sum2 = 41 + 14/14 = 42.</w:t>
      </w:r>
    </w:p>
    <w:sectPr>
      <w:pgSz w:w="12240" w:h="1583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906A1"/>
    <w:multiLevelType w:val="singleLevel"/>
    <w:tmpl w:val="8B7906A1"/>
    <w:lvl w:ilvl="0" w:tentative="0">
      <w:start w:val="1"/>
      <w:numFmt w:val="decimal"/>
      <w:suff w:val="space"/>
      <w:lvlText w:val="%1."/>
      <w:lvlJc w:val="left"/>
    </w:lvl>
  </w:abstractNum>
  <w:abstractNum w:abstractNumId="1">
    <w:nsid w:val="E8DA4AD3"/>
    <w:multiLevelType w:val="multilevel"/>
    <w:tmpl w:val="E8DA4AD3"/>
    <w:lvl w:ilvl="0" w:tentative="0">
      <w:start w:val="8"/>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D01FB6F"/>
    <w:multiLevelType w:val="singleLevel"/>
    <w:tmpl w:val="3D01FB6F"/>
    <w:lvl w:ilvl="0" w:tentative="0">
      <w:start w:val="1"/>
      <w:numFmt w:val="decimal"/>
      <w:suff w:val="space"/>
      <w:lvlText w:val="(%1)"/>
      <w:lvlJc w:val="left"/>
    </w:lvl>
  </w:abstractNum>
  <w:abstractNum w:abstractNumId="3">
    <w:nsid w:val="4F811076"/>
    <w:multiLevelType w:val="singleLevel"/>
    <w:tmpl w:val="4F811076"/>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A15F7"/>
    <w:rsid w:val="03BA761D"/>
    <w:rsid w:val="03E73A6F"/>
    <w:rsid w:val="04791582"/>
    <w:rsid w:val="04E32FFE"/>
    <w:rsid w:val="064006F8"/>
    <w:rsid w:val="072B29FF"/>
    <w:rsid w:val="083D5490"/>
    <w:rsid w:val="08487D16"/>
    <w:rsid w:val="08580D1E"/>
    <w:rsid w:val="09C35492"/>
    <w:rsid w:val="0A8444F9"/>
    <w:rsid w:val="0B576E24"/>
    <w:rsid w:val="0D345516"/>
    <w:rsid w:val="0DEA5878"/>
    <w:rsid w:val="0ED03148"/>
    <w:rsid w:val="0FBD0D15"/>
    <w:rsid w:val="0FC25C20"/>
    <w:rsid w:val="0FD15EEC"/>
    <w:rsid w:val="10F50515"/>
    <w:rsid w:val="11733B20"/>
    <w:rsid w:val="11E91C7D"/>
    <w:rsid w:val="125A276A"/>
    <w:rsid w:val="13E47F01"/>
    <w:rsid w:val="149B7778"/>
    <w:rsid w:val="1725521A"/>
    <w:rsid w:val="17E9477E"/>
    <w:rsid w:val="17EF1A23"/>
    <w:rsid w:val="193706AA"/>
    <w:rsid w:val="19782DD0"/>
    <w:rsid w:val="1B4026A8"/>
    <w:rsid w:val="1BEF0C06"/>
    <w:rsid w:val="1CD84E56"/>
    <w:rsid w:val="1CE407A9"/>
    <w:rsid w:val="1D220337"/>
    <w:rsid w:val="1DCE2F7B"/>
    <w:rsid w:val="1F051B1D"/>
    <w:rsid w:val="202512A9"/>
    <w:rsid w:val="207044EF"/>
    <w:rsid w:val="2125214D"/>
    <w:rsid w:val="21AA4A60"/>
    <w:rsid w:val="21AA5811"/>
    <w:rsid w:val="21F43764"/>
    <w:rsid w:val="222269D5"/>
    <w:rsid w:val="230F1BF0"/>
    <w:rsid w:val="246C2FDF"/>
    <w:rsid w:val="24C37C18"/>
    <w:rsid w:val="25C507E8"/>
    <w:rsid w:val="25E61834"/>
    <w:rsid w:val="262C01A8"/>
    <w:rsid w:val="262F22B0"/>
    <w:rsid w:val="26507010"/>
    <w:rsid w:val="26E77629"/>
    <w:rsid w:val="27980C94"/>
    <w:rsid w:val="28462B03"/>
    <w:rsid w:val="29494120"/>
    <w:rsid w:val="2A6146DD"/>
    <w:rsid w:val="2A76632A"/>
    <w:rsid w:val="2B717242"/>
    <w:rsid w:val="2C4913CB"/>
    <w:rsid w:val="2CDB13C5"/>
    <w:rsid w:val="2D2F72F4"/>
    <w:rsid w:val="2E4E613B"/>
    <w:rsid w:val="2E8720AF"/>
    <w:rsid w:val="31A17628"/>
    <w:rsid w:val="325D3019"/>
    <w:rsid w:val="327B6A73"/>
    <w:rsid w:val="33214D47"/>
    <w:rsid w:val="341A4F8E"/>
    <w:rsid w:val="3433419E"/>
    <w:rsid w:val="343F6474"/>
    <w:rsid w:val="34A80339"/>
    <w:rsid w:val="34EA0BF2"/>
    <w:rsid w:val="35042CA2"/>
    <w:rsid w:val="354E4812"/>
    <w:rsid w:val="362C1BCC"/>
    <w:rsid w:val="36834581"/>
    <w:rsid w:val="36FA7C46"/>
    <w:rsid w:val="373C5960"/>
    <w:rsid w:val="3793470A"/>
    <w:rsid w:val="379B62AB"/>
    <w:rsid w:val="37C87FD4"/>
    <w:rsid w:val="37FC3D09"/>
    <w:rsid w:val="3824331F"/>
    <w:rsid w:val="39034633"/>
    <w:rsid w:val="39EB0369"/>
    <w:rsid w:val="3AE354C4"/>
    <w:rsid w:val="3AF1731B"/>
    <w:rsid w:val="3B0D6EF7"/>
    <w:rsid w:val="3B5F7108"/>
    <w:rsid w:val="3B6B76D4"/>
    <w:rsid w:val="3C4762C5"/>
    <w:rsid w:val="3CAE551F"/>
    <w:rsid w:val="3D0E5CE8"/>
    <w:rsid w:val="3D4827A5"/>
    <w:rsid w:val="3D4F56E6"/>
    <w:rsid w:val="3E854453"/>
    <w:rsid w:val="3EFF34A9"/>
    <w:rsid w:val="4085462F"/>
    <w:rsid w:val="41181B3A"/>
    <w:rsid w:val="41581ADE"/>
    <w:rsid w:val="432E7ACE"/>
    <w:rsid w:val="44032B80"/>
    <w:rsid w:val="46A70286"/>
    <w:rsid w:val="481E424A"/>
    <w:rsid w:val="48C15E23"/>
    <w:rsid w:val="48C603FC"/>
    <w:rsid w:val="48D630E5"/>
    <w:rsid w:val="48DC3DEA"/>
    <w:rsid w:val="48E032F3"/>
    <w:rsid w:val="4933154C"/>
    <w:rsid w:val="498B7C82"/>
    <w:rsid w:val="49F82DCC"/>
    <w:rsid w:val="4A6330A2"/>
    <w:rsid w:val="4A96346D"/>
    <w:rsid w:val="4B0B2CA9"/>
    <w:rsid w:val="4BB71C62"/>
    <w:rsid w:val="4C53031D"/>
    <w:rsid w:val="4CF47608"/>
    <w:rsid w:val="4DF04846"/>
    <w:rsid w:val="4E632F31"/>
    <w:rsid w:val="4EAE1F84"/>
    <w:rsid w:val="4EBB21A2"/>
    <w:rsid w:val="4EFC4477"/>
    <w:rsid w:val="4F150CC8"/>
    <w:rsid w:val="4F4C6A0A"/>
    <w:rsid w:val="511F5F58"/>
    <w:rsid w:val="51C72144"/>
    <w:rsid w:val="51D26828"/>
    <w:rsid w:val="52771E0A"/>
    <w:rsid w:val="52C33583"/>
    <w:rsid w:val="53A913EC"/>
    <w:rsid w:val="542700EE"/>
    <w:rsid w:val="550120DA"/>
    <w:rsid w:val="55CE5FFC"/>
    <w:rsid w:val="56F20C7C"/>
    <w:rsid w:val="57021C95"/>
    <w:rsid w:val="573B6D13"/>
    <w:rsid w:val="586E39DD"/>
    <w:rsid w:val="58B133D9"/>
    <w:rsid w:val="59D87B11"/>
    <w:rsid w:val="59F66DDB"/>
    <w:rsid w:val="5E1B6E83"/>
    <w:rsid w:val="5F60303B"/>
    <w:rsid w:val="609A360E"/>
    <w:rsid w:val="60E07B3F"/>
    <w:rsid w:val="615F2739"/>
    <w:rsid w:val="619D2A71"/>
    <w:rsid w:val="61B86022"/>
    <w:rsid w:val="6245646B"/>
    <w:rsid w:val="64CE1AF2"/>
    <w:rsid w:val="650B225A"/>
    <w:rsid w:val="65614E04"/>
    <w:rsid w:val="664F6B09"/>
    <w:rsid w:val="666E58AB"/>
    <w:rsid w:val="66AE2DDC"/>
    <w:rsid w:val="675D2ECC"/>
    <w:rsid w:val="678C6AE0"/>
    <w:rsid w:val="68303485"/>
    <w:rsid w:val="68C2100B"/>
    <w:rsid w:val="693C4B6B"/>
    <w:rsid w:val="69911A41"/>
    <w:rsid w:val="69D642F5"/>
    <w:rsid w:val="6AA94245"/>
    <w:rsid w:val="6B0C6E9A"/>
    <w:rsid w:val="6CF02F72"/>
    <w:rsid w:val="6D53546D"/>
    <w:rsid w:val="6DD53B44"/>
    <w:rsid w:val="6DF100F0"/>
    <w:rsid w:val="6EC96B8B"/>
    <w:rsid w:val="6EFF4202"/>
    <w:rsid w:val="7039042B"/>
    <w:rsid w:val="70A35AF1"/>
    <w:rsid w:val="70F07102"/>
    <w:rsid w:val="70F264D9"/>
    <w:rsid w:val="722E6861"/>
    <w:rsid w:val="733C47EC"/>
    <w:rsid w:val="733D2903"/>
    <w:rsid w:val="7388351D"/>
    <w:rsid w:val="73D55191"/>
    <w:rsid w:val="748C46C0"/>
    <w:rsid w:val="75374B5A"/>
    <w:rsid w:val="76814D57"/>
    <w:rsid w:val="780264CC"/>
    <w:rsid w:val="788C3165"/>
    <w:rsid w:val="78F17729"/>
    <w:rsid w:val="79696B48"/>
    <w:rsid w:val="79A00EDF"/>
    <w:rsid w:val="7AB862B5"/>
    <w:rsid w:val="7ABA14BB"/>
    <w:rsid w:val="7AF17419"/>
    <w:rsid w:val="7AF448B3"/>
    <w:rsid w:val="7C0528CA"/>
    <w:rsid w:val="7D6D575D"/>
    <w:rsid w:val="7DE670F5"/>
    <w:rsid w:val="7F003CBE"/>
    <w:rsid w:val="7F37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2021-04-29T12:57:00Z</dcterms:created>
  <dc:creator>steph</dc:creator>
  <cp:lastModifiedBy>steph</cp:lastModifiedBy>
  <dcterms:modified xsi:type="dcterms:W3CDTF">2021-05-03T17:29:28Z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6CCC394504D547209F9E6EE7AD58159E</vt:lpwstr>
  </property>
</Properties>
</file>