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203748"/>
          <w:sz w:val="50"/>
        </w:rPr>
        <w:t>单位视觉配色方案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27083"/>
          <w:sz w:val="25"/>
        </w:rPr>
        <w:t>士兵与坦克在黄绿色等距地图中的辨识度调整参考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1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核心方向：</w:t>
            </w:r>
            <w:r>
              <w:rPr>
                <w:rFonts w:ascii="Microsoft YaHei" w:hAnsi="Microsoft YaHei" w:eastAsia="Microsoft YaHei"/>
                <w:b w:val="0"/>
                <w:color w:val="34465A"/>
                <w:sz w:val="21"/>
              </w:rPr>
              <w:t>使用冷蓝灰单位、深蓝黑轮廓与少量阵营色点缀，避免当前棕色单位与森林、沙地及黄绿色平原融为一体。</w:t>
            </w:r>
          </w:p>
        </w:tc>
      </w:tr>
    </w:tbl>
    <w:p>
      <w:pPr>
        <w:pStyle w:val="Heading1"/>
      </w:pPr>
      <w:r>
        <w:t>1. 通用轮廓与明暗层级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900"/>
        <w:gridCol w:w="4460"/>
      </w:tblGrid>
      <w:t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 / 部位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色块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HEX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调整说明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最外轮廓</w:t>
            </w:r>
          </w:p>
        </w:tc>
        <w:tc>
          <w:tcPr>
            <w:tcW w:type="dxa" w:w="1100"/>
            <w:shd w:fill="172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#172333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所有外缘使用，替代纯黑；建议保留 2–3 像素。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背光轮廓</w:t>
            </w:r>
          </w:p>
        </w:tc>
        <w:tc>
          <w:tcPr>
            <w:tcW w:type="dxa" w:w="1100"/>
            <w:shd w:fill="26384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#26384C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用于背光侧和轮廓内部的次级分割。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最深阴影</w:t>
            </w:r>
          </w:p>
        </w:tc>
        <w:tc>
          <w:tcPr>
            <w:tcW w:type="dxa" w:w="1100"/>
            <w:shd w:fill="34465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#34465A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加强四肢、炮塔、履带与车身之间的体块区分。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受光边缘</w:t>
            </w:r>
          </w:p>
        </w:tc>
        <w:tc>
          <w:tcPr>
            <w:tcW w:type="dxa" w:w="1100"/>
            <w:shd w:fill="B8D0D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#B8D0DF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只用于朝光边缘，避免整片高亮。</w:t>
            </w:r>
          </w:p>
        </w:tc>
      </w:tr>
    </w:tbl>
    <w:p>
      <w:pPr>
        <w:spacing w:after="0"/>
      </w:pPr>
    </w:p>
    <w:p>
      <w:pPr>
        <w:pStyle w:val="Heading1"/>
      </w:pPr>
      <w:r>
        <w:t>2. 士兵配色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900"/>
        <w:gridCol w:w="4460"/>
      </w:tblGrid>
      <w:t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 / 部位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色块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HEX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调整说明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主制服</w:t>
            </w:r>
          </w:p>
        </w:tc>
        <w:tc>
          <w:tcPr>
            <w:tcW w:type="dxa" w:w="1100"/>
            <w:shd w:fill="3F6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#3F6077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覆盖主要布料面积，与黄绿地面形成冷暖对比。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制服亮面</w:t>
            </w:r>
          </w:p>
        </w:tc>
        <w:tc>
          <w:tcPr>
            <w:tcW w:type="dxa" w:w="1100"/>
            <w:shd w:fill="66869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#66869A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用于肩部、胸口和大腿迎光面。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制服阴影</w:t>
            </w:r>
          </w:p>
        </w:tc>
        <w:tc>
          <w:tcPr>
            <w:tcW w:type="dxa" w:w="1100"/>
            <w:shd w:fill="293E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#293E52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用于手臂内侧、胯部和腿部背光面。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防弹衣</w:t>
            </w:r>
          </w:p>
        </w:tc>
        <w:tc>
          <w:tcPr>
            <w:tcW w:type="dxa" w:w="1100"/>
            <w:shd w:fill="59636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#59636C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保持中性灰，与蓝色制服明显分层。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头盔</w:t>
            </w:r>
          </w:p>
        </w:tc>
        <w:tc>
          <w:tcPr>
            <w:tcW w:type="dxa" w:w="1100"/>
            <w:shd w:fill="718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#718696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比防弹衣稍亮，让头部轮廓更快被识别。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枪械</w:t>
            </w:r>
          </w:p>
        </w:tc>
        <w:tc>
          <w:tcPr>
            <w:tcW w:type="dxa" w:w="1100"/>
            <w:shd w:fill="202D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#202D39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枪管、枪托和瞄具统一使用深色，并加一条亮边。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皮肤</w:t>
            </w:r>
          </w:p>
        </w:tc>
        <w:tc>
          <w:tcPr>
            <w:tcW w:type="dxa" w:w="1100"/>
            <w:shd w:fill="D1A07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#D1A07D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面部和手部基础色。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皮肤阴影</w:t>
            </w:r>
          </w:p>
        </w:tc>
        <w:tc>
          <w:tcPr>
            <w:tcW w:type="dxa" w:w="1100"/>
            <w:shd w:fill="916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#916650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避免皮肤区域与制服亮面混在一起。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坦克配色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900"/>
        <w:gridCol w:w="4460"/>
      </w:tblGrid>
      <w:t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 / 部位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色块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HEX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调整说明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主装甲</w:t>
            </w:r>
          </w:p>
        </w:tc>
        <w:tc>
          <w:tcPr>
            <w:tcW w:type="dxa" w:w="1100"/>
            <w:shd w:fill="48677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#48677A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车身主要面积，保持冷蓝灰基调。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装甲亮面</w:t>
            </w:r>
          </w:p>
        </w:tc>
        <w:tc>
          <w:tcPr>
            <w:tcW w:type="dxa" w:w="1100"/>
            <w:shd w:fill="7896A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#7896A5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炮塔顶部、车体上沿和迎光斜面。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装甲阴影</w:t>
            </w:r>
          </w:p>
        </w:tc>
        <w:tc>
          <w:tcPr>
            <w:tcW w:type="dxa" w:w="1100"/>
            <w:shd w:fill="2D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#2D4658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炮塔下缘、侧装甲与车体连接处。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履带</w:t>
            </w:r>
          </w:p>
        </w:tc>
        <w:tc>
          <w:tcPr>
            <w:tcW w:type="dxa" w:w="1100"/>
            <w:shd w:fill="202A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#202A32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必须明显深于车身，形成清楚的底盘轮廓。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履带亮边</w:t>
            </w:r>
          </w:p>
        </w:tc>
        <w:tc>
          <w:tcPr>
            <w:tcW w:type="dxa" w:w="1100"/>
            <w:shd w:fill="53616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#53616A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只画在履带上沿和外缘，表现结构而非整片提亮。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炮管</w:t>
            </w:r>
          </w:p>
        </w:tc>
        <w:tc>
          <w:tcPr>
            <w:tcW w:type="dxa" w:w="1100"/>
            <w:shd w:fill="314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#314757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比主装甲稍深，轮廓线保持连续。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舱盖与接缝</w:t>
            </w:r>
          </w:p>
        </w:tc>
        <w:tc>
          <w:tcPr>
            <w:tcW w:type="dxa" w:w="1100"/>
            <w:shd w:fill="182A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#182A37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强调炮塔、舱盖、车身面板的结构线。</w:t>
            </w:r>
          </w:p>
        </w:tc>
      </w:tr>
    </w:tbl>
    <w:p>
      <w:pPr>
        <w:spacing w:after="0"/>
      </w:pPr>
    </w:p>
    <w:p>
      <w:pPr>
        <w:pStyle w:val="Heading1"/>
      </w:pPr>
      <w:r>
        <w:t>4. 阵营与编队点缀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900"/>
        <w:gridCol w:w="4460"/>
      </w:tblGrid>
      <w:t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 / 部位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色块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HEX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调整说明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玩家主色</w:t>
            </w:r>
          </w:p>
        </w:tc>
        <w:tc>
          <w:tcPr>
            <w:tcW w:type="dxa" w:w="1100"/>
            <w:shd w:fill="2F9F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#2F9FE8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用于肩甲、头盔条带、坦克侧面识别条。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玩家高光</w:t>
            </w:r>
          </w:p>
        </w:tc>
        <w:tc>
          <w:tcPr>
            <w:tcW w:type="dxa" w:w="1100"/>
            <w:shd w:fill="72D4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#72D4FF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只用于玩家识别条的受光边缘。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敌人主色</w:t>
            </w:r>
          </w:p>
        </w:tc>
        <w:tc>
          <w:tcPr>
            <w:tcW w:type="dxa" w:w="1100"/>
            <w:shd w:fill="D94B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#D94B45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用于敌方小面积识别标记。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敌人高光</w:t>
            </w:r>
          </w:p>
        </w:tc>
        <w:tc>
          <w:tcPr>
            <w:tcW w:type="dxa" w:w="1100"/>
            <w:shd w:fill="FF8A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#FF8A62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只用于敌方标记的受光边缘。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当前激活编队</w:t>
            </w:r>
          </w:p>
        </w:tc>
        <w:tc>
          <w:tcPr>
            <w:tcW w:type="dxa" w:w="1100"/>
            <w:shd w:fill="F2C94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#F2C94C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用于选中环、底光或指挥官标记，不要覆盖单位全身。</w:t>
            </w:r>
          </w:p>
        </w:tc>
      </w:tr>
    </w:tbl>
    <w:p>
      <w:pPr>
        <w:spacing w:after="0"/>
      </w:pPr>
    </w:p>
    <w:p>
      <w:pPr>
        <w:pStyle w:val="Heading1"/>
      </w:pPr>
      <w:r>
        <w:t>5. 血条调整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900"/>
        <w:gridCol w:w="4460"/>
      </w:tblGrid>
      <w:t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 / 部位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色块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HEX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调整说明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生命值</w:t>
            </w:r>
          </w:p>
        </w:tc>
        <w:tc>
          <w:tcPr>
            <w:tcW w:type="dxa" w:w="1100"/>
            <w:shd w:fill="45B86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#45B86B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替代当前荧光绿，保持可见但不压过单位。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血条背景</w:t>
            </w:r>
          </w:p>
        </w:tc>
        <w:tc>
          <w:tcPr>
            <w:tcW w:type="dxa" w:w="1100"/>
            <w:shd w:fill="172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#172333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与单位外轮廓统一。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3"/>
                <w:sz w:val="20"/>
              </w:rPr>
              <w:t>血条边框</w:t>
            </w:r>
          </w:p>
        </w:tc>
        <w:tc>
          <w:tcPr>
            <w:tcW w:type="dxa" w:w="1100"/>
            <w:shd w:fill="0C141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b/>
                <w:color w:val="172333"/>
                <w:sz w:val="20"/>
              </w:rPr>
              <w:t>#0C141D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34465A"/>
                <w:sz w:val="19"/>
              </w:rPr>
              <w:t>提供稳定边界，避免与地形亮部粘连。</w:t>
            </w:r>
          </w:p>
        </w:tc>
      </w:tr>
    </w:tbl>
    <w:p>
      <w:pPr>
        <w:spacing w:after="0"/>
      </w:pPr>
    </w:p>
    <w:p>
      <w:pPr>
        <w:pStyle w:val="Heading1"/>
      </w:pPr>
      <w:r>
        <w:t>6. 执行要点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172333"/>
          <w:sz w:val="21"/>
        </w:rPr>
        <w:t>士兵：头盔、防弹衣、制服和枪械至少保持四个不同的明度层级。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172333"/>
          <w:sz w:val="21"/>
        </w:rPr>
        <w:t>坦克：炮塔比车身略亮，履带明显更暗，炮管保留连续亮边。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172333"/>
          <w:sz w:val="21"/>
        </w:rPr>
        <w:t>阵营色只占单位可见面积的 5%–12%，不要把整台坦克或整套制服染成阵营色。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172333"/>
          <w:sz w:val="21"/>
        </w:rPr>
        <w:t>血条高度建议缩小约 25%，并确保单位轮廓比血条更先被注意到。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color w:val="172333"/>
          <w:sz w:val="21"/>
        </w:rPr>
        <w:t>最终在实际战斗缩放下检查，而不是只在建模或贴图近景中判断。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A8794"/>
        <w:sz w:val="17"/>
      </w:rPr>
      <w:t>单位视觉配色方案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785"/>
        <w:sz w:val="17"/>
      </w:rPr>
      <w:t>《指挥大师》美术调整参考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2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