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第六阶段作者确认表</w:t>
      </w:r>
    </w:p>
    <w:p>
      <w:r>
        <w:t>当前已完成不依赖目标期刊的语言、图表衔接和字段说明修订。用户选择按指定期刊修订，但尚未提供期刊名称。下表仅整理现有缺口，空白信息不代表未采用相应计算设置，也不以文献方法替代实际作业。</w:t>
      </w:r>
    </w:p>
    <w:p>
      <w:r>
        <w:t>请在“作者填写”列填写已有记录及其文件/输出位置；暂不能确认的项目可继续标为【待核实】。已有独立计算来源和bess保留原值的要求已经确认，无需重复填写。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需要确认的信息及最小资料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影响的表述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作者填写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目标期刊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完整期刊名称、拟投栏目；若已有投稿指南，记录其链接或版本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摘要长度、篇幅、章节、双语信息、图宽与参考文献体例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【待填写】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作者及单位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署名、单位、通讯信息；资助信息仅填实际存在项目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首页与声明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【待填写】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实际计算方法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几何、频率、单点及各分析的程序修订号、关键词、泛函、基组、色散及收敛设置；附对应输出位置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计算方法和跨分析可比性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体系身份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母体和复合物分子式、缩写、原子号、电荷/自旋、坐标；澄清CSNHCme/SCNHCme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配体组合、同体系配对与终态连接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能量定义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Eint/Eb的实际公式、复合物/冻结单体/优化单体参考，CP/BSSE、ZPE及热修正；优先完整核N2CAACme两端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排序反转能否归因于形变；保持bess原值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环境模型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实际溶剂/介电模型或原始记录中的环境条件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模型适用范围；缺失不能默认气相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几何单位与基准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距离和角度单位、角度原子顺序、HOCl单体理论水平与几何输出位置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图1、图4及内部键变化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EDA定义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完整分解方法、片段态、各分项单位及ES/EX/REP/POL/ECORR的定义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图3、表2及分项机制解释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EDA异常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H-N2NHCme闭合差+0.18、Cl-NHCmeSPh2跨表差+0.08、Cl-SCNHCme跨表差+0.50的原始输出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三处异常的来源，不改值凑闭合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CT定义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片段、电荷方案、正方向和单位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CT排序及电荷转移解释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AIM与WBI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BCP原子对、单位、新接触与原有键的配对拓扑及键级；优先三个H端候选和Cl-NHCme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重排候选的分类；不能仅凭距离定论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NBO强通道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候选的自然占据、能隙、Fock矩阵元与Lewis结构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很大E(2)的微扰解释是否适用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NOCV及MEP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Energy字段含义、通道能/特征值/真实密度；MEP表面与区域、B/C字段对应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空间机制及四个C列体系可否并入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  <w:tr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书目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R04最终卷页、R11最终页码的正式出版社或数据库记录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最终文后表，当前不补造卷页</w:t>
            </w:r>
          </w:p>
        </w:tc>
        <w:tc>
          <w:tcPr>
            <w:tcW w:type="dxa" w:w="2494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【待核实】</w:t>
            </w:r>
          </w:p>
        </w:tc>
      </w:tr>
    </w:tbl>
    <w:p>
      <w:r>
        <w:t>转移路径、势垒及溶液比例仅在论文要作相应主张时另需证据。现稿保持静态候选判断，可优先解决已有方法、单位和参考态资料，不将所有可选计算作为继续写作的前提。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color w:val="173C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