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第六阶段通用修订说明</w:t>
      </w:r>
    </w:p>
    <w:p>
      <w:r>
        <w:t>日期：2026-10-19。基线：final_paper，提交020f74d。旧版原样保留。</w:t>
      </w:r>
    </w:p>
    <w:p>
      <w:pPr>
        <w:pStyle w:val="Heading1"/>
      </w:pPr>
      <w:r>
        <w:t>已完成的修改</w:t>
      </w:r>
    </w:p>
    <w:p>
      <w:r>
        <w:t>本轮完成34项可追溯编辑，包括图表编号同步。核心数值、原始来源、候选名单与证据限定保留，未补写缺失的量子化学方法或结果。</w:t>
      </w:r>
    </w:p>
    <w:p>
      <w:r>
        <w:t>正文主图按实际首引顺序统一为图1—4（内部F2、F1、F3、F4）；表1—3补全描述性标题，能量和EDA段补齐表格引用。几何筛查图的提前引用改为后文节号，以保持首引顺序。旧数据总表中的第一阶段图表计划保留，并添加历史说明；本轮另建成图索引和实施状态。</w:t>
      </w:r>
    </w:p>
    <w:p>
      <w:r>
        <w:t>正文将重复的写作操作说明改为证据用途与适用范围，增强几何—能量—电子结构的论证衔接。第五节标题调整为“强相互作用候选的结构重排与电子证据”，与尚未确认完全转移的内文保持一致。</w:t>
      </w:r>
    </w:p>
    <w:p>
      <w:r>
        <w:t>数据字典将日志名、轨道标签、通道计数、虚频数、日志行号和状态等字段与能量单位区分；未知几何单位继续待核实。此项仅修订字段说明，不改变任何计算原值。</w:t>
      </w:r>
    </w:p>
    <w:p>
      <w:r>
        <w:t>R04/R11的最终卷页尝试了Crossref、DOI及出版社端点补核；请求均受网络代理403限制，未取得远端元数据，新增核实字段为零。上传PDF已核结果继续采用，卷页不作猜填。</w:t>
      </w:r>
    </w:p>
    <w:p>
      <w:pPr>
        <w:pStyle w:val="Heading1"/>
      </w:pPr>
      <w:r>
        <w:t>期刊适配状态</w:t>
      </w:r>
    </w:p>
    <w:p>
      <w:r>
        <w:t>用户选择按指定期刊修订，尚未提供期刊完整名称。因此，本轮完成的是可独立进行的通用修订；期刊指南读取、篇幅与摘要长度、六章到期刊节的转换、双语要素、图宽、参考文献细则及所需声明仍待期刊名称明确后处理。当前不声称已完成目标期刊适配或可直接投稿。</w:t>
      </w:r>
    </w:p>
    <w:p>
      <w:r>
        <w:t>实际方法、体系身份、能量定义、部分单位和异常成键证据仍需作者原始记录，详见作者确认表与待核实事项。</w:t>
      </w:r>
    </w:p>
    <w:p>
      <w:pPr>
        <w:pStyle w:val="Heading1"/>
      </w:pPr>
      <w:r>
        <w:t>逐项修改</w:t>
      </w:r>
    </w:p>
    <w:tbl>
      <w:tblPr>
        <w:tblStyle w:val="TableGrid"/>
        <w:tblW w:type="auto" w:w="0"/>
        <w:tblLook w:firstColumn="1" w:firstRow="1" w:lastColumn="0" w:lastRow="0" w:noHBand="0" w:noVBand="1" w:val="04A0"/>
      </w:tblPr>
      <w:tblGrid>
        <w:gridCol w:w="2494"/>
        <w:gridCol w:w="2494"/>
        <w:gridCol w:w="2494"/>
        <w:gridCol w:w="2494"/>
      </w:tblGrid>
      <w:tr>
        <w:trPr>
          <w:tblHeader/>
        </w:trPr>
        <w:tc>
          <w:tcPr>
            <w:tcW w:type="dxa" w:w="2494"/>
          </w:tcPr>
          <w:p>
            <w:pPr>
              <w:spacing w:line="264" w:lineRule="auto" w:after="40"/>
            </w:pPr>
            <w:r>
              <w:rPr>
                <w:b/>
                <w:sz w:val="16"/>
              </w:rPr>
              <w:t>文件</w:t>
            </w:r>
          </w:p>
        </w:tc>
        <w:tc>
          <w:tcPr>
            <w:tcW w:type="dxa" w:w="2494"/>
          </w:tcPr>
          <w:p>
            <w:pPr>
              <w:spacing w:line="264" w:lineRule="auto" w:after="40"/>
            </w:pPr>
            <w:r>
              <w:rPr>
                <w:b/>
                <w:sz w:val="16"/>
              </w:rPr>
              <w:t>原表述/操作</w:t>
            </w:r>
          </w:p>
        </w:tc>
        <w:tc>
          <w:tcPr>
            <w:tcW w:type="dxa" w:w="2494"/>
          </w:tcPr>
          <w:p>
            <w:pPr>
              <w:spacing w:line="264" w:lineRule="auto" w:after="40"/>
            </w:pPr>
            <w:r>
              <w:rPr>
                <w:b/>
                <w:sz w:val="16"/>
              </w:rPr>
              <w:t>修订后</w:t>
            </w:r>
          </w:p>
        </w:tc>
        <w:tc>
          <w:tcPr>
            <w:tcW w:type="dxa" w:w="2494"/>
          </w:tcPr>
          <w:p>
            <w:pPr>
              <w:spacing w:line="264" w:lineRule="auto" w:after="40"/>
            </w:pPr>
            <w:r>
              <w:rPr>
                <w:b/>
                <w:sz w:val="16"/>
              </w:rPr>
              <w:t>理由</w:t>
            </w:r>
          </w:p>
        </w:tc>
      </w:tr>
      <w:tr>
        <w:tc>
          <w:tcPr>
            <w:tcW w:type="dxa" w:w="2494"/>
          </w:tcPr>
          <w:p>
            <w:pPr>
              <w:spacing w:line="264" w:lineRule="auto" w:after="40"/>
            </w:pPr>
            <w:r>
              <w:rPr>
                <w:b w:val="0"/>
                <w:sz w:val="16"/>
              </w:rPr>
              <w:t>components/00_frontmatter.md</w:t>
            </w:r>
          </w:p>
        </w:tc>
        <w:tc>
          <w:tcPr>
            <w:tcW w:type="dxa" w:w="2494"/>
          </w:tcPr>
          <w:p>
            <w:pPr>
              <w:spacing w:line="264" w:lineRule="auto" w:after="40"/>
            </w:pPr>
            <w:r>
              <w:rPr>
                <w:b w:val="0"/>
                <w:sz w:val="16"/>
              </w:rPr>
              <w:t>完整EDA展示了吸引项与排斥项的显著抵消，并有三个H端构型的ECORR为正，不能将该列未经定义改称纯色散。</w:t>
            </w:r>
          </w:p>
        </w:tc>
        <w:tc>
          <w:tcPr>
            <w:tcW w:type="dxa" w:w="2494"/>
          </w:tcPr>
          <w:p>
            <w:pPr>
              <w:spacing w:line="264" w:lineRule="auto" w:after="40"/>
            </w:pPr>
            <w:r>
              <w:rPr>
                <w:b w:val="0"/>
                <w:sz w:val="16"/>
              </w:rPr>
              <w:t>EDA各分项表现出吸引与排斥的显著抵消，三个H端构型的ECORR为正，其物理解释仍依赖具体分解定义。</w:t>
            </w:r>
          </w:p>
        </w:tc>
        <w:tc>
          <w:tcPr>
            <w:tcW w:type="dxa" w:w="2494"/>
          </w:tcPr>
          <w:p>
            <w:pPr>
              <w:spacing w:line="264" w:lineRule="auto" w:after="40"/>
            </w:pPr>
            <w:r>
              <w:rPr>
                <w:b w:val="0"/>
                <w:sz w:val="16"/>
              </w:rPr>
              <w:t>摘要聚焦结果及其解释条件，保留ECORR正值与定义限制。</w:t>
            </w:r>
          </w:p>
        </w:tc>
      </w:tr>
      <w:tr>
        <w:tc>
          <w:tcPr>
            <w:tcW w:type="dxa" w:w="2494"/>
          </w:tcPr>
          <w:p>
            <w:pPr>
              <w:spacing w:line="264" w:lineRule="auto" w:after="40"/>
            </w:pPr>
            <w:r>
              <w:rPr>
                <w:b w:val="0"/>
                <w:sz w:val="16"/>
              </w:rPr>
              <w:t>components/01_introduction.md</w:t>
            </w:r>
          </w:p>
        </w:tc>
        <w:tc>
          <w:tcPr>
            <w:tcW w:type="dxa" w:w="2494"/>
          </w:tcPr>
          <w:p>
            <w:pPr>
              <w:spacing w:line="264" w:lineRule="auto" w:after="40"/>
            </w:pPr>
            <w:r>
              <w:rPr>
                <w:b w:val="0"/>
                <w:sz w:val="16"/>
              </w:rPr>
              <w:t>典型氢键可表示为D—H···A，其中A向与氢原子相联系的受体轨道提供电子密度；</w:t>
            </w:r>
          </w:p>
        </w:tc>
        <w:tc>
          <w:tcPr>
            <w:tcW w:type="dxa" w:w="2494"/>
          </w:tcPr>
          <w:p>
            <w:pPr>
              <w:spacing w:line="264" w:lineRule="auto" w:after="40"/>
            </w:pPr>
            <w:r>
              <w:rPr>
                <w:b w:val="0"/>
                <w:sz w:val="16"/>
              </w:rPr>
              <w:t>典型氢键可表示为D—H···A；在供受体轨道图像中，受体A的占据轨道可与D—H反键轨道发生相互作用。</w:t>
            </w:r>
          </w:p>
        </w:tc>
        <w:tc>
          <w:tcPr>
            <w:tcW w:type="dxa" w:w="2494"/>
          </w:tcPr>
          <w:p>
            <w:pPr>
              <w:spacing w:line="264" w:lineRule="auto" w:after="40"/>
            </w:pPr>
            <w:r>
              <w:rPr>
                <w:b w:val="0"/>
                <w:sz w:val="16"/>
              </w:rPr>
              <w:t>明确轨道解释中的供体与受体，避免用轨道描述代替完整成键定义。</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依据编号对照表，当前数据由28个母体标签及其H端、Cl端记录构成，共56条构型记录。结构、能量、NBO、AIM、EDA与NOCV各表按体系名称连接后，均覆盖相同的56个名称，未发现命名重复、缺项或额外构型。这里的H端与Cl端沿用原数据的取向标签，不预先等同于普通氢键和普通卤键。完整配体组成、中心碳原子编号及优化后连接方式仍为【待补充】，因而名称对应不能替代分子结构对应。尤其“CSNHCme不在研究范围内”与“SCNHCme被保留”的命名关系，应在结构表中明确，而不能自行将二者合并或增补。[D01]</w:t>
            </w:r>
          </w:p>
        </w:tc>
        <w:tc>
          <w:tcPr>
            <w:tcW w:type="dxa" w:w="2494"/>
          </w:tcPr>
          <w:p>
            <w:pPr>
              <w:spacing w:line="264" w:lineRule="auto" w:after="40"/>
            </w:pPr>
            <w:r>
              <w:rPr>
                <w:b w:val="0"/>
                <w:sz w:val="16"/>
              </w:rPr>
              <w:t>按2.2节的名称对应规则，28个母体标签形成56条H端和Cl端记录，所涉分析表的名称覆盖一致。[D01] H端与Cl端沿用原数据的取向标签，不预先限定成键类型；以下比较限于名称层面，完整结构对应仍待坐标确认。完整配体组成、中心碳原子编号及优化后连接方式为【待补充】，命名歧义见2.2节。</w:t>
            </w:r>
          </w:p>
        </w:tc>
        <w:tc>
          <w:tcPr>
            <w:tcW w:type="dxa" w:w="2494"/>
          </w:tcPr>
          <w:p>
            <w:pPr>
              <w:spacing w:line="264" w:lineRule="auto" w:after="40"/>
            </w:pPr>
            <w:r>
              <w:rPr>
                <w:b w:val="0"/>
                <w:sz w:val="16"/>
              </w:rPr>
              <w:t>方法保留完整核查规则，结果开头集中说明比较对象与结构身份限制。</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几何数据采用表列游离HOCl的O—H=0.97950、O—Cl=1.71675为差量基准。56条构型的Δr(O—H)和Δr(O—Cl)均可由相应内部键长减去该基准复算，公式缓存与独立复算一致。图3-4以H端Δr(O—H)及Cl端Δr(O—Cl)分别展示两类取向的内部键响应，不将不同原子对的距离直接解释为同一成键尺度。当前单位和基准理论水平仍为【待核实】，正文和图轴保留“原表距离单位未注明”的限定。[D03]</w:t>
            </w:r>
          </w:p>
        </w:tc>
        <w:tc>
          <w:tcPr>
            <w:tcW w:type="dxa" w:w="2494"/>
          </w:tcPr>
          <w:p>
            <w:pPr>
              <w:spacing w:line="264" w:lineRule="auto" w:after="40"/>
            </w:pPr>
            <w:r>
              <w:rPr>
                <w:b w:val="0"/>
                <w:sz w:val="16"/>
              </w:rPr>
              <w:t>以表列游离HOCl的O—H=0.97950、O—Cl=1.71675为差量基准，图3-4分别比较H端Δr(O—H)与Cl端Δr(O—Cl)，考察两类取向下被扰动内部键的响应。不同原子对的距离不直接作为同一成键尺度；距离单位和单体基准的理论水平仍为【待核实】。[D03]</w:t>
            </w:r>
          </w:p>
        </w:tc>
        <w:tc>
          <w:tcPr>
            <w:tcW w:type="dxa" w:w="2494"/>
          </w:tcPr>
          <w:p>
            <w:pPr>
              <w:spacing w:line="264" w:lineRule="auto" w:after="40"/>
            </w:pPr>
            <w:r>
              <w:rPr>
                <w:b w:val="0"/>
                <w:sz w:val="16"/>
              </w:rPr>
              <w:t>将缓存复算过程留在方法，保留基准数值及未知单位。</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这里描述的是C—H距离在当前H端样本中较短，以及O—H相对已列单体基准伸长，并没有同一体系反应前C—H键可供讨论其“缩短量”。</w:t>
            </w:r>
          </w:p>
        </w:tc>
        <w:tc>
          <w:tcPr>
            <w:tcW w:type="dxa" w:w="2494"/>
          </w:tcPr>
          <w:p>
            <w:pPr>
              <w:spacing w:line="264" w:lineRule="auto" w:after="40"/>
            </w:pPr>
            <w:r>
              <w:rPr>
                <w:b w:val="0"/>
                <w:sz w:val="16"/>
              </w:rPr>
              <w:t>上述比较中，C—H描述复合物中的接触距离，O—H伸长量以表列游离HOCl为参照，两者的参照方式不同。</w:t>
            </w:r>
          </w:p>
        </w:tc>
        <w:tc>
          <w:tcPr>
            <w:tcW w:type="dxa" w:w="2494"/>
          </w:tcPr>
          <w:p>
            <w:pPr>
              <w:spacing w:line="264" w:lineRule="auto" w:after="40"/>
            </w:pPr>
            <w:r>
              <w:rPr>
                <w:b w:val="0"/>
                <w:sz w:val="16"/>
              </w:rPr>
              <w:t>以正面定义解释距离与变化量的不同参照。</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图5-1采用C···H与O—H、C···Cl与O—Cl的成对几何散点进行筛查，属于由真实表列数据绘制的指标图，并非优化结构或反应路径图。</w:t>
            </w:r>
          </w:p>
        </w:tc>
        <w:tc>
          <w:tcPr>
            <w:tcW w:type="dxa" w:w="2494"/>
          </w:tcPr>
          <w:p>
            <w:pPr>
              <w:spacing w:line="264" w:lineRule="auto" w:after="40"/>
            </w:pPr>
            <w:r>
              <w:rPr>
                <w:b w:val="0"/>
                <w:sz w:val="16"/>
              </w:rPr>
              <w:t>新接触与原有键的同步响应将在第5节结合电子结构进一步讨论；静态几何只能用于筛选重排候选，不能给出转移路径或势垒。</w:t>
            </w:r>
          </w:p>
        </w:tc>
        <w:tc>
          <w:tcPr>
            <w:tcW w:type="dxa" w:w="2494"/>
          </w:tcPr>
          <w:p>
            <w:pPr>
              <w:spacing w:line="264" w:lineRule="auto" w:after="40"/>
            </w:pPr>
            <w:r>
              <w:rPr>
                <w:b w:val="0"/>
                <w:sz w:val="16"/>
              </w:rPr>
              <w:t>避免图4在图2、图3之前首次引用，保留静态证据的适用范围。</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图3-5并列展示两端Eb及两种差量。</w:t>
            </w:r>
          </w:p>
        </w:tc>
        <w:tc>
          <w:tcPr>
            <w:tcW w:type="dxa" w:w="2494"/>
          </w:tcPr>
          <w:p>
            <w:pPr>
              <w:spacing w:line="264" w:lineRule="auto" w:after="40"/>
            </w:pPr>
            <w:r>
              <w:rPr>
                <w:b w:val="0"/>
                <w:sz w:val="16"/>
              </w:rPr>
              <w:t>图3-5并列展示两端Eb及两种差量，全部配对数值见表1。</w:t>
            </w:r>
          </w:p>
        </w:tc>
        <w:tc>
          <w:tcPr>
            <w:tcW w:type="dxa" w:w="2494"/>
          </w:tcPr>
          <w:p>
            <w:pPr>
              <w:spacing w:line="264" w:lineRule="auto" w:after="40"/>
            </w:pPr>
            <w:r>
              <w:rPr>
                <w:b w:val="0"/>
                <w:sz w:val="16"/>
              </w:rPr>
              <w:t>补齐能量结果表的正文引用。</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两种指标对同一配对矩阵给出了不同的总体排序，说明“相互作用较强”与“净结合数值较低”不能在文字中混用。</w:t>
            </w:r>
          </w:p>
        </w:tc>
        <w:tc>
          <w:tcPr>
            <w:tcW w:type="dxa" w:w="2494"/>
          </w:tcPr>
          <w:p>
            <w:pPr>
              <w:spacing w:line="264" w:lineRule="auto" w:after="40"/>
            </w:pPr>
            <w:r>
              <w:rPr>
                <w:b w:val="0"/>
                <w:sz w:val="16"/>
              </w:rPr>
              <w:t>同一组两端构型在两种能量指标下呈现不同排序，表明Eint的数值优势不足以独立判断Eb所表征的端间差异。</w:t>
            </w:r>
          </w:p>
        </w:tc>
        <w:tc>
          <w:tcPr>
            <w:tcW w:type="dxa" w:w="2494"/>
          </w:tcPr>
          <w:p>
            <w:pPr>
              <w:spacing w:line="264" w:lineRule="auto" w:after="40"/>
            </w:pPr>
            <w:r>
              <w:rPr>
                <w:b w:val="0"/>
                <w:sz w:val="16"/>
              </w:rPr>
              <w:t>将编辑要求改写为数据直接支持的发现。</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图中没有为这些点添加未经计算的误差棒。</w:t>
            </w:r>
          </w:p>
        </w:tc>
        <w:tc>
          <w:tcPr>
            <w:tcW w:type="dxa" w:w="2494"/>
          </w:tcPr>
          <w:p>
            <w:pPr>
              <w:spacing w:line="264" w:lineRule="auto" w:after="40"/>
            </w:pPr>
            <w:r>
              <w:rPr>
                <w:b w:val="0"/>
                <w:sz w:val="16"/>
              </w:rPr>
              <w:t>这些点尚缺少相应的方法与环境敏感性评估。</w:t>
            </w:r>
          </w:p>
        </w:tc>
        <w:tc>
          <w:tcPr>
            <w:tcW w:type="dxa" w:w="2494"/>
          </w:tcPr>
          <w:p>
            <w:pPr>
              <w:spacing w:line="264" w:lineRule="auto" w:after="40"/>
            </w:pPr>
            <w:r>
              <w:rPr>
                <w:b w:val="0"/>
                <w:sz w:val="16"/>
              </w:rPr>
              <w:t>直接陈述小能差的证据缺口。</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图3-4与图5-1分端作图，并在本文中保留候选类别，而不使用全样本单一直线支持统一成键模型。</w:t>
            </w:r>
          </w:p>
        </w:tc>
        <w:tc>
          <w:tcPr>
            <w:tcW w:type="dxa" w:w="2494"/>
          </w:tcPr>
          <w:p>
            <w:pPr>
              <w:spacing w:line="264" w:lineRule="auto" w:after="40"/>
            </w:pPr>
            <w:r>
              <w:rPr>
                <w:b w:val="0"/>
                <w:sz w:val="16"/>
              </w:rPr>
              <w:t>图3-4分端比较内部键响应，强重排候选另见第5节；各类原子接触及候选类型需分别解释，现有数据不足以支持全样本统一成键关系。</w:t>
            </w:r>
          </w:p>
        </w:tc>
        <w:tc>
          <w:tcPr>
            <w:tcW w:type="dxa" w:w="2494"/>
          </w:tcPr>
          <w:p>
            <w:pPr>
              <w:spacing w:line="264" w:lineRule="auto" w:after="40"/>
            </w:pPr>
            <w:r>
              <w:rPr>
                <w:b w:val="0"/>
                <w:sz w:val="16"/>
              </w:rPr>
              <w:t>消除图4的提前引用，并说明分组的科学用途。</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结合图3-5和结构响应，下一步机制分析应集中于两个问题：一是为何部分构型具有更负Eint却没有更低Eb；二是为何部分H端终态表现出明显O—H伸长。前者需要EDA与能量参考态相结合，后者需要几何和电子结构的对应证据。二者可能有关，但目前不能把“更大形变”“更强极化”和“已经发生转移”写成同义结论。</w:t>
            </w:r>
          </w:p>
        </w:tc>
        <w:tc>
          <w:tcPr>
            <w:tcW w:type="dxa" w:w="2494"/>
          </w:tcPr>
          <w:p>
            <w:pPr>
              <w:spacing w:line="264" w:lineRule="auto" w:after="40"/>
            </w:pPr>
            <w:r>
              <w:rPr>
                <w:b w:val="0"/>
                <w:sz w:val="16"/>
              </w:rPr>
              <w:t>两端能量比较与几何响应提出了两个需要电子结构证据进一步解释的问题：部分构型为何具有更负Eint而没有更低Eb，以及三个H端候选为何出现显著O—H伸长。以下结合NBO、局部拓扑指标与完整EDA分项，分别考察供受体作用和分项抵消。相关讨论仍受能量参考态及分析条件可比性的限制；形变、极化与转移分别属于不同层次的判断。</w:t>
            </w:r>
          </w:p>
        </w:tc>
        <w:tc>
          <w:tcPr>
            <w:tcW w:type="dxa" w:w="2494"/>
          </w:tcPr>
          <w:p>
            <w:pPr>
              <w:spacing w:line="264" w:lineRule="auto" w:after="40"/>
            </w:pPr>
            <w:r>
              <w:rPr>
                <w:b w:val="0"/>
                <w:sz w:val="16"/>
              </w:rPr>
              <w:t>增强第3节到第4节的论证衔接。</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因而正文采用“占据供体轨道向相应反键轨道的作用”，保留实际LP或BD归属，不将局域化得到的成键轨道改写为不存在的LP(C)。</w:t>
            </w:r>
          </w:p>
        </w:tc>
        <w:tc>
          <w:tcPr>
            <w:tcW w:type="dxa" w:w="2494"/>
          </w:tcPr>
          <w:p>
            <w:pPr>
              <w:spacing w:line="264" w:lineRule="auto" w:after="40"/>
            </w:pPr>
            <w:r>
              <w:rPr>
                <w:b w:val="0"/>
                <w:sz w:val="16"/>
              </w:rPr>
              <w:t>因此，以下按原归属分别讨论LP或BD供体与相应反键轨道的作用，而不预设所有通道均由中心碳孤对电子主导。</w:t>
            </w:r>
          </w:p>
        </w:tc>
        <w:tc>
          <w:tcPr>
            <w:tcW w:type="dxa" w:w="2494"/>
          </w:tcPr>
          <w:p>
            <w:pPr>
              <w:spacing w:line="264" w:lineRule="auto" w:after="40"/>
            </w:pPr>
            <w:r>
              <w:rPr>
                <w:b w:val="0"/>
                <w:sz w:val="16"/>
              </w:rPr>
              <w:t>保留实际轨道归属，减少面向写作行为的说明。</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因此，本文不绘制全体系WBI趋势图，也不把缺失的键级证据写成已完成验证。</w:t>
            </w:r>
          </w:p>
        </w:tc>
        <w:tc>
          <w:tcPr>
            <w:tcW w:type="dxa" w:w="2494"/>
          </w:tcPr>
          <w:p>
            <w:pPr>
              <w:spacing w:line="264" w:lineRule="auto" w:after="40"/>
            </w:pPr>
            <w:r>
              <w:rPr>
                <w:b w:val="0"/>
                <w:sz w:val="16"/>
              </w:rPr>
              <w:t>现有WBI仅能描述H-CO的局部键级，尚不足以检验全系列趋势或完成三个H端候选及Cl-NHCme的新旧键对照。</w:t>
            </w:r>
          </w:p>
        </w:tc>
        <w:tc>
          <w:tcPr>
            <w:tcW w:type="dxa" w:w="2494"/>
          </w:tcPr>
          <w:p>
            <w:pPr>
              <w:spacing w:line="264" w:lineRule="auto" w:after="40"/>
            </w:pPr>
            <w:r>
              <w:rPr>
                <w:b w:val="0"/>
                <w:sz w:val="16"/>
              </w:rPr>
              <w:t>将制图行为说明改为键级证据的覆盖范围。</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图4-8选择CO、N2CAACme、PPh3、NHCme和CAACmeSPh2各两端，保留全部五项并独立标出总量。</w:t>
            </w:r>
          </w:p>
        </w:tc>
        <w:tc>
          <w:tcPr>
            <w:tcW w:type="dxa" w:w="2494"/>
          </w:tcPr>
          <w:p>
            <w:pPr>
              <w:spacing w:line="264" w:lineRule="auto" w:after="40"/>
            </w:pPr>
            <w:r>
              <w:rPr>
                <w:b w:val="0"/>
                <w:sz w:val="16"/>
              </w:rPr>
              <w:t>图4-8和表2比较CO、N2CAACme、PPh3、NHCme和CAACmeSPh2各两端，保留全部五项并独立标出总量。</w:t>
            </w:r>
          </w:p>
        </w:tc>
        <w:tc>
          <w:tcPr>
            <w:tcW w:type="dxa" w:w="2494"/>
          </w:tcPr>
          <w:p>
            <w:pPr>
              <w:spacing w:line="264" w:lineRule="auto" w:after="40"/>
            </w:pPr>
            <w:r>
              <w:rPr>
                <w:b w:val="0"/>
                <w:sz w:val="16"/>
              </w:rPr>
              <w:t>补齐代表构型EDA表的正文引用。</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目的是比较吸引与排斥抵消，而非以最大负项给作用“定性”。</w:t>
            </w:r>
          </w:p>
        </w:tc>
        <w:tc>
          <w:tcPr>
            <w:tcW w:type="dxa" w:w="2494"/>
          </w:tcPr>
          <w:p>
            <w:pPr>
              <w:spacing w:line="264" w:lineRule="auto" w:after="40"/>
            </w:pPr>
            <w:r>
              <w:rPr>
                <w:b w:val="0"/>
                <w:sz w:val="16"/>
              </w:rPr>
              <w:t>用于比较吸引与排斥的抵消；整体作用性质仍需结合各分项和总量判断。</w:t>
            </w:r>
          </w:p>
        </w:tc>
        <w:tc>
          <w:tcPr>
            <w:tcW w:type="dxa" w:w="2494"/>
          </w:tcPr>
          <w:p>
            <w:pPr>
              <w:spacing w:line="264" w:lineRule="auto" w:after="40"/>
            </w:pPr>
            <w:r>
              <w:rPr>
                <w:b w:val="0"/>
                <w:sz w:val="16"/>
              </w:rPr>
              <w:t>改为正式学术表述。</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因此，本文不绘制推测性的NOCV等值面，也不凭NBO通道标签反向生成NOCV轨道图。</w:t>
            </w:r>
          </w:p>
        </w:tc>
        <w:tc>
          <w:tcPr>
            <w:tcW w:type="dxa" w:w="2494"/>
          </w:tcPr>
          <w:p>
            <w:pPr>
              <w:spacing w:line="264" w:lineRule="auto" w:after="40"/>
            </w:pPr>
            <w:r>
              <w:rPr>
                <w:b w:val="0"/>
                <w:sz w:val="16"/>
              </w:rPr>
              <w:t>缺少轨道对编号、分通道能与形变密度，使现有NOCV字段尚不能用于空间供受体机制分析。</w:t>
            </w:r>
          </w:p>
        </w:tc>
        <w:tc>
          <w:tcPr>
            <w:tcW w:type="dxa" w:w="2494"/>
          </w:tcPr>
          <w:p>
            <w:pPr>
              <w:spacing w:line="264" w:lineRule="auto" w:after="40"/>
            </w:pPr>
            <w:r>
              <w:rPr>
                <w:b w:val="0"/>
                <w:sz w:val="16"/>
              </w:rPr>
              <w:t>明确缺失数据影响的科学问题。</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电子耗尽/积累方向是否与NBO识别的O—H或O—Cl反键给予一致。</w:t>
            </w:r>
          </w:p>
        </w:tc>
        <w:tc>
          <w:tcPr>
            <w:tcW w:type="dxa" w:w="2494"/>
          </w:tcPr>
          <w:p>
            <w:pPr>
              <w:spacing w:line="264" w:lineRule="auto" w:after="40"/>
            </w:pPr>
            <w:r>
              <w:rPr>
                <w:b w:val="0"/>
                <w:sz w:val="16"/>
              </w:rPr>
              <w:t>电子耗尽与积累方向是否与NBO识别的向O—H或O—Cl反键轨道供电子的方向一致。</w:t>
            </w:r>
          </w:p>
        </w:tc>
        <w:tc>
          <w:tcPr>
            <w:tcW w:type="dxa" w:w="2494"/>
          </w:tcPr>
          <w:p>
            <w:pPr>
              <w:spacing w:line="264" w:lineRule="auto" w:after="40"/>
            </w:pPr>
            <w:r>
              <w:rPr>
                <w:b w:val="0"/>
                <w:sz w:val="16"/>
              </w:rPr>
              <w:t>补齐供电子表述中的语法和轨道对象。</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由于缺少原始BCP身份，本文保留两值，将其列作核查点，不以猜测数字修正，也不选择性忽略它来宣称证据完全一致。</w:t>
            </w:r>
          </w:p>
        </w:tc>
        <w:tc>
          <w:tcPr>
            <w:tcW w:type="dxa" w:w="2494"/>
          </w:tcPr>
          <w:p>
            <w:pPr>
              <w:spacing w:line="264" w:lineRule="auto" w:after="40"/>
            </w:pPr>
            <w:r>
              <w:rPr>
                <w:b w:val="0"/>
                <w:sz w:val="16"/>
              </w:rPr>
              <w:t>该差异在BCP身份、导出过程及原始数值复核前尚无确定解释，因而两体系的拓扑证据不能视为完全一致。</w:t>
            </w:r>
          </w:p>
        </w:tc>
        <w:tc>
          <w:tcPr>
            <w:tcW w:type="dxa" w:w="2494"/>
          </w:tcPr>
          <w:p>
            <w:pPr>
              <w:spacing w:line="264" w:lineRule="auto" w:after="40"/>
            </w:pPr>
            <w:r>
              <w:rPr>
                <w:b w:val="0"/>
                <w:sz w:val="16"/>
              </w:rPr>
              <w:t>保留异常与解释边界，去除重复的核查操作口吻。</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 5 强相互作用候选中的质子重新定位与C—Cl成键证据</w:t>
            </w:r>
          </w:p>
        </w:tc>
        <w:tc>
          <w:tcPr>
            <w:tcW w:type="dxa" w:w="2494"/>
          </w:tcPr>
          <w:p>
            <w:pPr>
              <w:spacing w:line="264" w:lineRule="auto" w:after="40"/>
            </w:pPr>
            <w:r>
              <w:rPr>
                <w:b w:val="0"/>
                <w:sz w:val="16"/>
              </w:rPr>
              <w:t>## 5 强相互作用候选的结构重排与电子证据</w:t>
            </w:r>
          </w:p>
        </w:tc>
        <w:tc>
          <w:tcPr>
            <w:tcW w:type="dxa" w:w="2494"/>
          </w:tcPr>
          <w:p>
            <w:pPr>
              <w:spacing w:line="264" w:lineRule="auto" w:after="40"/>
            </w:pPr>
            <w:r>
              <w:rPr>
                <w:b w:val="0"/>
                <w:sz w:val="16"/>
              </w:rPr>
              <w:t>标题与内文候选判断保持同等主张强度。</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本文不根据端点虚构势垒或速率。</w:t>
            </w:r>
          </w:p>
        </w:tc>
        <w:tc>
          <w:tcPr>
            <w:tcW w:type="dxa" w:w="2494"/>
          </w:tcPr>
          <w:p>
            <w:pPr>
              <w:spacing w:line="264" w:lineRule="auto" w:after="40"/>
            </w:pPr>
            <w:r>
              <w:rPr>
                <w:b w:val="0"/>
                <w:sz w:val="16"/>
              </w:rPr>
              <w:t>静态端点尚不提供势垒或速率信息。</w:t>
            </w:r>
          </w:p>
        </w:tc>
        <w:tc>
          <w:tcPr>
            <w:tcW w:type="dxa" w:w="2494"/>
          </w:tcPr>
          <w:p>
            <w:pPr>
              <w:spacing w:line="264" w:lineRule="auto" w:after="40"/>
            </w:pPr>
            <w:r>
              <w:rPr>
                <w:b w:val="0"/>
                <w:sz w:val="16"/>
              </w:rPr>
              <w:t>以证据限制替代写作行为声明。</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不能仅由外部接触数据量化新旧键强弱的转移。</w:t>
            </w:r>
          </w:p>
        </w:tc>
        <w:tc>
          <w:tcPr>
            <w:tcW w:type="dxa" w:w="2494"/>
          </w:tcPr>
          <w:p>
            <w:pPr>
              <w:spacing w:line="264" w:lineRule="auto" w:after="40"/>
            </w:pPr>
            <w:r>
              <w:rPr>
                <w:b w:val="0"/>
                <w:sz w:val="16"/>
              </w:rPr>
              <w:t>仅有外部接触数据，尚不能量化新接触增强与原有O—Cl键削弱的程度。</w:t>
            </w:r>
          </w:p>
        </w:tc>
        <w:tc>
          <w:tcPr>
            <w:tcW w:type="dxa" w:w="2494"/>
          </w:tcPr>
          <w:p>
            <w:pPr>
              <w:spacing w:line="264" w:lineRule="auto" w:after="40"/>
            </w:pPr>
            <w:r>
              <w:rPr>
                <w:b w:val="0"/>
                <w:sz w:val="16"/>
              </w:rPr>
              <w:t>避免将未确认的新接触直接表述为已成键。</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C(NHCMe)2与ClOH</w:t>
            </w:r>
          </w:p>
        </w:tc>
        <w:tc>
          <w:tcPr>
            <w:tcW w:type="dxa" w:w="2494"/>
          </w:tcPr>
          <w:p>
            <w:pPr>
              <w:spacing w:line="264" w:lineRule="auto" w:after="40"/>
            </w:pPr>
            <w:r>
              <w:rPr>
                <w:b w:val="0"/>
                <w:sz w:val="16"/>
              </w:rPr>
              <w:t>C(NHCMe)₂与ClOH</w:t>
            </w:r>
          </w:p>
        </w:tc>
        <w:tc>
          <w:tcPr>
            <w:tcW w:type="dxa" w:w="2494"/>
          </w:tcPr>
          <w:p>
            <w:pPr>
              <w:spacing w:line="264" w:lineRule="auto" w:after="40"/>
            </w:pPr>
            <w:r>
              <w:rPr>
                <w:b w:val="0"/>
                <w:sz w:val="16"/>
              </w:rPr>
              <w:t>统一文献模型的下标；不改原始体系标签大小写。</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以C(NHCMe)2为例</w:t>
            </w:r>
          </w:p>
        </w:tc>
        <w:tc>
          <w:tcPr>
            <w:tcW w:type="dxa" w:w="2494"/>
          </w:tcPr>
          <w:p>
            <w:pPr>
              <w:spacing w:line="264" w:lineRule="auto" w:after="40"/>
            </w:pPr>
            <w:r>
              <w:rPr>
                <w:b w:val="0"/>
                <w:sz w:val="16"/>
              </w:rPr>
              <w:t>以C(NHCMe)₂为例</w:t>
            </w:r>
          </w:p>
        </w:tc>
        <w:tc>
          <w:tcPr>
            <w:tcW w:type="dxa" w:w="2494"/>
          </w:tcPr>
          <w:p>
            <w:pPr>
              <w:spacing w:line="264" w:lineRule="auto" w:after="40"/>
            </w:pPr>
            <w:r>
              <w:rPr>
                <w:b w:val="0"/>
                <w:sz w:val="16"/>
              </w:rPr>
              <w:t>统一文献模型的下标。</w:t>
            </w:r>
          </w:p>
        </w:tc>
      </w:tr>
      <w:tr>
        <w:tc>
          <w:tcPr>
            <w:tcW w:type="dxa" w:w="2494"/>
          </w:tcPr>
          <w:p>
            <w:pPr>
              <w:spacing w:line="264" w:lineRule="auto" w:after="40"/>
            </w:pPr>
            <w:r>
              <w:rPr>
                <w:b w:val="0"/>
                <w:sz w:val="16"/>
              </w:rPr>
              <w:t>components/06_conclusions.md</w:t>
            </w:r>
          </w:p>
        </w:tc>
        <w:tc>
          <w:tcPr>
            <w:tcW w:type="dxa" w:w="2494"/>
          </w:tcPr>
          <w:p>
            <w:pPr>
              <w:spacing w:line="264" w:lineRule="auto" w:after="40"/>
            </w:pPr>
            <w:r>
              <w:rPr>
                <w:b w:val="0"/>
                <w:sz w:val="16"/>
              </w:rPr>
              <w:t>这样能够直接回答排序反转与成键分类两个关键问题，比增加大量缺乏明确用途的计算更有效。</w:t>
            </w:r>
          </w:p>
        </w:tc>
        <w:tc>
          <w:tcPr>
            <w:tcW w:type="dxa" w:w="2494"/>
          </w:tcPr>
          <w:p>
            <w:pPr>
              <w:spacing w:line="264" w:lineRule="auto" w:after="40"/>
            </w:pPr>
            <w:r>
              <w:rPr>
                <w:b w:val="0"/>
                <w:sz w:val="16"/>
              </w:rPr>
              <w:t>该补充方案分别针对排序反转与成键分类，能够以有限的补充资料和计算检验当前解释。</w:t>
            </w:r>
          </w:p>
        </w:tc>
        <w:tc>
          <w:tcPr>
            <w:tcW w:type="dxa" w:w="2494"/>
          </w:tcPr>
          <w:p>
            <w:pPr>
              <w:spacing w:line="264" w:lineRule="auto" w:after="40"/>
            </w:pPr>
            <w:r>
              <w:rPr>
                <w:b w:val="0"/>
                <w:sz w:val="16"/>
              </w:rPr>
              <w:t>直接说明最小补充的用途。</w:t>
            </w:r>
          </w:p>
        </w:tc>
      </w:tr>
      <w:tr>
        <w:tc>
          <w:tcPr>
            <w:tcW w:type="dxa" w:w="2494"/>
          </w:tcPr>
          <w:p>
            <w:pPr>
              <w:spacing w:line="264" w:lineRule="auto" w:after="40"/>
            </w:pPr>
            <w:r>
              <w:rPr>
                <w:b w:val="0"/>
                <w:sz w:val="16"/>
              </w:rPr>
              <w:t>components/03_05_results.md</w:t>
            </w:r>
          </w:p>
        </w:tc>
        <w:tc>
          <w:tcPr>
            <w:tcW w:type="dxa" w:w="2494"/>
          </w:tcPr>
          <w:p>
            <w:pPr>
              <w:spacing w:line="264" w:lineRule="auto" w:after="40"/>
            </w:pPr>
            <w:r>
              <w:rPr>
                <w:b w:val="0"/>
                <w:sz w:val="16"/>
              </w:rPr>
              <w:t>{"图3-4": "图1", "图3-5": "图2", "图4-8": "图3", "图5-1": "图4", "表5-1": "表3"}</w:t>
            </w:r>
          </w:p>
        </w:tc>
        <w:tc>
          <w:tcPr>
            <w:tcW w:type="dxa" w:w="2494"/>
          </w:tcPr>
          <w:p>
            <w:pPr>
              <w:spacing w:line="264" w:lineRule="auto" w:after="40"/>
            </w:pPr>
            <w:r>
              <w:rPr>
                <w:b w:val="0"/>
                <w:sz w:val="16"/>
              </w:rPr>
              <w:t>图1—4、表1—3连续编号</w:t>
            </w:r>
          </w:p>
        </w:tc>
        <w:tc>
          <w:tcPr>
            <w:tcW w:type="dxa" w:w="2494"/>
          </w:tcPr>
          <w:p>
            <w:pPr>
              <w:spacing w:line="264" w:lineRule="auto" w:after="40"/>
            </w:pPr>
            <w:r>
              <w:rPr>
                <w:b w:val="0"/>
                <w:sz w:val="16"/>
              </w:rPr>
              <w:t>按实际首引和插入顺序修正跳号；内部F1/F2资产名称保留。</w:t>
            </w:r>
          </w:p>
        </w:tc>
      </w:tr>
      <w:tr>
        <w:tc>
          <w:tcPr>
            <w:tcW w:type="dxa" w:w="2494"/>
          </w:tcPr>
          <w:p>
            <w:pPr>
              <w:spacing w:line="264" w:lineRule="auto" w:after="40"/>
            </w:pPr>
            <w:r>
              <w:rPr>
                <w:b w:val="0"/>
                <w:sz w:val="16"/>
              </w:rPr>
              <w:t>scripts/assemble_final.py</w:t>
            </w:r>
          </w:p>
        </w:tc>
        <w:tc>
          <w:tcPr>
            <w:tcW w:type="dxa" w:w="2494"/>
          </w:tcPr>
          <w:p>
            <w:pPr>
              <w:spacing w:line="264" w:lineRule="auto" w:after="40"/>
            </w:pPr>
            <w:r>
              <w:rPr>
                <w:b w:val="0"/>
                <w:sz w:val="16"/>
              </w:rPr>
              <w:t>def mdtable(name):  rows=tables[name]</w:t>
            </w:r>
          </w:p>
        </w:tc>
        <w:tc>
          <w:tcPr>
            <w:tcW w:type="dxa" w:w="2494"/>
          </w:tcPr>
          <w:p>
            <w:pPr>
              <w:spacing w:line="264" w:lineRule="auto" w:after="40"/>
            </w:pPr>
            <w:r>
              <w:rPr>
                <w:b w:val="0"/>
                <w:sz w:val="16"/>
              </w:rPr>
              <w:t>table_titles={'表3-1':'表1 两端能量及配对差量','表4-3':'表2 代表构型的EDA五分项与总量','表5-1':'表3 强相互作用候选与参照构型的联合证据'} def mdtable(name):  rows=tables[name]</w:t>
            </w:r>
          </w:p>
        </w:tc>
        <w:tc>
          <w:tcPr>
            <w:tcW w:type="dxa" w:w="2494"/>
          </w:tcPr>
          <w:p>
            <w:pPr>
              <w:spacing w:line="264" w:lineRule="auto" w:after="40"/>
            </w:pPr>
            <w:r>
              <w:rPr>
                <w:b w:val="0"/>
                <w:sz w:val="16"/>
              </w:rPr>
              <w:t>保留历史缓存键，增加完整连续表题。</w:t>
            </w:r>
          </w:p>
        </w:tc>
      </w:tr>
      <w:tr>
        <w:tc>
          <w:tcPr>
            <w:tcW w:type="dxa" w:w="2494"/>
          </w:tcPr>
          <w:p>
            <w:pPr>
              <w:spacing w:line="264" w:lineRule="auto" w:after="40"/>
            </w:pPr>
            <w:r>
              <w:rPr>
                <w:b w:val="0"/>
                <w:sz w:val="16"/>
              </w:rPr>
              <w:t>scripts/assemble_final.py</w:t>
            </w:r>
          </w:p>
        </w:tc>
        <w:tc>
          <w:tcPr>
            <w:tcW w:type="dxa" w:w="2494"/>
          </w:tcPr>
          <w:p>
            <w:pPr>
              <w:spacing w:line="264" w:lineRule="auto" w:after="40"/>
            </w:pPr>
            <w:r>
              <w:rPr>
                <w:b w:val="0"/>
                <w:sz w:val="16"/>
              </w:rPr>
              <w:t>return '\n\n'+name+'\n\n/ '</w:t>
            </w:r>
          </w:p>
        </w:tc>
        <w:tc>
          <w:tcPr>
            <w:tcW w:type="dxa" w:w="2494"/>
          </w:tcPr>
          <w:p>
            <w:pPr>
              <w:spacing w:line="264" w:lineRule="auto" w:after="40"/>
            </w:pPr>
            <w:r>
              <w:rPr>
                <w:b w:val="0"/>
                <w:sz w:val="16"/>
              </w:rPr>
              <w:t>return '\n\n'+table_titles[name]+'\n\n/ '</w:t>
            </w:r>
          </w:p>
        </w:tc>
        <w:tc>
          <w:tcPr>
            <w:tcW w:type="dxa" w:w="2494"/>
          </w:tcPr>
          <w:p>
            <w:pPr>
              <w:spacing w:line="264" w:lineRule="auto" w:after="40"/>
            </w:pPr>
            <w:r>
              <w:rPr>
                <w:b w:val="0"/>
                <w:sz w:val="16"/>
              </w:rPr>
              <w:t>Word、PDF与Markdown统一使用完整表题。</w:t>
            </w:r>
          </w:p>
        </w:tc>
      </w:tr>
      <w:tr>
        <w:tc>
          <w:tcPr>
            <w:tcW w:type="dxa" w:w="2494"/>
          </w:tcPr>
          <w:p>
            <w:pPr>
              <w:spacing w:line="264" w:lineRule="auto" w:after="40"/>
            </w:pPr>
            <w:r>
              <w:rPr>
                <w:b w:val="0"/>
                <w:sz w:val="16"/>
              </w:rPr>
              <w:t>scripts/assemble_final.py</w:t>
            </w:r>
          </w:p>
        </w:tc>
        <w:tc>
          <w:tcPr>
            <w:tcW w:type="dxa" w:w="2494"/>
          </w:tcPr>
          <w:p>
            <w:pPr>
              <w:spacing w:line="264" w:lineRule="auto" w:after="40"/>
            </w:pPr>
            <w:r>
              <w:rPr>
                <w:b w:val="0"/>
                <w:sz w:val="16"/>
              </w:rPr>
              <w:t>limits=(R/'data/requirements_source.md').read_text()</w:t>
            </w:r>
          </w:p>
        </w:tc>
        <w:tc>
          <w:tcPr>
            <w:tcW w:type="dxa" w:w="2494"/>
          </w:tcPr>
          <w:p>
            <w:pPr>
              <w:spacing w:line="264" w:lineRule="auto" w:after="40"/>
            </w:pPr>
            <w:r>
              <w:rPr>
                <w:b w:val="0"/>
                <w:sz w:val="16"/>
              </w:rPr>
              <w:t>limits=(R/'data/requirements_source.md').read_text().replace('# 第二阶段待核实与最小补充清单','# 全稿待核实与最小补充清单')</w:t>
            </w:r>
          </w:p>
        </w:tc>
        <w:tc>
          <w:tcPr>
            <w:tcW w:type="dxa" w:w="2494"/>
          </w:tcPr>
          <w:p>
            <w:pPr>
              <w:spacing w:line="264" w:lineRule="auto" w:after="40"/>
            </w:pPr>
            <w:r>
              <w:rPr>
                <w:b w:val="0"/>
                <w:sz w:val="16"/>
              </w:rPr>
              <w:t>重建时保留全稿待核实清单标题。</w:t>
            </w:r>
          </w:p>
        </w:tc>
      </w:tr>
      <w:tr>
        <w:tc>
          <w:tcPr>
            <w:tcW w:type="dxa" w:w="2494"/>
          </w:tcPr>
          <w:p>
            <w:pPr>
              <w:spacing w:line="264" w:lineRule="auto" w:after="40"/>
            </w:pPr>
            <w:r>
              <w:rPr>
                <w:b w:val="0"/>
                <w:sz w:val="16"/>
              </w:rPr>
              <w:t>scripts/assemble_final.py</w:t>
            </w:r>
          </w:p>
        </w:tc>
        <w:tc>
          <w:tcPr>
            <w:tcW w:type="dxa" w:w="2494"/>
          </w:tcPr>
          <w:p>
            <w:pPr>
              <w:spacing w:line="264" w:lineRule="auto" w:after="40"/>
            </w:pPr>
            <w:r>
              <w:rPr>
                <w:b w:val="0"/>
                <w:sz w:val="16"/>
              </w:rPr>
              <w:t>因为没有路径及充分新旧键证据。</w:t>
            </w:r>
          </w:p>
        </w:tc>
        <w:tc>
          <w:tcPr>
            <w:tcW w:type="dxa" w:w="2494"/>
          </w:tcPr>
          <w:p>
            <w:pPr>
              <w:spacing w:line="264" w:lineRule="auto" w:after="40"/>
            </w:pPr>
            <w:r>
              <w:rPr>
                <w:b w:val="0"/>
                <w:sz w:val="16"/>
              </w:rPr>
              <w:t>并使用“强相互作用候选的结构重排与电子证据”，因为缺少路径和充分的新旧键证据。</w:t>
            </w:r>
          </w:p>
        </w:tc>
        <w:tc>
          <w:tcPr>
            <w:tcW w:type="dxa" w:w="2494"/>
          </w:tcPr>
          <w:p>
            <w:pPr>
              <w:spacing w:line="264" w:lineRule="auto" w:after="40"/>
            </w:pPr>
            <w:r>
              <w:rPr>
                <w:b w:val="0"/>
                <w:sz w:val="16"/>
              </w:rPr>
              <w:t>保留原大纲与本轮第5节标题的对应关系。</w:t>
            </w:r>
          </w:p>
        </w:tc>
      </w:tr>
      <w:tr>
        <w:tc>
          <w:tcPr>
            <w:tcW w:type="dxa" w:w="2494"/>
          </w:tcPr>
          <w:p>
            <w:pPr>
              <w:spacing w:line="264" w:lineRule="auto" w:after="40"/>
            </w:pPr>
            <w:r>
              <w:rPr>
                <w:b w:val="0"/>
                <w:sz w:val="16"/>
              </w:rPr>
              <w:t>scripts/plot_figures.py</w:t>
            </w:r>
          </w:p>
        </w:tc>
        <w:tc>
          <w:tcPr>
            <w:tcW w:type="dxa" w:w="2494"/>
          </w:tcPr>
          <w:p>
            <w:pPr>
              <w:spacing w:line="264" w:lineRule="auto" w:after="40"/>
            </w:pPr>
            <w:r>
              <w:rPr>
                <w:b w:val="0"/>
                <w:sz w:val="16"/>
              </w:rPr>
              <w:t>F1  H-end / Cl-end energy comparison</w:t>
            </w:r>
          </w:p>
        </w:tc>
        <w:tc>
          <w:tcPr>
            <w:tcW w:type="dxa" w:w="2494"/>
          </w:tcPr>
          <w:p>
            <w:pPr>
              <w:spacing w:line="264" w:lineRule="auto" w:after="40"/>
            </w:pPr>
            <w:r>
              <w:rPr>
                <w:b w:val="0"/>
                <w:sz w:val="16"/>
              </w:rPr>
              <w:t>Fig. 2  H-end / Cl-end energy comparison</w:t>
            </w:r>
          </w:p>
        </w:tc>
        <w:tc>
          <w:tcPr>
            <w:tcW w:type="dxa" w:w="2494"/>
          </w:tcPr>
          <w:p>
            <w:pPr>
              <w:spacing w:line="264" w:lineRule="auto" w:after="40"/>
            </w:pPr>
            <w:r>
              <w:rPr>
                <w:b w:val="0"/>
                <w:sz w:val="16"/>
              </w:rPr>
              <w:t>同步成图标题与正文编号，绘图值、分组和坐标保持不变。</w:t>
            </w:r>
          </w:p>
        </w:tc>
      </w:tr>
      <w:tr>
        <w:tc>
          <w:tcPr>
            <w:tcW w:type="dxa" w:w="2494"/>
          </w:tcPr>
          <w:p>
            <w:pPr>
              <w:spacing w:line="264" w:lineRule="auto" w:after="40"/>
            </w:pPr>
            <w:r>
              <w:rPr>
                <w:b w:val="0"/>
                <w:sz w:val="16"/>
              </w:rPr>
              <w:t>scripts/plot_figures.py</w:t>
            </w:r>
          </w:p>
        </w:tc>
        <w:tc>
          <w:tcPr>
            <w:tcW w:type="dxa" w:w="2494"/>
          </w:tcPr>
          <w:p>
            <w:pPr>
              <w:spacing w:line="264" w:lineRule="auto" w:after="40"/>
            </w:pPr>
            <w:r>
              <w:rPr>
                <w:b w:val="0"/>
                <w:sz w:val="16"/>
              </w:rPr>
              <w:t>F2  Internal-bond response to complex formation</w:t>
            </w:r>
          </w:p>
        </w:tc>
        <w:tc>
          <w:tcPr>
            <w:tcW w:type="dxa" w:w="2494"/>
          </w:tcPr>
          <w:p>
            <w:pPr>
              <w:spacing w:line="264" w:lineRule="auto" w:after="40"/>
            </w:pPr>
            <w:r>
              <w:rPr>
                <w:b w:val="0"/>
                <w:sz w:val="16"/>
              </w:rPr>
              <w:t>Fig. 1  Internal-bond response to complex formation</w:t>
            </w:r>
          </w:p>
        </w:tc>
        <w:tc>
          <w:tcPr>
            <w:tcW w:type="dxa" w:w="2494"/>
          </w:tcPr>
          <w:p>
            <w:pPr>
              <w:spacing w:line="264" w:lineRule="auto" w:after="40"/>
            </w:pPr>
            <w:r>
              <w:rPr>
                <w:b w:val="0"/>
                <w:sz w:val="16"/>
              </w:rPr>
              <w:t>同步成图标题与正文编号，绘图值、分组和坐标保持不变。</w:t>
            </w:r>
          </w:p>
        </w:tc>
      </w:tr>
      <w:tr>
        <w:tc>
          <w:tcPr>
            <w:tcW w:type="dxa" w:w="2494"/>
          </w:tcPr>
          <w:p>
            <w:pPr>
              <w:spacing w:line="264" w:lineRule="auto" w:after="40"/>
            </w:pPr>
            <w:r>
              <w:rPr>
                <w:b w:val="0"/>
                <w:sz w:val="16"/>
              </w:rPr>
              <w:t>scripts/plot_figures.py</w:t>
            </w:r>
          </w:p>
        </w:tc>
        <w:tc>
          <w:tcPr>
            <w:tcW w:type="dxa" w:w="2494"/>
          </w:tcPr>
          <w:p>
            <w:pPr>
              <w:spacing w:line="264" w:lineRule="auto" w:after="40"/>
            </w:pPr>
            <w:r>
              <w:rPr>
                <w:b w:val="0"/>
                <w:sz w:val="16"/>
              </w:rPr>
              <w:t>F3  Five-component EDA: stabilization and cancellation</w:t>
            </w:r>
          </w:p>
        </w:tc>
        <w:tc>
          <w:tcPr>
            <w:tcW w:type="dxa" w:w="2494"/>
          </w:tcPr>
          <w:p>
            <w:pPr>
              <w:spacing w:line="264" w:lineRule="auto" w:after="40"/>
            </w:pPr>
            <w:r>
              <w:rPr>
                <w:b w:val="0"/>
                <w:sz w:val="16"/>
              </w:rPr>
              <w:t>Fig. 3  Five-component EDA: stabilization and cancellation</w:t>
            </w:r>
          </w:p>
        </w:tc>
        <w:tc>
          <w:tcPr>
            <w:tcW w:type="dxa" w:w="2494"/>
          </w:tcPr>
          <w:p>
            <w:pPr>
              <w:spacing w:line="264" w:lineRule="auto" w:after="40"/>
            </w:pPr>
            <w:r>
              <w:rPr>
                <w:b w:val="0"/>
                <w:sz w:val="16"/>
              </w:rPr>
              <w:t>同步成图标题与正文编号，绘图值、分组和坐标保持不变。</w:t>
            </w:r>
          </w:p>
        </w:tc>
      </w:tr>
      <w:tr>
        <w:tc>
          <w:tcPr>
            <w:tcW w:type="dxa" w:w="2494"/>
          </w:tcPr>
          <w:p>
            <w:pPr>
              <w:spacing w:line="264" w:lineRule="auto" w:after="40"/>
            </w:pPr>
            <w:r>
              <w:rPr>
                <w:b w:val="0"/>
                <w:sz w:val="16"/>
              </w:rPr>
              <w:t>scripts/plot_figures.py</w:t>
            </w:r>
          </w:p>
        </w:tc>
        <w:tc>
          <w:tcPr>
            <w:tcW w:type="dxa" w:w="2494"/>
          </w:tcPr>
          <w:p>
            <w:pPr>
              <w:spacing w:line="264" w:lineRule="auto" w:after="40"/>
            </w:pPr>
            <w:r>
              <w:rPr>
                <w:b w:val="0"/>
                <w:sz w:val="16"/>
              </w:rPr>
              <w:t>F4  Geometry screening of strongly reorganized candidates</w:t>
            </w:r>
          </w:p>
        </w:tc>
        <w:tc>
          <w:tcPr>
            <w:tcW w:type="dxa" w:w="2494"/>
          </w:tcPr>
          <w:p>
            <w:pPr>
              <w:spacing w:line="264" w:lineRule="auto" w:after="40"/>
            </w:pPr>
            <w:r>
              <w:rPr>
                <w:b w:val="0"/>
                <w:sz w:val="16"/>
              </w:rPr>
              <w:t>Fig. 4  Geometry screening of strongly reorganized candidates</w:t>
            </w:r>
          </w:p>
        </w:tc>
        <w:tc>
          <w:tcPr>
            <w:tcW w:type="dxa" w:w="2494"/>
          </w:tcPr>
          <w:p>
            <w:pPr>
              <w:spacing w:line="264" w:lineRule="auto" w:after="40"/>
            </w:pPr>
            <w:r>
              <w:rPr>
                <w:b w:val="0"/>
                <w:sz w:val="16"/>
              </w:rPr>
              <w:t>同步成图标题与正文编号，绘图值、分组和坐标保持不变。</w:t>
            </w:r>
          </w:p>
        </w:tc>
      </w:tr>
      <w:tr>
        <w:tc>
          <w:tcPr>
            <w:tcW w:type="dxa" w:w="2494"/>
          </w:tcPr>
          <w:p>
            <w:pPr>
              <w:spacing w:line="264" w:lineRule="auto" w:after="40"/>
            </w:pPr>
            <w:r>
              <w:rPr>
                <w:b w:val="0"/>
                <w:sz w:val="16"/>
              </w:rPr>
              <w:t>scripts/plot_figures.py</w:t>
            </w:r>
          </w:p>
        </w:tc>
        <w:tc>
          <w:tcPr>
            <w:tcW w:type="dxa" w:w="2494"/>
          </w:tcPr>
          <w:p>
            <w:pPr>
              <w:spacing w:line="264" w:lineRule="auto" w:after="40"/>
            </w:pPr>
            <w:r>
              <w:rPr>
                <w:b w:val="0"/>
                <w:sz w:val="16"/>
              </w:rPr>
              <w:t>python /workspace/zxj/report2/scripts/plot_figures.py</w:t>
            </w:r>
          </w:p>
        </w:tc>
        <w:tc>
          <w:tcPr>
            <w:tcW w:type="dxa" w:w="2494"/>
          </w:tcPr>
          <w:p>
            <w:pPr>
              <w:spacing w:line="264" w:lineRule="auto" w:after="40"/>
            </w:pPr>
            <w:r>
              <w:rPr>
                <w:b w:val="0"/>
                <w:sz w:val="16"/>
              </w:rPr>
              <w:t>python stage6_revision/scripts/plot_figures.py</w:t>
            </w:r>
          </w:p>
        </w:tc>
        <w:tc>
          <w:tcPr>
            <w:tcW w:type="dxa" w:w="2494"/>
          </w:tcPr>
          <w:p>
            <w:pPr>
              <w:spacing w:line="264" w:lineRule="auto" w:after="40"/>
            </w:pPr>
            <w:r>
              <w:rPr>
                <w:b w:val="0"/>
                <w:sz w:val="16"/>
              </w:rPr>
              <w:t>更正本轮复现命令。</w:t>
            </w:r>
          </w:p>
        </w:tc>
      </w:tr>
    </w:tbl>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Noto Sans CJK SC"/>
      <w:b/>
      <w:bCs/>
      <w:color w:val="173C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Noto Sans CJK SC"/>
      <w:b/>
      <w:bCs/>
      <w:color w:val="173C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Noto Sans CJK SC"/>
      <w:b/>
      <w:bCs/>
      <w:color w:val="173C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Noto Sans CJK SC"/>
      <w:color w:val="173C5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24"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