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5E44D">
      <w:pPr>
        <w:pStyle w:val="28"/>
        <w:bidi w:val="0"/>
      </w:pPr>
      <w:r>
        <w:t>方位角构造与距离—方位角初步定位理论分析</w:t>
      </w:r>
    </w:p>
    <w:p w14:paraId="40FC4489">
      <w:pPr>
        <w:pStyle w:val="28"/>
        <w:bidi w:val="0"/>
      </w:pPr>
      <w:r>
        <w:t>基于 algorithm-exploration/range-azimuth-aided 当前实现</w:t>
      </w:r>
    </w:p>
    <w:tbl>
      <w:tblPr>
        <w:tblStyle w:val="37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14DF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AB3A">
            <w:pPr>
              <w:pStyle w:val="188"/>
              <w:bidi w:val="0"/>
            </w:pPr>
            <w:r>
              <w:t>分析对象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060F">
            <w:pPr>
              <w:pStyle w:val="188"/>
              <w:bidi w:val="0"/>
            </w:pPr>
            <w:r>
              <w:t>方位角仿真构造、联合量测更新与初步定位可行性</w:t>
            </w:r>
          </w:p>
        </w:tc>
      </w:tr>
      <w:tr w14:paraId="3BF5F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1A657">
            <w:pPr>
              <w:pStyle w:val="188"/>
              <w:bidi w:val="0"/>
            </w:pPr>
            <w:r>
              <w:t>数据依据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BC9B">
            <w:pPr>
              <w:pStyle w:val="188"/>
              <w:bidi w:val="0"/>
            </w:pPr>
            <w:r>
              <w:t>case-00；3个信标；15,027条方位角观测</w:t>
            </w:r>
          </w:p>
        </w:tc>
      </w:tr>
      <w:tr w14:paraId="0B0C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7D67">
            <w:pPr>
              <w:pStyle w:val="188"/>
              <w:bidi w:val="0"/>
            </w:pPr>
            <w:r>
              <w:t>文档性质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FE2AB">
            <w:pPr>
              <w:pStyle w:val="188"/>
              <w:bidi w:val="0"/>
            </w:pPr>
            <w:r>
              <w:t>理论分析与后续试验建议，不替代实测传感器标定</w:t>
            </w:r>
          </w:p>
        </w:tc>
      </w:tr>
    </w:tbl>
    <w:p w14:paraId="2489DEEF">
      <w:pPr>
        <w:spacing w:after="60"/>
      </w:pPr>
    </w:p>
    <w:tbl>
      <w:tblPr>
        <w:tblStyle w:val="37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38EE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79BE"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color w:val="1F4D78"/>
                <w:sz w:val="22"/>
              </w:rPr>
              <w:t>核心判断：</w:t>
            </w:r>
            <w:r>
              <w:rPr>
                <w:rFonts w:ascii="Calibri" w:hAnsi="Calibri" w:eastAsia="宋体"/>
                <w:color w:val="000000"/>
                <w:sz w:val="22"/>
              </w:rPr>
              <w:t>当前方位角构造在二维几何、角度归一化和滤波残差处理上是自洽的；0.10°～0.50°的方向相关随机误差适合作为较理想测角条件下的第一轮仿真，但尚不足以代表真实系统。距离与相对方位角可以用于初步水平定位，前提是载体航向或基线绝对方向已知；若航向未知，单个信标在单时刻不能唯一确定位置。</w:t>
            </w:r>
          </w:p>
        </w:tc>
      </w:tr>
    </w:tbl>
    <w:p w14:paraId="72719604">
      <w:pPr>
        <w:spacing w:after="40"/>
      </w:pPr>
      <w:bookmarkStart w:id="0" w:name="_GoBack"/>
      <w:bookmarkEnd w:id="0"/>
    </w:p>
    <w:p w14:paraId="3A918E86">
      <w:pPr>
        <w:pStyle w:val="3"/>
        <w:bidi w:val="0"/>
      </w:pPr>
      <w:r>
        <w:t>现有方位角构造方法</w:t>
      </w:r>
    </w:p>
    <w:p w14:paraId="24ABFD53">
      <w:pPr>
        <w:pStyle w:val="19"/>
        <w:bidi w:val="0"/>
      </w:pPr>
      <w:r>
        <w:t>当前生成程序读取 truth.txt 和 range1.txt～range3.txt。对每个测距时刻，先对真值纬度、经度、高度和航向进行插值；航向在插值前使用 unwrap 展开，避免跨越 ±180° 时产生错误中间值。随后利用 WGS-84 曲率半径把信标与载体的经纬度差转换为局部北、东向位移。</w:t>
      </w:r>
    </w:p>
    <w:p w14:paraId="7D04617F">
      <w:pPr>
        <w:pStyle w:val="19"/>
        <w:bidi w:val="0"/>
      </w:pPr>
      <w:r>
        <w:t>定义局部坐标中的信标相对向量为：</w:t>
      </w:r>
    </w:p>
    <w:p w14:paraId="0A9E5902">
      <w:pPr>
        <w:spacing w:before="0" w:after="160" w:line="264" w:lineRule="auto"/>
        <w:jc w:val="center"/>
      </w:pPr>
      <m:oMathPara>
        <m:oMath>
          <m:r>
            <m:rPr/>
            <w:rPr>
              <w:rFonts w:hint="default" w:ascii="Cambria Math" w:hAnsi="Cambria Math" w:eastAsia="宋体"/>
              <w:sz w:val="22"/>
            </w:rPr>
            <m:t>ΔN=(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L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b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−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L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p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)(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R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M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+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h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b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)，ΔE=(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λ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b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−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λ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p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)(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R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N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+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h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b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)cos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L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p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</m:oMath>
      </m:oMathPara>
    </w:p>
    <w:p w14:paraId="4A26C573">
      <w:pPr>
        <w:spacing w:before="0" w:after="120" w:line="264" w:lineRule="auto"/>
      </w:pPr>
      <w:r>
        <w:rPr>
          <w:rFonts w:ascii="Calibri" w:hAnsi="Calibri" w:eastAsia="宋体"/>
          <w:color w:val="000000"/>
          <w:sz w:val="22"/>
        </w:rPr>
        <w:t>信标全局方位角、相对方位角分别为：</w:t>
      </w:r>
    </w:p>
    <w:p w14:paraId="0879C81B">
      <w:pPr>
        <w:spacing w:before="0" w:after="160" w:line="264" w:lineRule="auto"/>
        <w:jc w:val="center"/>
      </w:pPr>
      <m:oMathPara>
        <m:oMath>
          <m:r>
            <m:rPr/>
            <w:rPr>
              <w:rFonts w:hint="default" w:ascii="Cambria Math" w:hAnsi="Cambria Math" w:eastAsia="宋体"/>
              <w:sz w:val="22"/>
            </w:rPr>
            <m:t>β=atan2(ΔE,ΔN)，θ=wrap(β−ψ−γ)</m:t>
          </m:r>
        </m:oMath>
      </m:oMathPara>
    </w:p>
    <w:p w14:paraId="3CB5DA3F">
      <w:pPr>
        <w:bidi w:val="0"/>
      </w:pPr>
      <w:r>
        <w:t>其中 β 采用“正北为 0°、正东为 90°”的导航方位角约定；ψ 为载体航向；γ 为基线法线相对船首的安装偏置，当前取 90°，表示法线指向右舷；wrap 将结果归一化到 [−180°, 180°)。</w:t>
      </w:r>
    </w:p>
    <w:tbl>
      <w:tblPr>
        <w:tblStyle w:val="37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300"/>
        <w:gridCol w:w="4260"/>
      </w:tblGrid>
      <w:tr w14:paraId="5924D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79BC">
            <w:pPr>
              <w:pStyle w:val="188"/>
              <w:bidi w:val="0"/>
            </w:pPr>
            <w:r>
              <w:t>处理环节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2A3D">
            <w:pPr>
              <w:pStyle w:val="188"/>
              <w:bidi w:val="0"/>
            </w:pPr>
            <w:r>
              <w:t>当前实现</w:t>
            </w:r>
          </w:p>
        </w:tc>
        <w:tc>
          <w:tcPr>
            <w:tcW w:w="4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026FD">
            <w:pPr>
              <w:pStyle w:val="188"/>
              <w:bidi w:val="0"/>
            </w:pPr>
            <w:r>
              <w:t>理论评价</w:t>
            </w:r>
          </w:p>
        </w:tc>
      </w:tr>
      <w:tr w14:paraId="0669B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50F3">
            <w:pPr>
              <w:pStyle w:val="188"/>
              <w:bidi w:val="0"/>
            </w:pPr>
            <w:r>
              <w:t>时间同步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C9BF0">
            <w:pPr>
              <w:pStyle w:val="188"/>
              <w:bidi w:val="0"/>
            </w:pPr>
            <w:r>
              <w:t>按测距时间线性插值真值，航向先展开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BE6B">
            <w:pPr>
              <w:pStyle w:val="188"/>
              <w:bidi w:val="0"/>
            </w:pPr>
            <w:r>
              <w:t>仿真条件下正确；实测需加入时间戳偏差和延迟</w:t>
            </w:r>
          </w:p>
        </w:tc>
      </w:tr>
      <w:tr w14:paraId="05464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0014">
            <w:pPr>
              <w:pStyle w:val="188"/>
              <w:bidi w:val="0"/>
            </w:pPr>
            <w:r>
              <w:t>坐标转换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5764F">
            <w:pPr>
              <w:pStyle w:val="188"/>
              <w:bidi w:val="0"/>
            </w:pPr>
            <w:r>
              <w:t>WGS-84经纬度差转局部北东位移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0DCA5">
            <w:pPr>
              <w:pStyle w:val="188"/>
              <w:bidi w:val="0"/>
            </w:pPr>
            <w:r>
              <w:t>适合当前数十千米尺度；应保持基准点和高度定义一致</w:t>
            </w:r>
          </w:p>
        </w:tc>
      </w:tr>
      <w:tr w14:paraId="10482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0A290">
            <w:pPr>
              <w:pStyle w:val="188"/>
              <w:bidi w:val="0"/>
            </w:pPr>
            <w:r>
              <w:t>方位角定义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E42E">
            <w:pPr>
              <w:pStyle w:val="188"/>
              <w:bidi w:val="0"/>
            </w:pPr>
            <w:r>
              <w:t>β−ψ−90°，范围为[−180°,180°)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C15AE">
            <w:pPr>
              <w:pStyle w:val="188"/>
              <w:bidi w:val="0"/>
            </w:pPr>
            <w:r>
              <w:t>与旧pos2azimuth/calc_position_from_beacon正反算一致</w:t>
            </w:r>
          </w:p>
        </w:tc>
      </w:tr>
      <w:tr w14:paraId="34FBB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5D7F7">
            <w:pPr>
              <w:pStyle w:val="188"/>
              <w:bidi w:val="0"/>
            </w:pPr>
            <w:r>
              <w:t>滤波残差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8B578">
            <w:pPr>
              <w:pStyle w:val="188"/>
              <w:bidi w:val="0"/>
            </w:pPr>
            <w:r>
              <w:t>预测角−测量角，并再次wrap到[−π,π)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C829">
            <w:pPr>
              <w:pStyle w:val="188"/>
              <w:bidi w:val="0"/>
            </w:pPr>
            <w:r>
              <w:t>避免角度跨界导致大残差，处理合理</w:t>
            </w:r>
          </w:p>
        </w:tc>
      </w:tr>
      <w:tr w14:paraId="4FAB9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1DFA0">
            <w:pPr>
              <w:pStyle w:val="188"/>
              <w:bidi w:val="0"/>
            </w:pPr>
            <w:r>
              <w:t>状态反馈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D6A49">
            <w:pPr>
              <w:pStyle w:val="188"/>
              <w:bidi w:val="0"/>
            </w:pPr>
            <w:r>
              <w:t>位置、姿态等误差均反馈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AE16">
            <w:pPr>
              <w:pStyle w:val="188"/>
              <w:bidi w:val="0"/>
            </w:pPr>
            <w:r>
              <w:t>必要；否则航向误差会被错误吸收到位置误差中</w:t>
            </w:r>
          </w:p>
        </w:tc>
      </w:tr>
    </w:tbl>
    <w:p w14:paraId="29776A1C">
      <w:pPr>
        <w:spacing w:after="40"/>
      </w:pPr>
    </w:p>
    <w:p w14:paraId="1621BB9C">
      <w:pPr>
        <w:pStyle w:val="188"/>
        <w:bidi w:val="0"/>
      </w:pPr>
      <w:r>
        <w:drawing>
          <wp:inline distT="0" distB="0" distL="114300" distR="114300">
            <wp:extent cx="5806440" cy="2164080"/>
            <wp:effectExtent l="0" t="0" r="0" b="0"/>
            <wp:docPr id="1" name="Picture 1" descr="左图展示载体航向、右舷基线法线、信标和水平距离的几何关系；右图展示0.1度至1.0度方位角误差随距离放大的横向位置不确定度。" title="距离—方位角几何与误差传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左图展示载体航向、右舷基线法线、信标和水平距离的几何关系；右图展示0.1度至1.0度方位角误差随距离放大的横向位置不确定度。" title="距离—方位角几何与误差传播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6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6B84">
      <w:pPr>
        <w:pStyle w:val="139"/>
        <w:bidi w:val="0"/>
      </w:pPr>
      <w:r>
        <w:t>图 1  距离—相对方位角几何关系及测角误差的距离放大效应</w:t>
      </w:r>
    </w:p>
    <w:p w14:paraId="3D574956">
      <w:pPr>
        <w:pStyle w:val="3"/>
        <w:bidi w:val="0"/>
      </w:pPr>
      <w:r>
        <w:t>当前方位角误差模型</w:t>
      </w:r>
    </w:p>
    <w:p w14:paraId="5C8D29F4">
      <w:pPr>
        <w:bidi w:val="0"/>
      </w:pPr>
      <w:r>
        <w:t>程序采用方向相关、方差随时间轻微抖动的截断高斯模型：</w:t>
      </w:r>
    </w:p>
    <w:p w14:paraId="006FD119">
      <w:pPr>
        <w:spacing w:before="0" w:after="120" w:line="264" w:lineRule="auto"/>
        <w:jc w:val="center"/>
      </w:pPr>
      <m:oMathPara>
        <m:oMath>
          <m:r>
            <m:rPr/>
            <w:rPr>
              <w:rFonts w:hint="default" w:ascii="Cambria Math" w:hAnsi="Cambria Math" w:eastAsia="宋体"/>
              <w:sz w:val="22"/>
            </w:rPr>
            <m:t>σ(θ)=[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σ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m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in+(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σ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m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ax−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σ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m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in)|sinθ</m:t>
          </m:r>
          <m:sSup>
            <m:sSupPr>
              <m:ctrlPr>
                <w:rPr>
                  <w:rFonts w:hint="default" w:ascii="Cambria Math" w:hAnsi="Cambria Math" w:eastAsia="宋体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|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2"/>
                </w:rPr>
                <m:t>p</m:t>
              </m:r>
              <m:ctrlPr>
                <w:rPr>
                  <w:rFonts w:ascii="Cambria Math" w:hAnsi="Cambria Math" w:eastAsia="宋体"/>
                  <w:sz w:val="22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2"/>
            </w:rPr>
            <m:t>]·(1+u)，u∈[−j,j]</m:t>
          </m:r>
        </m:oMath>
      </m:oMathPara>
    </w:p>
    <w:p w14:paraId="33C4B60F">
      <w:pPr>
        <w:bidi w:val="0"/>
      </w:pPr>
      <w:r>
        <w:t>ε_θ ~ N(0, σ²(θ))，随后限制为 |ε_θ| ≤ 2σ_max；当前 σ_min=0.10°、σ_max=0.50°、p=1.5、j=0.20，因此样本标准差理论范围约为 0.08°～0.60°，最终角度误差限制在 ±1.0°。θ=0° 对应基线法线方向，|θ|=90° 对应接近基线延伸方向；把后者设置为较差精度，符合许多有限孔径测角系统“端射方向几何变差”的直观，但是否符合实际设备必须通过标定确认。</w:t>
      </w:r>
    </w:p>
    <w:tbl>
      <w:tblPr>
        <w:tblStyle w:val="37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500"/>
        <w:gridCol w:w="4960"/>
      </w:tblGrid>
      <w:tr w14:paraId="1E728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1B8F">
            <w:pPr>
              <w:pStyle w:val="188"/>
              <w:bidi w:val="0"/>
            </w:pPr>
            <w:r>
              <w:t>统计量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060D">
            <w:pPr>
              <w:pStyle w:val="188"/>
              <w:bidi w:val="0"/>
            </w:pPr>
            <w:r>
              <w:t>case-00结果</w:t>
            </w:r>
          </w:p>
        </w:tc>
        <w:tc>
          <w:tcPr>
            <w:tcW w:w="4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88E3">
            <w:pPr>
              <w:pStyle w:val="188"/>
              <w:bidi w:val="0"/>
            </w:pPr>
            <w:r>
              <w:t>说明</w:t>
            </w:r>
          </w:p>
        </w:tc>
      </w:tr>
      <w:tr w14:paraId="0D113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EC47">
            <w:pPr>
              <w:pStyle w:val="188"/>
              <w:bidi w:val="0"/>
            </w:pPr>
            <w:r>
              <w:t>观测数量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A3D7">
            <w:pPr>
              <w:pStyle w:val="188"/>
              <w:bidi w:val="0"/>
            </w:pPr>
            <w:r>
              <w:t>15,027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CCD46">
            <w:pPr>
              <w:pStyle w:val="188"/>
              <w:bidi w:val="0"/>
            </w:pPr>
            <w:r>
              <w:t>3个信标生成文件的合计</w:t>
            </w:r>
          </w:p>
        </w:tc>
      </w:tr>
      <w:tr w14:paraId="27372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F12D3">
            <w:pPr>
              <w:pStyle w:val="188"/>
              <w:bidi w:val="0"/>
            </w:pPr>
            <w:r>
              <w:t>动态σ范围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DFDA">
            <w:pPr>
              <w:pStyle w:val="188"/>
              <w:bidi w:val="0"/>
            </w:pPr>
            <w:r>
              <w:t>0.080°～0.596°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389D4">
            <w:pPr>
              <w:pStyle w:val="188"/>
              <w:bidi w:val="0"/>
            </w:pPr>
            <w:r>
              <w:t>由方向包络和±20%抖动共同形成</w:t>
            </w:r>
          </w:p>
        </w:tc>
      </w:tr>
      <w:tr w14:paraId="5635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6876">
            <w:pPr>
              <w:pStyle w:val="188"/>
              <w:bidi w:val="0"/>
            </w:pPr>
            <w:r>
              <w:t>动态σ均值/中位数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2B24">
            <w:pPr>
              <w:pStyle w:val="188"/>
              <w:bidi w:val="0"/>
            </w:pPr>
            <w:r>
              <w:t>0.299° / 0.298°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0668">
            <w:pPr>
              <w:pStyle w:val="188"/>
              <w:bidi w:val="0"/>
            </w:pPr>
            <w:r>
              <w:t>总体接近脚本默认0.30°</w:t>
            </w:r>
          </w:p>
        </w:tc>
      </w:tr>
      <w:tr w14:paraId="3946F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868ED">
            <w:pPr>
              <w:pStyle w:val="188"/>
              <w:bidi w:val="0"/>
            </w:pPr>
            <w:r>
              <w:t>角度噪声RMSE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5E554">
            <w:pPr>
              <w:pStyle w:val="188"/>
              <w:bidi w:val="0"/>
            </w:pPr>
            <w:r>
              <w:t>0.315°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C4B16">
            <w:pPr>
              <w:pStyle w:val="188"/>
              <w:bidi w:val="0"/>
            </w:pPr>
            <w:r>
              <w:t>与动态σ量级一致</w:t>
            </w:r>
          </w:p>
        </w:tc>
      </w:tr>
      <w:tr w14:paraId="2A98E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1C0A">
            <w:pPr>
              <w:pStyle w:val="188"/>
              <w:bidi w:val="0"/>
            </w:pPr>
            <w:r>
              <w:t>±1°截断次数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CB1E">
            <w:pPr>
              <w:pStyle w:val="188"/>
              <w:bidi w:val="0"/>
            </w:pPr>
            <w:r>
              <w:t>134（0.89%）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9916">
            <w:pPr>
              <w:pStyle w:val="188"/>
              <w:bidi w:val="0"/>
            </w:pPr>
            <w:r>
              <w:t>截断比例较低，但分布已不再严格高斯</w:t>
            </w:r>
          </w:p>
        </w:tc>
      </w:tr>
      <w:tr w14:paraId="12E0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6FD9">
            <w:pPr>
              <w:pStyle w:val="188"/>
              <w:bidi w:val="0"/>
            </w:pPr>
            <w:r>
              <w:t>水平距离范围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9C85">
            <w:pPr>
              <w:pStyle w:val="188"/>
              <w:bidi w:val="0"/>
            </w:pPr>
            <w:r>
              <w:t>8.20～22.55 km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3BCA">
            <w:pPr>
              <w:pStyle w:val="188"/>
              <w:bidi w:val="0"/>
            </w:pPr>
            <w:r>
              <w:t>中位数11.56 km，均值12.81 km</w:t>
            </w:r>
          </w:p>
        </w:tc>
      </w:tr>
    </w:tbl>
    <w:p w14:paraId="7BA1BF36">
      <w:pPr>
        <w:spacing w:after="40"/>
      </w:pPr>
    </w:p>
    <w:p w14:paraId="01453E93">
      <w:pPr>
        <w:pStyle w:val="3"/>
        <w:bidi w:val="0"/>
      </w:pPr>
      <w:r>
        <w:t>误差设置是否合理</w:t>
      </w:r>
    </w:p>
    <w:tbl>
      <w:tblPr>
        <w:tblStyle w:val="37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6122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4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1329"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color w:val="1F4D78"/>
                <w:sz w:val="22"/>
              </w:rPr>
              <w:t>结论：</w:t>
            </w:r>
            <w:r>
              <w:rPr>
                <w:rFonts w:ascii="Calibri" w:hAnsi="Calibri" w:eastAsia="宋体"/>
                <w:color w:val="000000"/>
                <w:sz w:val="22"/>
              </w:rPr>
              <w:t>作为算法有效性验证，当前参数合理；作为工程性能承诺，证据不足。它更接近“无系统偏差、同步准确、异常值很少”的理想测角条件。</w:t>
            </w:r>
          </w:p>
        </w:tc>
      </w:tr>
    </w:tbl>
    <w:p w14:paraId="65DDC06D">
      <w:pPr>
        <w:bidi w:val="0"/>
      </w:pPr>
      <w:r>
        <w:t>测角误差对位置的影响随距离近似线性放大。令 α=ψ+γ+θ，则由单信标反算得到的位置为 p=b−r[sinα, cosα]ᵀ。小角度条件下，距离误差主要作用于径向，角度误差主要作用于切向：</w:t>
      </w:r>
    </w:p>
    <w:p w14:paraId="0A47FE52">
      <w:pPr>
        <w:spacing w:before="0" w:after="160" w:line="264" w:lineRule="auto"/>
        <w:jc w:val="center"/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σ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r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adial≈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σ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r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，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σ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t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angential≈r·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σ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α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</m:oMath>
      </m:oMathPara>
    </w:p>
    <w:p w14:paraId="5BE3BB5B">
      <w:pPr>
        <w:bidi w:val="0"/>
      </w:pPr>
      <w:r>
        <w:t>因此，0.3° 看似很小，但在当前约 12.8 km 的平均距离上，仅角度一项就对应约 67 m 的 1σ 切向不确定度；若航向、基线安装角也有误差，应把它们与测角误差按方差相加后再乘以距离。</w:t>
      </w:r>
    </w:p>
    <w:tbl>
      <w:tblPr>
        <w:tblStyle w:val="37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90"/>
        <w:gridCol w:w="1890"/>
        <w:gridCol w:w="1890"/>
        <w:gridCol w:w="1890"/>
      </w:tblGrid>
      <w:tr w14:paraId="204EF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B068">
            <w:pPr>
              <w:pStyle w:val="188"/>
              <w:bidi w:val="0"/>
            </w:pPr>
            <w:r>
              <w:t>距离</w:t>
            </w:r>
          </w:p>
        </w:tc>
        <w:tc>
          <w:tcPr>
            <w:tcW w:w="18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38ACF">
            <w:pPr>
              <w:pStyle w:val="188"/>
              <w:bidi w:val="0"/>
            </w:pPr>
            <w:r>
              <w:t>0.1°</w:t>
            </w:r>
          </w:p>
        </w:tc>
        <w:tc>
          <w:tcPr>
            <w:tcW w:w="18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DC29A">
            <w:pPr>
              <w:pStyle w:val="188"/>
              <w:bidi w:val="0"/>
            </w:pPr>
            <w:r>
              <w:t>0.3°</w:t>
            </w:r>
          </w:p>
        </w:tc>
        <w:tc>
          <w:tcPr>
            <w:tcW w:w="18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6310">
            <w:pPr>
              <w:pStyle w:val="188"/>
              <w:bidi w:val="0"/>
            </w:pPr>
            <w:r>
              <w:t>0.5°</w:t>
            </w:r>
          </w:p>
        </w:tc>
        <w:tc>
          <w:tcPr>
            <w:tcW w:w="18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CF8DF">
            <w:pPr>
              <w:pStyle w:val="188"/>
              <w:bidi w:val="0"/>
            </w:pPr>
            <w:r>
              <w:t>1.0°</w:t>
            </w:r>
          </w:p>
        </w:tc>
      </w:tr>
      <w:tr w14:paraId="07CFF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63F38">
            <w:pPr>
              <w:pStyle w:val="188"/>
              <w:bidi w:val="0"/>
            </w:pPr>
            <w:r>
              <w:t>8.2 km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E129">
            <w:pPr>
              <w:pStyle w:val="188"/>
              <w:bidi w:val="0"/>
            </w:pPr>
            <w:r>
              <w:t>14 m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36C58">
            <w:pPr>
              <w:pStyle w:val="188"/>
              <w:bidi w:val="0"/>
            </w:pPr>
            <w:r>
              <w:t>43 m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D2420">
            <w:pPr>
              <w:pStyle w:val="188"/>
              <w:bidi w:val="0"/>
            </w:pPr>
            <w:r>
              <w:t>72 m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E388">
            <w:pPr>
              <w:pStyle w:val="188"/>
              <w:bidi w:val="0"/>
            </w:pPr>
            <w:r>
              <w:t>143 m</w:t>
            </w:r>
          </w:p>
        </w:tc>
      </w:tr>
      <w:tr w14:paraId="7C40C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5337">
            <w:pPr>
              <w:pStyle w:val="188"/>
              <w:bidi w:val="0"/>
            </w:pPr>
            <w:r>
              <w:t>12.8 km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DD5A">
            <w:pPr>
              <w:pStyle w:val="188"/>
              <w:bidi w:val="0"/>
            </w:pPr>
            <w:r>
              <w:t>22 m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62BD">
            <w:pPr>
              <w:pStyle w:val="188"/>
              <w:bidi w:val="0"/>
            </w:pPr>
            <w:r>
              <w:t>67 m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67A0">
            <w:pPr>
              <w:pStyle w:val="188"/>
              <w:bidi w:val="0"/>
            </w:pPr>
            <w:r>
              <w:t>112 m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0407">
            <w:pPr>
              <w:pStyle w:val="188"/>
              <w:bidi w:val="0"/>
            </w:pPr>
            <w:r>
              <w:t>223 m</w:t>
            </w:r>
          </w:p>
        </w:tc>
      </w:tr>
      <w:tr w14:paraId="70DC2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41E02">
            <w:pPr>
              <w:pStyle w:val="188"/>
              <w:bidi w:val="0"/>
            </w:pPr>
            <w:r>
              <w:t>22.5 km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FC12">
            <w:pPr>
              <w:pStyle w:val="188"/>
              <w:bidi w:val="0"/>
            </w:pPr>
            <w:r>
              <w:t>39 m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D5BE">
            <w:pPr>
              <w:pStyle w:val="188"/>
              <w:bidi w:val="0"/>
            </w:pPr>
            <w:r>
              <w:t>118 m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D67CC">
            <w:pPr>
              <w:pStyle w:val="188"/>
              <w:bidi w:val="0"/>
            </w:pPr>
            <w:r>
              <w:t>196 m</w:t>
            </w:r>
          </w:p>
        </w:tc>
        <w:tc>
          <w:tcPr>
            <w:tcW w:w="1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B8D7">
            <w:pPr>
              <w:pStyle w:val="188"/>
              <w:bidi w:val="0"/>
            </w:pPr>
            <w:r>
              <w:t>393 m</w:t>
            </w:r>
          </w:p>
        </w:tc>
      </w:tr>
    </w:tbl>
    <w:p w14:paraId="3D91BAAB">
      <w:pPr>
        <w:pStyle w:val="4"/>
        <w:bidi w:val="0"/>
      </w:pPr>
      <w:r>
        <w:t>当前模型的优点</w:t>
      </w:r>
    </w:p>
    <w:p w14:paraId="5D3E0355">
      <w:pPr>
        <w:numPr>
          <w:ilvl w:val="0"/>
          <w:numId w:val="9"/>
        </w:numPr>
        <w:bidi w:val="0"/>
        <w:ind w:left="900" w:leftChars="0" w:hanging="420" w:firstLineChars="0"/>
      </w:pPr>
      <w:r>
        <w:t>方位角误差不是固定常数，而是随观测方向变化，能够体现几何质量差异。</w:t>
      </w:r>
    </w:p>
    <w:p w14:paraId="6A1C8EC4">
      <w:pPr>
        <w:numPr>
          <w:ilvl w:val="0"/>
          <w:numId w:val="9"/>
        </w:numPr>
        <w:bidi w:val="0"/>
        <w:ind w:left="900" w:leftChars="0" w:hanging="420" w:firstLineChars="0"/>
      </w:pPr>
      <w:r>
        <w:t>每条记录保存自己的σ，并在滤波中转为弧度作为量测协方差，生成端与滤波端基本一致。</w:t>
      </w:r>
    </w:p>
    <w:p w14:paraId="4D8375D4">
      <w:pPr>
        <w:numPr>
          <w:ilvl w:val="0"/>
          <w:numId w:val="9"/>
        </w:numPr>
        <w:bidi w:val="0"/>
        <w:ind w:left="900" w:leftChars="0" w:hanging="420" w:firstLineChars="0"/>
      </w:pPr>
      <w:r>
        <w:t>噪声均值接近零，随机种子固定，便于不同算法公平复现。</w:t>
      </w:r>
    </w:p>
    <w:p w14:paraId="0B497B29">
      <w:pPr>
        <w:numPr>
          <w:ilvl w:val="0"/>
          <w:numId w:val="9"/>
        </w:numPr>
        <w:bidi w:val="0"/>
        <w:ind w:left="900" w:leftChars="0" w:hanging="420" w:firstLineChars="0"/>
      </w:pPr>
      <w:r>
        <w:t>角度残差和输出均做周期归一化，避免 ±180° 附近出现伪跳变。</w:t>
      </w:r>
    </w:p>
    <w:p w14:paraId="5FB21BDD">
      <w:pPr>
        <w:pStyle w:val="4"/>
        <w:bidi w:val="0"/>
      </w:pPr>
      <w:r>
        <w:t>尚未覆盖的工程误差</w:t>
      </w:r>
    </w:p>
    <w:p w14:paraId="2023732D">
      <w:pPr>
        <w:numPr>
          <w:ilvl w:val="0"/>
          <w:numId w:val="10"/>
        </w:numPr>
        <w:bidi w:val="0"/>
        <w:ind w:left="900" w:leftChars="0" w:hanging="420" w:firstLineChars="0"/>
      </w:pPr>
      <w:r>
        <w:t>固定偏差：传感器零偏、基线安装角误差、信标坐标误差。</w:t>
      </w:r>
    </w:p>
    <w:p w14:paraId="4BA5BAF7">
      <w:pPr>
        <w:numPr>
          <w:ilvl w:val="0"/>
          <w:numId w:val="10"/>
        </w:numPr>
        <w:bidi w:val="0"/>
        <w:ind w:left="900" w:leftChars="0" w:hanging="420" w:firstLineChars="0"/>
      </w:pPr>
      <w:r>
        <w:t>时间误差：方位角、距离、航向和IMU的时间戳偏差或传输延迟。</w:t>
      </w:r>
    </w:p>
    <w:p w14:paraId="454043B2">
      <w:pPr>
        <w:numPr>
          <w:ilvl w:val="0"/>
          <w:numId w:val="10"/>
        </w:numPr>
        <w:bidi w:val="0"/>
        <w:ind w:left="900" w:leftChars="0" w:hanging="420" w:firstLineChars="0"/>
      </w:pPr>
      <w:r>
        <w:t>相关噪声：当前逐时刻独立抖动，真实误差通常具有低频漂移和时间相关性。</w:t>
      </w:r>
    </w:p>
    <w:p w14:paraId="222F7199">
      <w:pPr>
        <w:numPr>
          <w:ilvl w:val="0"/>
          <w:numId w:val="10"/>
        </w:numPr>
        <w:bidi w:val="0"/>
        <w:ind w:left="900" w:leftChars="0" w:hanging="420" w:firstLineChars="0"/>
      </w:pPr>
      <w:r>
        <w:t>粗差与多路径：真实声学/无线测角可能出现偶发大误差，±1°硬截断会低估尾部风险。</w:t>
      </w:r>
    </w:p>
    <w:p w14:paraId="0A00E397">
      <w:pPr>
        <w:numPr>
          <w:ilvl w:val="0"/>
          <w:numId w:val="10"/>
        </w:numPr>
        <w:bidi w:val="0"/>
        <w:ind w:left="900" w:leftChars="0" w:hanging="420" w:firstLineChars="0"/>
      </w:pPr>
      <w:r>
        <w:t>三维影响：横摇、纵摇、杆臂和基线非水平会使二维相对方位角模型产生投影误差。</w:t>
      </w:r>
    </w:p>
    <w:p w14:paraId="12CEF0DB">
      <w:pPr>
        <w:numPr>
          <w:ilvl w:val="0"/>
          <w:numId w:val="10"/>
        </w:numPr>
        <w:bidi w:val="0"/>
        <w:ind w:left="900" w:leftChars="0" w:hanging="420" w:firstLineChars="0"/>
      </w:pPr>
      <w:r>
        <w:t>距离—角度相关性：同一阵列或同一信号处理链产生的两类误差不一定独立。</w:t>
      </w:r>
    </w:p>
    <w:p w14:paraId="17666F2C">
      <w:pPr>
        <w:pStyle w:val="4"/>
        <w:bidi w:val="0"/>
      </w:pPr>
      <w:r>
        <w:t>建议的误差分档</w:t>
      </w:r>
    </w:p>
    <w:tbl>
      <w:tblPr>
        <w:tblStyle w:val="37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900"/>
        <w:gridCol w:w="2800"/>
        <w:gridCol w:w="3160"/>
      </w:tblGrid>
      <w:tr w14:paraId="4B73E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390C0">
            <w:pPr>
              <w:pStyle w:val="188"/>
              <w:bidi w:val="0"/>
            </w:pPr>
            <w:r>
              <w:t>等级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C8C2">
            <w:pPr>
              <w:pStyle w:val="188"/>
              <w:bidi w:val="0"/>
            </w:pPr>
            <w:r>
              <w:t>σ_min～σ_max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9C144">
            <w:pPr>
              <w:pStyle w:val="188"/>
              <w:bidi w:val="0"/>
            </w:pPr>
            <w:r>
              <w:t>附加误差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A0B7">
            <w:pPr>
              <w:pStyle w:val="188"/>
              <w:bidi w:val="0"/>
            </w:pPr>
            <w:r>
              <w:t>用途</w:t>
            </w:r>
          </w:p>
        </w:tc>
      </w:tr>
      <w:tr w14:paraId="72945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93182">
            <w:pPr>
              <w:pStyle w:val="188"/>
              <w:bidi w:val="0"/>
            </w:pPr>
            <w:r>
              <w:t>A 理想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D84E6">
            <w:pPr>
              <w:pStyle w:val="188"/>
              <w:bidi w:val="0"/>
            </w:pPr>
            <w:r>
              <w:t>0.10°～0.50°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95384">
            <w:pPr>
              <w:pStyle w:val="188"/>
              <w:bidi w:val="0"/>
            </w:pPr>
            <w:r>
              <w:t>保持当前模型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43CF">
            <w:pPr>
              <w:pStyle w:val="188"/>
              <w:bidi w:val="0"/>
            </w:pPr>
            <w:r>
              <w:t>验证算法上限与代码正确性</w:t>
            </w:r>
          </w:p>
        </w:tc>
      </w:tr>
      <w:tr w14:paraId="59689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C2639">
            <w:pPr>
              <w:pStyle w:val="188"/>
              <w:bidi w:val="0"/>
            </w:pPr>
            <w:r>
              <w:t>B 中等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0D0E">
            <w:pPr>
              <w:pStyle w:val="188"/>
              <w:bidi w:val="0"/>
            </w:pPr>
            <w:r>
              <w:t>0.30°～1.00°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941B">
            <w:pPr>
              <w:pStyle w:val="188"/>
              <w:bidi w:val="0"/>
            </w:pPr>
            <w:r>
              <w:t>0.1°～0.3°固定偏差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F45A">
            <w:pPr>
              <w:pStyle w:val="188"/>
              <w:bidi w:val="0"/>
            </w:pPr>
            <w:r>
              <w:t>较稳健的工程可行性分析</w:t>
            </w:r>
          </w:p>
        </w:tc>
      </w:tr>
      <w:tr w14:paraId="45338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59ADB">
            <w:pPr>
              <w:pStyle w:val="188"/>
              <w:bidi w:val="0"/>
            </w:pPr>
            <w:r>
              <w:t>C 较差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6DD2">
            <w:pPr>
              <w:pStyle w:val="188"/>
              <w:bidi w:val="0"/>
            </w:pPr>
            <w:r>
              <w:t>0.50°～2.00°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174D">
            <w:pPr>
              <w:pStyle w:val="188"/>
              <w:bidi w:val="0"/>
            </w:pPr>
            <w:r>
              <w:t>相关漂移+1%粗差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1FAD0">
            <w:pPr>
              <w:pStyle w:val="188"/>
              <w:bidi w:val="0"/>
            </w:pPr>
            <w:r>
              <w:t>检验远距离与弱几何条件</w:t>
            </w:r>
          </w:p>
        </w:tc>
      </w:tr>
      <w:tr w14:paraId="07C87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8FD4">
            <w:pPr>
              <w:pStyle w:val="188"/>
              <w:bidi w:val="0"/>
            </w:pPr>
            <w:r>
              <w:t>D 标定驱动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3119">
            <w:pPr>
              <w:pStyle w:val="188"/>
              <w:bidi w:val="0"/>
            </w:pPr>
            <w:r>
              <w:t>由实测残差拟合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8F7D6">
            <w:pPr>
              <w:pStyle w:val="188"/>
              <w:bidi w:val="0"/>
            </w:pPr>
            <w:r>
              <w:t>偏差、延迟、相关性均按数据估计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4BBA9">
            <w:pPr>
              <w:pStyle w:val="188"/>
              <w:bidi w:val="0"/>
            </w:pPr>
            <w:r>
              <w:t>形成最终工程参数</w:t>
            </w:r>
          </w:p>
        </w:tc>
      </w:tr>
    </w:tbl>
    <w:p w14:paraId="3FCE75DE">
      <w:pPr>
        <w:bidi w:val="0"/>
      </w:pPr>
      <w:r>
        <w:t>建议至少对 A/B/C 三档分别运行多个 case 和多个随机种子，并报告 RMSE、95%误差、最大误差、创新一致性和滤波发散次数。当前硬截断可保留为对照，但工程主结果应增加未截断高斯与混合粗差模型。</w:t>
      </w:r>
    </w:p>
    <w:p w14:paraId="62C9DA8F">
      <w:pPr>
        <w:pStyle w:val="3"/>
        <w:bidi w:val="0"/>
      </w:pPr>
      <w:r>
        <w:t>距离与方位角能否用于初步定位</w:t>
      </w:r>
    </w:p>
    <w:tbl>
      <w:tblPr>
        <w:tblStyle w:val="37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045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A677"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color w:val="1F4D78"/>
                <w:sz w:val="22"/>
              </w:rPr>
              <w:t>可行条件：</w:t>
            </w:r>
            <w:r>
              <w:rPr>
                <w:rFonts w:ascii="Calibri" w:hAnsi="Calibri" w:eastAsia="宋体"/>
                <w:color w:val="000000"/>
                <w:sz w:val="22"/>
              </w:rPr>
              <w:t>单个已知信标的水平距离与相对方位角，在载体航向 ψ 和基线安装角 γ 已知时，可以直接得到唯一的二维水平位置；高度仍可使用深度计。</w:t>
            </w:r>
          </w:p>
        </w:tc>
      </w:tr>
    </w:tbl>
    <w:p w14:paraId="12BB54E1">
      <w:pPr>
        <w:pStyle w:val="19"/>
        <w:bidi w:val="0"/>
      </w:pPr>
      <w:r>
        <w:t>由 θ=β−ψ−γ 可恢复全局方位角 α=ψ+γ+θ。已知信标位置 b=[E_b,N_b]ᵀ和水平距离 r 后，载体位置为：</w:t>
      </w:r>
    </w:p>
    <w:p w14:paraId="291163E7">
      <w:pPr>
        <w:pStyle w:val="19"/>
        <w:bidi w:val="0"/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E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p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E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b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−rsinα，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N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p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N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b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−rcosα</m:t>
          </m:r>
        </m:oMath>
      </m:oMathPara>
    </w:p>
    <w:p w14:paraId="048A5374">
      <w:pPr>
        <w:pStyle w:val="19"/>
        <w:bidi w:val="0"/>
      </w:pPr>
      <w:r>
        <w:t>这正是现有 calc_position_from_beacon.m 的几何反算。若输入是斜距 ρ 而不是水平距离，并且已知信标与载体高度差 Δh，则先计算 r=√(ρ²−Δh²)。当 ρ 接近 |Δh| 时，水平距离对高度误差非常敏感，应避免直接使用。</w:t>
      </w:r>
    </w:p>
    <w:tbl>
      <w:tblPr>
        <w:tblStyle w:val="37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900"/>
        <w:gridCol w:w="4960"/>
      </w:tblGrid>
      <w:tr w14:paraId="1BCF2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0BC1">
            <w:pPr>
              <w:pStyle w:val="188"/>
              <w:bidi w:val="0"/>
            </w:pPr>
            <w:r>
              <w:t>观测条件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D2790">
            <w:pPr>
              <w:pStyle w:val="188"/>
              <w:bidi w:val="0"/>
            </w:pPr>
            <w:r>
              <w:t>是否可唯一初定位</w:t>
            </w:r>
          </w:p>
        </w:tc>
        <w:tc>
          <w:tcPr>
            <w:tcW w:w="4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8F78">
            <w:pPr>
              <w:pStyle w:val="188"/>
              <w:bidi w:val="0"/>
            </w:pPr>
            <w:r>
              <w:t>说明</w:t>
            </w:r>
          </w:p>
        </w:tc>
      </w:tr>
      <w:tr w14:paraId="773BE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67F6B">
            <w:pPr>
              <w:pStyle w:val="188"/>
              <w:bidi w:val="0"/>
            </w:pPr>
            <w:r>
              <w:t>1个信标；距离+相对方位角；航向已知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5AD2">
            <w:pPr>
              <w:pStyle w:val="188"/>
              <w:bidi w:val="0"/>
            </w:pPr>
            <w:r>
              <w:t>可以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EFD8">
            <w:pPr>
              <w:pStyle w:val="188"/>
              <w:bidi w:val="0"/>
            </w:pPr>
            <w:r>
              <w:t>直接按闭式公式反算二维位置</w:t>
            </w:r>
          </w:p>
        </w:tc>
      </w:tr>
      <w:tr w14:paraId="6958F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C5D6C">
            <w:pPr>
              <w:pStyle w:val="188"/>
              <w:bidi w:val="0"/>
            </w:pPr>
            <w:r>
              <w:t>1个信标；距离+相对方位角；航向未知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8FCD">
            <w:pPr>
              <w:pStyle w:val="188"/>
              <w:bidi w:val="0"/>
            </w:pPr>
            <w:r>
              <w:t>不可以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ECD2">
            <w:pPr>
              <w:pStyle w:val="188"/>
              <w:bidi w:val="0"/>
            </w:pPr>
            <w:r>
              <w:t>位置与航向存在一个自由度，解沿圆周变化</w:t>
            </w:r>
          </w:p>
        </w:tc>
      </w:tr>
      <w:tr w14:paraId="76DF2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84D0">
            <w:pPr>
              <w:pStyle w:val="188"/>
              <w:bidi w:val="0"/>
            </w:pPr>
            <w:r>
              <w:t>2个同步信标；各有距离+相对方位角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E6814">
            <w:pPr>
              <w:pStyle w:val="188"/>
              <w:bidi w:val="0"/>
            </w:pPr>
            <w:r>
              <w:t>一般可以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5C5C">
            <w:pPr>
              <w:pStyle w:val="188"/>
              <w:bidi w:val="0"/>
            </w:pPr>
            <w:r>
              <w:t>可同时求二维位置和航向，但退化几何下不稳定</w:t>
            </w:r>
          </w:p>
        </w:tc>
      </w:tr>
      <w:tr w14:paraId="08591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D3C3">
            <w:pPr>
              <w:pStyle w:val="188"/>
              <w:bidi w:val="0"/>
            </w:pPr>
            <w:r>
              <w:t>3个及以上同步信标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0853">
            <w:pPr>
              <w:pStyle w:val="188"/>
              <w:bidi w:val="0"/>
            </w:pPr>
            <w:r>
              <w:t>推荐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3A73">
            <w:pPr>
              <w:pStyle w:val="188"/>
              <w:bidi w:val="0"/>
            </w:pPr>
            <w:r>
              <w:t>可用加权最小二乘并进行粗差检测</w:t>
            </w:r>
          </w:p>
        </w:tc>
      </w:tr>
      <w:tr w14:paraId="5E1C6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9EBF">
            <w:pPr>
              <w:pStyle w:val="188"/>
              <w:bidi w:val="0"/>
            </w:pPr>
            <w:r>
              <w:t>3个信标按420 s轮换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8C435">
            <w:pPr>
              <w:pStyle w:val="188"/>
              <w:bidi w:val="0"/>
            </w:pPr>
            <w:r>
              <w:t>不能视为瞬时初定位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08FA8">
            <w:pPr>
              <w:pStyle w:val="188"/>
              <w:bidi w:val="0"/>
            </w:pPr>
            <w:r>
              <w:t>必须依赖INS传播、运动模型或批处理对齐不同时间</w:t>
            </w:r>
          </w:p>
        </w:tc>
      </w:tr>
    </w:tbl>
    <w:p w14:paraId="7F636E9C">
      <w:pPr>
        <w:pStyle w:val="4"/>
        <w:bidi w:val="0"/>
      </w:pPr>
      <w:r>
        <w:t>初步定位的不确定度</w:t>
      </w:r>
    </w:p>
    <w:p w14:paraId="7148F9F6">
      <w:pPr>
        <w:bidi w:val="0"/>
      </w:pPr>
      <w:r>
        <w:t>令 α=ψ+γ+θ，u=[sinα,cosα]ᵀ，u⊥=[cosα,−sinα]ᵀ。对闭式解线性化：</w:t>
      </w:r>
    </w:p>
    <w:p w14:paraId="1E6A535D">
      <w:pPr>
        <w:bidi w:val="0"/>
      </w:pPr>
      <m:oMathPara>
        <m:oMath>
          <m:r>
            <m:rPr/>
            <w:rPr>
              <w:rFonts w:hint="default" w:ascii="Cambria Math" w:hAnsi="Cambria Math"/>
              <w:sz w:val="24"/>
            </w:rPr>
            <m:t>δp≈δb−u·δr−r·u⊥·δα</m:t>
          </m:r>
        </m:oMath>
      </m:oMathPara>
    </w:p>
    <w:p w14:paraId="05966B18">
      <w:pPr>
        <w:bidi w:val="0"/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p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≈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b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+J·diag(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σ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²,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σ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α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²)·Jᵀ，J=[−u,−r·u⊥]</m:t>
          </m:r>
        </m:oMath>
      </m:oMathPara>
    </w:p>
    <w:p w14:paraId="17FB2F13">
      <w:pPr>
        <w:bidi w:val="0"/>
      </w:pPr>
      <w:r>
        <w:t>其中 σ_α²=σ_θ²+σ_ψ²+σ_γ²，并可继续加入时间同步和杆臂误差。由此得到的位置协方差通常是沿径向窄、沿切向长的误差椭圆，不能简单设置成各向同性“水平位置误差30 m”。在十几千米距离上，切向方差往往由角度和航向误差主导。</w:t>
      </w:r>
    </w:p>
    <w:p w14:paraId="2FF1AF9C">
      <w:pPr>
        <w:pStyle w:val="4"/>
        <w:bidi w:val="0"/>
      </w:pPr>
      <w:r>
        <w:t>两个同步信标且航向未知</w:t>
      </w:r>
    </w:p>
    <w:p w14:paraId="08840E85">
      <w:pPr>
        <w:bidi w:val="0"/>
      </w:pPr>
      <w:r>
        <w:t>若两个信标在同一时刻均提供距离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 xml:space="preserve">和相对方位角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>，可令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[sin(γ+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),cos(γ+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)]ᵀ</m:t>
        </m:r>
      </m:oMath>
      <w:r>
        <w:t xml:space="preserve"> 。两信标位置差满足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−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=R(ψ)(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−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)</m:t>
        </m:r>
      </m:oMath>
      <w:r>
        <w:t>，因此可由两个向量的夹角求 ψ，再由</w:t>
      </w:r>
      <m:oMath>
        <m:r>
          <m:rPr/>
          <w:rPr>
            <w:rFonts w:hint="default" w:ascii="Cambria Math" w:hAnsi="Cambria Math"/>
            <w:sz w:val="24"/>
          </w:rPr>
          <m:t>p=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−R(ψ)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>求位置。若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−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>很小、两信标几何接近重合，或量测不同步，解会显著放大噪声。三个以上信标适合使用加权非线性最小二乘。</w:t>
      </w:r>
    </w:p>
    <w:p w14:paraId="3349E744">
      <w:pPr>
        <w:pStyle w:val="3"/>
        <w:bidi w:val="0"/>
      </w:pPr>
      <w:r>
        <w:t>与当前 EKF/RTS 框架的结合建议</w:t>
      </w:r>
    </w:p>
    <w:p w14:paraId="2EFB29B8">
      <w:pPr>
        <w:numPr>
          <w:ilvl w:val="0"/>
          <w:numId w:val="11"/>
        </w:numPr>
        <w:bidi w:val="0"/>
        <w:ind w:left="900" w:leftChars="0" w:hanging="420" w:firstLineChars="0"/>
      </w:pPr>
      <w:r>
        <w:t>把闭式距离—方位角定位作为初始化、重定位或故障诊断工具，输出位置和完整二维协方差。</w:t>
      </w:r>
    </w:p>
    <w:p w14:paraId="1722A24F">
      <w:pPr>
        <w:numPr>
          <w:ilvl w:val="0"/>
          <w:numId w:val="11"/>
        </w:numPr>
        <w:bidi w:val="0"/>
        <w:ind w:left="900" w:leftChars="0" w:hanging="420" w:firstLineChars="0"/>
      </w:pPr>
      <w:r>
        <w:t>初始化完成后，优先继续使用原始距离和相对方位角进行联合 EKF 更新，而不是把同一观测既转成位置又再次作为距离/角度更新，避免重复利用信息。</w:t>
      </w:r>
    </w:p>
    <w:p w14:paraId="4C3AF146">
      <w:pPr>
        <w:numPr>
          <w:ilvl w:val="0"/>
          <w:numId w:val="11"/>
        </w:numPr>
        <w:bidi w:val="0"/>
        <w:ind w:left="900" w:leftChars="0" w:hanging="420" w:firstLineChars="0"/>
      </w:pPr>
      <w:r>
        <w:t>若使用伪位置更新，量测协方差应按方向旋转并包含航向、安装角和信标位置误差，不能使用固定各向同性方差。</w:t>
      </w:r>
    </w:p>
    <w:p w14:paraId="58B0AAF6">
      <w:pPr>
        <w:numPr>
          <w:ilvl w:val="0"/>
          <w:numId w:val="11"/>
        </w:numPr>
        <w:bidi w:val="0"/>
        <w:ind w:left="900" w:leftChars="0" w:hanging="420" w:firstLineChars="0"/>
      </w:pPr>
      <w:r>
        <w:t>对方位角创新实施 ±π 归一化、卡方门限和粗差降权；对系统偏差可增广安装角/方位角偏差状态。</w:t>
      </w:r>
    </w:p>
    <w:p w14:paraId="5FFD6903">
      <w:pPr>
        <w:numPr>
          <w:ilvl w:val="0"/>
          <w:numId w:val="11"/>
        </w:numPr>
        <w:bidi w:val="0"/>
        <w:ind w:left="900" w:leftChars="0" w:hanging="420" w:firstLineChars="0"/>
      </w:pPr>
      <w:r>
        <w:t>RTS 平滑应沿用与前向滤波一致的原始量测模型和噪声模型；闭式位置更适合作为先验初始化或独立对照，不宜替代全部联合更新。</w:t>
      </w:r>
    </w:p>
    <w:p w14:paraId="0DB1C11B">
      <w:pPr>
        <w:pStyle w:val="3"/>
        <w:bidi w:val="0"/>
      </w:pPr>
      <w:r>
        <w:t>6 对现有验证结果的解释</w:t>
      </w:r>
    </w:p>
    <w:p w14:paraId="637A9A54">
      <w:pPr>
        <w:bidi w:val="0"/>
      </w:pPr>
      <w:r>
        <w:t>case-00 在 0.01～4200 s 的共同有效区间内，前向 EKF 水平 RMSE 从174.96 m 降到 93.79 m，约降低 46.4%；二次 RTS 从 32.09 m 降到 28.00 m，约降低 12.8%。这与理论预期一致：方位角补充了单距离量测缺失的切向信息，并同时约束位置与航向；而二次 RTS 已经利用时间域信息显著降低误差，因此新增方位角的边际收益较小。</w:t>
      </w:r>
    </w:p>
    <w:p w14:paraId="04476496">
      <w:pPr>
        <w:bidi w:val="0"/>
      </w:pPr>
      <w:r>
        <w:t>但该结果仍属于仿真内部一致性验证：方位角由同一份真值轨迹生成，信标位置、时间同步和基线安装角均视为准确，且异常值被限制在 ±1°。因此它能够证明“联合更新逻辑在理想条件下有效”，尚不能单独证明实测设备可以达到同等精度。</w:t>
      </w:r>
    </w:p>
    <w:p w14:paraId="3716A18C">
      <w:pPr>
        <w:pStyle w:val="3"/>
        <w:bidi w:val="0"/>
      </w:pPr>
      <w:r>
        <w:t>7 推荐的下一步理论—仿真验证</w:t>
      </w:r>
    </w:p>
    <w:p w14:paraId="78B52B7E">
      <w:pPr>
        <w:pStyle w:val="14"/>
        <w:numPr>
          <w:ilvl w:val="0"/>
          <w:numId w:val="12"/>
        </w:numPr>
        <w:tabs>
          <w:tab w:val="clear" w:pos="360"/>
        </w:tabs>
        <w:spacing w:after="120" w:line="280" w:lineRule="auto"/>
        <w:ind w:left="900" w:leftChars="0" w:hanging="420" w:firstLineChars="0"/>
      </w:pPr>
      <w:r>
        <w:rPr>
          <w:rFonts w:ascii="Calibri" w:hAnsi="Calibri" w:eastAsia="宋体"/>
          <w:color w:val="000000"/>
          <w:sz w:val="22"/>
        </w:rPr>
        <w:t>新建单信标闭式初定位脚本，输出位置、径向/切向误差及理论协方差椭圆。</w:t>
      </w:r>
    </w:p>
    <w:p w14:paraId="7A01D327">
      <w:pPr>
        <w:pStyle w:val="14"/>
        <w:numPr>
          <w:ilvl w:val="0"/>
          <w:numId w:val="12"/>
        </w:numPr>
        <w:tabs>
          <w:tab w:val="clear" w:pos="360"/>
        </w:tabs>
        <w:spacing w:after="120" w:line="280" w:lineRule="auto"/>
        <w:ind w:left="900" w:leftChars="0" w:hanging="420" w:firstLineChars="0"/>
      </w:pPr>
      <w:r>
        <w:rPr>
          <w:rFonts w:ascii="Calibri" w:hAnsi="Calibri" w:eastAsia="宋体"/>
          <w:color w:val="000000"/>
          <w:sz w:val="22"/>
        </w:rPr>
        <w:t>对 0.1°、0.3°、0.5°、1°、2° 五档测角误差和多个距离区间做蒙特卡洛验证，检查理论协方差与样本误差是否一致。</w:t>
      </w:r>
    </w:p>
    <w:p w14:paraId="11422177">
      <w:pPr>
        <w:pStyle w:val="14"/>
        <w:numPr>
          <w:ilvl w:val="0"/>
          <w:numId w:val="12"/>
        </w:numPr>
        <w:tabs>
          <w:tab w:val="clear" w:pos="360"/>
        </w:tabs>
        <w:spacing w:after="120" w:line="280" w:lineRule="auto"/>
        <w:ind w:left="900" w:leftChars="0" w:hanging="420" w:firstLineChars="0"/>
      </w:pPr>
      <w:r>
        <w:rPr>
          <w:rFonts w:ascii="Calibri" w:hAnsi="Calibri" w:eastAsia="宋体"/>
          <w:color w:val="000000"/>
          <w:sz w:val="22"/>
        </w:rPr>
        <w:t>加入航向误差、基线安装角偏差、信标位置误差、4 s延迟和1%粗差，分别做单因素与组合因素分析。</w:t>
      </w:r>
    </w:p>
    <w:p w14:paraId="52449C21">
      <w:pPr>
        <w:pStyle w:val="14"/>
        <w:numPr>
          <w:ilvl w:val="0"/>
          <w:numId w:val="12"/>
        </w:numPr>
        <w:tabs>
          <w:tab w:val="clear" w:pos="360"/>
        </w:tabs>
        <w:spacing w:after="120" w:line="280" w:lineRule="auto"/>
        <w:ind w:left="900" w:leftChars="0" w:hanging="420" w:firstLineChars="0"/>
      </w:pPr>
      <w:r>
        <w:rPr>
          <w:rFonts w:ascii="Calibri" w:hAnsi="Calibri" w:eastAsia="宋体"/>
          <w:color w:val="000000"/>
          <w:sz w:val="22"/>
        </w:rPr>
        <w:t>比较三种用法：闭式初定位、伪位置EKF、原始距离+方位角EKF；所有方法使用严格共同时间区间评价。</w:t>
      </w:r>
    </w:p>
    <w:p w14:paraId="61B45469">
      <w:pPr>
        <w:pStyle w:val="14"/>
        <w:numPr>
          <w:ilvl w:val="0"/>
          <w:numId w:val="12"/>
        </w:numPr>
        <w:tabs>
          <w:tab w:val="clear" w:pos="360"/>
        </w:tabs>
        <w:spacing w:after="120" w:line="280" w:lineRule="auto"/>
        <w:ind w:left="900" w:leftChars="0" w:hanging="420" w:firstLineChars="0"/>
      </w:pPr>
      <w:r>
        <w:rPr>
          <w:rFonts w:ascii="Calibri" w:hAnsi="Calibri" w:eastAsia="宋体"/>
          <w:color w:val="000000"/>
          <w:sz w:val="22"/>
        </w:rPr>
        <w:t>若未来可获得两个或三个同步信标观测，再实现未知航向条件下的多信标初始位姿求解；当前420 s轮换数据不应直接套用同步闭式解。</w:t>
      </w:r>
    </w:p>
    <w:tbl>
      <w:tblPr>
        <w:tblStyle w:val="37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14E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6A6EE"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color w:val="1F4D78"/>
                <w:sz w:val="22"/>
              </w:rPr>
              <w:t>最终建议：</w:t>
            </w:r>
            <w:r>
              <w:rPr>
                <w:rFonts w:ascii="Calibri" w:hAnsi="Calibri" w:eastAsia="宋体"/>
                <w:color w:val="000000"/>
                <w:sz w:val="22"/>
              </w:rPr>
              <w:t>可以开展“距离+方位角初步定位”，并建议先实现“已知INS航向的单信标闭式解”作为最简单、最容易验证的版本。该结果用于初始化或对照；正式组合导航仍采用原始距离+方位角联合更新。方位角误差应从当前0.10°～0.50°扩展到至少0.1°～2°的分档分析，并加入偏差、延迟和粗差后再判断工程可用性。</w:t>
            </w:r>
          </w:p>
        </w:tc>
      </w:tr>
    </w:tbl>
    <w:p w14:paraId="3AA0E356">
      <w:pPr>
        <w:pStyle w:val="3"/>
        <w:bidi w:val="0"/>
      </w:pPr>
      <w:r>
        <w:t>附录：本次分析对应的主要代码</w:t>
      </w:r>
    </w:p>
    <w:p w14:paraId="5E73C78D">
      <w:pPr>
        <w:pStyle w:val="16"/>
        <w:spacing w:after="120" w:line="280" w:lineRule="auto"/>
      </w:pPr>
      <w:r>
        <w:rPr>
          <w:rFonts w:ascii="Calibri" w:hAnsi="Calibri" w:eastAsia="宋体"/>
          <w:color w:val="000000"/>
          <w:sz w:val="22"/>
        </w:rPr>
        <w:t>generate_range_azimuth_measurements.m：真值插值、局部北东转换与相对方位角生成。</w:t>
      </w:r>
    </w:p>
    <w:p w14:paraId="17D16E9D">
      <w:pPr>
        <w:pStyle w:val="16"/>
        <w:spacing w:after="120" w:line="280" w:lineRule="auto"/>
      </w:pPr>
      <w:r>
        <w:rPr>
          <w:rFonts w:ascii="Calibri" w:hAnsi="Calibri" w:eastAsia="宋体"/>
          <w:color w:val="000000"/>
          <w:sz w:val="22"/>
        </w:rPr>
        <w:t>add_irregular_azimuth_noise.m：方向相关动态标准差、随机抖动与±1°截断。</w:t>
      </w:r>
    </w:p>
    <w:p w14:paraId="50161B50">
      <w:pPr>
        <w:pStyle w:val="16"/>
        <w:spacing w:after="120" w:line="280" w:lineRule="auto"/>
      </w:pPr>
      <w:r>
        <w:rPr>
          <w:rFonts w:ascii="Calibri" w:hAnsi="Calibri" w:eastAsia="宋体"/>
          <w:color w:val="000000"/>
          <w:sz w:val="22"/>
        </w:rPr>
        <w:t>update_range_azimuth_filter_rad.m：距离、深度、相对方位角联合量测更新。</w:t>
      </w:r>
    </w:p>
    <w:p w14:paraId="33ED923A">
      <w:pPr>
        <w:pStyle w:val="16"/>
        <w:spacing w:after="120" w:line="280" w:lineRule="auto"/>
      </w:pPr>
      <w:r>
        <w:rPr>
          <w:rFonts w:ascii="Calibri" w:hAnsi="Calibri" w:eastAsia="宋体"/>
          <w:color w:val="000000"/>
          <w:sz w:val="22"/>
        </w:rPr>
        <w:t>feedback_range_azimuth_state.m：位置、速度、姿态和零偏误差反馈。</w:t>
      </w:r>
    </w:p>
    <w:p w14:paraId="33BDE868">
      <w:pPr>
        <w:pStyle w:val="16"/>
        <w:spacing w:after="120" w:line="280" w:lineRule="auto"/>
      </w:pPr>
      <w:r>
        <w:rPr>
          <w:rFonts w:ascii="Calibri" w:hAnsi="Calibri" w:eastAsia="宋体"/>
          <w:color w:val="000000"/>
          <w:sz w:val="22"/>
        </w:rPr>
        <w:t>mems-range-navigation/functions/azimuth/pos2azimuth.m 与 calc_position_from_beacon.m：方位角正反算几何。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648" w:footer="64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7EB221">
    <w:pPr>
      <w:pStyle w:val="25"/>
      <w:tabs>
        <w:tab w:val="center" w:pos="4680"/>
        <w:tab w:val="right" w:pos="9360"/>
        <w:tab w:val="clear" w:pos="4153"/>
        <w:tab w:val="clear" w:pos="8306"/>
      </w:tabs>
      <w:jc w:val="right"/>
    </w:pPr>
    <w:r>
      <w:rPr>
        <w:rFonts w:ascii="Calibri" w:hAnsi="Calibri" w:eastAsia="宋体"/>
        <w:color w:val="68717A"/>
        <w:sz w:val="18"/>
      </w:rPr>
      <w:t xml:space="preserve">第 </w:t>
    </w:r>
    <w:r>
      <w:rPr>
        <w:rFonts w:ascii="Calibri" w:hAnsi="Calibri" w:eastAsia="宋体"/>
        <w:color w:val="68717A"/>
        <w:sz w:val="18"/>
      </w:rPr>
      <w:fldChar w:fldCharType="begin"/>
    </w:r>
    <w:r>
      <w:rPr>
        <w:rFonts w:ascii="Calibri" w:hAnsi="Calibri" w:eastAsia="宋体"/>
        <w:color w:val="68717A"/>
        <w:sz w:val="18"/>
      </w:rPr>
      <w:instrText xml:space="preserve"> PAGE </w:instrText>
    </w:r>
    <w:r>
      <w:rPr>
        <w:rFonts w:ascii="Calibri" w:hAnsi="Calibri" w:eastAsia="宋体"/>
        <w:color w:val="68717A"/>
        <w:sz w:val="18"/>
      </w:rPr>
      <w:fldChar w:fldCharType="end"/>
    </w:r>
    <w:r>
      <w:rPr>
        <w:rFonts w:ascii="Calibri" w:hAnsi="Calibri" w:eastAsia="宋体"/>
        <w:color w:val="68717A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0B584">
    <w:pPr>
      <w:pStyle w:val="26"/>
      <w:tabs>
        <w:tab w:val="center" w:pos="4680"/>
        <w:tab w:val="right" w:pos="9360"/>
        <w:tab w:val="clear" w:pos="4153"/>
        <w:tab w:val="clear" w:pos="8306"/>
      </w:tabs>
      <w:jc w:val="left"/>
    </w:pPr>
    <w:r>
      <w:rPr>
        <w:rFonts w:ascii="Calibri" w:hAnsi="Calibri" w:eastAsia="宋体"/>
        <w:b/>
        <w:color w:val="68717A"/>
        <w:sz w:val="17"/>
      </w:rPr>
      <w:t>ALGORITHM EXPLORATION  |  RANGE–AZIMUTH AIDING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02A693"/>
    <w:multiLevelType w:val="multilevel"/>
    <w:tmpl w:val="A102A693"/>
    <w:lvl w:ilvl="0" w:tentative="0">
      <w:start w:val="1"/>
      <w:numFmt w:val="decimal"/>
      <w:pStyle w:val="3"/>
      <w:suff w:val="space"/>
      <w:lvlText w:val="%1"/>
      <w:lvlJc w:val="left"/>
      <w:pPr>
        <w:ind w:left="0" w:firstLine="0"/>
      </w:pPr>
      <w:rPr>
        <w:rFonts w:hint="default" w:ascii="黑体" w:hAnsi="黑体" w:eastAsia="黑体" w:cs="宋体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575" w:hanging="575"/>
      </w:pPr>
      <w:rPr>
        <w:rFonts w:hint="default" w:ascii="黑体" w:hAnsi="黑体" w:eastAsia="黑体" w:cs="宋体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 w:ascii="黑体" w:hAnsi="黑体" w:eastAsia="黑体" w:cs="宋体"/>
        <w:sz w:val="28"/>
        <w:szCs w:val="21"/>
      </w:rPr>
    </w:lvl>
    <w:lvl w:ilvl="3" w:tentative="0">
      <w:start w:val="1"/>
      <w:numFmt w:val="decimal"/>
      <w:pStyle w:val="6"/>
      <w:lvlText w:val="%1.%2.%3.%4"/>
      <w:lvlJc w:val="left"/>
      <w:pPr>
        <w:ind w:left="1020" w:hanging="1020"/>
      </w:pPr>
      <w:rPr>
        <w:rFonts w:hint="default" w:ascii="黑体" w:hAnsi="黑体" w:eastAsia="黑体" w:cs="宋体"/>
        <w:sz w:val="24"/>
      </w:rPr>
    </w:lvl>
    <w:lvl w:ilvl="4" w:tentative="0">
      <w:start w:val="1"/>
      <w:numFmt w:val="decimal"/>
      <w:lvlText w:val="%1.%2.%3.%4.%5"/>
      <w:lvlJc w:val="left"/>
      <w:pPr>
        <w:ind w:left="3702" w:hanging="1008"/>
      </w:pPr>
      <w:rPr>
        <w:rFonts w:hint="default" w:ascii="黑体" w:hAnsi="黑体" w:eastAsia="黑体" w:cs="宋体"/>
      </w:rPr>
    </w:lvl>
    <w:lvl w:ilvl="5" w:tentative="0">
      <w:start w:val="1"/>
      <w:numFmt w:val="decimal"/>
      <w:pStyle w:val="8"/>
      <w:suff w:val="space"/>
      <w:lvlText w:val="%6）"/>
      <w:lvlJc w:val="left"/>
      <w:pPr>
        <w:ind w:left="1631" w:hanging="1151"/>
      </w:pPr>
      <w:rPr>
        <w:rFonts w:hint="default" w:ascii="Times New Roman" w:hAnsi="Times New Roman" w:eastAsia="宋体" w:cs="Times New Roman"/>
      </w:rPr>
    </w:lvl>
    <w:lvl w:ilvl="6" w:tentative="0">
      <w:start w:val="1"/>
      <w:numFmt w:val="decimalEnclosedCircleChinese"/>
      <w:pStyle w:val="9"/>
      <w:suff w:val="space"/>
      <w:lvlText w:val="%7"/>
      <w:lvlJc w:val="left"/>
      <w:pPr>
        <w:ind w:left="0" w:leftChars="0" w:firstLine="80" w:firstLineChars="0"/>
      </w:pPr>
      <w:rPr>
        <w:rFonts w:hint="eastAsia" w:ascii="宋体" w:hAnsi="宋体" w:eastAsia="宋体" w:cs="宋体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1D75684"/>
    <w:multiLevelType w:val="multilevel"/>
    <w:tmpl w:val="A1D75684"/>
    <w:lvl w:ilvl="0" w:tentative="0">
      <w:start w:val="1"/>
      <w:numFmt w:val="lowerLetter"/>
      <w:lvlText w:val="%1)"/>
      <w:lvlJc w:val="left"/>
      <w:pPr>
        <w:ind w:left="905" w:hanging="4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32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74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60" w:leftChars="0" w:hanging="420" w:firstLineChars="0"/>
      </w:pPr>
      <w:rPr>
        <w:rFonts w:hint="default"/>
      </w:rPr>
    </w:lvl>
    <w:lvl w:ilvl="4" w:tentative="0">
      <w:start w:val="1"/>
      <w:numFmt w:val="lowerLetter"/>
      <w:pStyle w:val="7"/>
      <w:suff w:val="nothing"/>
      <w:lvlText w:val="%5)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00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42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84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60" w:leftChars="0" w:hanging="420" w:firstLineChars="0"/>
      </w:pPr>
      <w:rPr>
        <w:rFonts w:hint="default"/>
      </w:rPr>
    </w:lvl>
  </w:abstractNum>
  <w:abstractNum w:abstractNumId="2">
    <w:nsid w:val="A2D5008A"/>
    <w:multiLevelType w:val="singleLevel"/>
    <w:tmpl w:val="A2D5008A"/>
    <w:lvl w:ilvl="0" w:tentative="0">
      <w:start w:val="1"/>
      <w:numFmt w:val="bullet"/>
      <w:pStyle w:val="1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">
    <w:nsid w:val="D41DD63B"/>
    <w:multiLevelType w:val="singleLevel"/>
    <w:tmpl w:val="D41DD63B"/>
    <w:lvl w:ilvl="0" w:tentative="0">
      <w:start w:val="1"/>
      <w:numFmt w:val="bullet"/>
      <w:pStyle w:val="2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4">
    <w:nsid w:val="E57A692D"/>
    <w:multiLevelType w:val="singleLevel"/>
    <w:tmpl w:val="E57A692D"/>
    <w:lvl w:ilvl="0" w:tentative="0">
      <w:start w:val="1"/>
      <w:numFmt w:val="bullet"/>
      <w:lvlText w:val="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5">
    <w:nsid w:val="FFCCB9A0"/>
    <w:multiLevelType w:val="singleLevel"/>
    <w:tmpl w:val="FFCCB9A0"/>
    <w:lvl w:ilvl="0" w:tentative="0">
      <w:start w:val="1"/>
      <w:numFmt w:val="bullet"/>
      <w:lvlText w:val="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6">
    <w:nsid w:val="06A16B5A"/>
    <w:multiLevelType w:val="singleLevel"/>
    <w:tmpl w:val="06A16B5A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1F94C71A"/>
    <w:multiLevelType w:val="singleLevel"/>
    <w:tmpl w:val="1F94C71A"/>
    <w:lvl w:ilvl="0" w:tentative="0">
      <w:start w:val="1"/>
      <w:numFmt w:val="decimal"/>
      <w:pStyle w:val="2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8">
    <w:nsid w:val="2A13EC72"/>
    <w:multiLevelType w:val="singleLevel"/>
    <w:tmpl w:val="2A13EC72"/>
    <w:lvl w:ilvl="0" w:tentative="0">
      <w:start w:val="1"/>
      <w:numFmt w:val="bullet"/>
      <w:lvlText w:val="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9">
    <w:nsid w:val="4067044F"/>
    <w:multiLevelType w:val="singleLevel"/>
    <w:tmpl w:val="4067044F"/>
    <w:lvl w:ilvl="0" w:tentative="0">
      <w:start w:val="1"/>
      <w:numFmt w:val="bullet"/>
      <w:lvlText w:val="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10">
    <w:nsid w:val="4391516C"/>
    <w:multiLevelType w:val="singleLevel"/>
    <w:tmpl w:val="4391516C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11">
    <w:nsid w:val="451DB793"/>
    <w:multiLevelType w:val="singleLevel"/>
    <w:tmpl w:val="451DB793"/>
    <w:lvl w:ilvl="0" w:tentative="0">
      <w:start w:val="1"/>
      <w:numFmt w:val="bullet"/>
      <w:pStyle w:val="18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6"/>
  </w:num>
  <w:num w:numId="5">
    <w:abstractNumId w:val="2"/>
  </w:num>
  <w:num w:numId="6">
    <w:abstractNumId w:val="11"/>
  </w:num>
  <w:num w:numId="7">
    <w:abstractNumId w:val="7"/>
  </w:num>
  <w:num w:numId="8">
    <w:abstractNumId w:val="3"/>
  </w:num>
  <w:num w:numId="9">
    <w:abstractNumId w:val="9"/>
  </w:num>
  <w:num w:numId="10">
    <w:abstractNumId w:val="8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F2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snapToGrid w:val="0"/>
      <w:spacing w:line="420" w:lineRule="exact"/>
      <w:ind w:firstLine="200" w:firstLineChars="200"/>
      <w:jc w:val="both"/>
    </w:pPr>
    <w:rPr>
      <w:rFonts w:ascii="Times New Roman" w:hAnsi="Times New Roman" w:eastAsia="宋体" w:cs="宋体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73"/>
    <w:qFormat/>
    <w:uiPriority w:val="0"/>
    <w:pPr>
      <w:numPr>
        <w:ilvl w:val="0"/>
        <w:numId w:val="1"/>
      </w:numPr>
      <w:adjustRightInd w:val="0"/>
      <w:spacing w:line="420" w:lineRule="exact"/>
      <w:ind w:firstLineChars="0"/>
      <w:jc w:val="left"/>
      <w:outlineLvl w:val="0"/>
    </w:pPr>
    <w:rPr>
      <w:rFonts w:ascii="黑体" w:hAnsi="黑体" w:eastAsia="黑体"/>
      <w:bCs/>
      <w:kern w:val="44"/>
      <w:sz w:val="28"/>
      <w:szCs w:val="44"/>
    </w:rPr>
  </w:style>
  <w:style w:type="paragraph" w:styleId="4">
    <w:name w:val="heading 2"/>
    <w:basedOn w:val="3"/>
    <w:next w:val="1"/>
    <w:link w:val="171"/>
    <w:unhideWhenUsed/>
    <w:qFormat/>
    <w:uiPriority w:val="0"/>
    <w:pPr>
      <w:numPr>
        <w:ilvl w:val="1"/>
      </w:numPr>
      <w:spacing w:line="420" w:lineRule="exact"/>
      <w:ind w:left="0" w:firstLine="0"/>
      <w:outlineLvl w:val="1"/>
    </w:pPr>
    <w:rPr>
      <w:rFonts w:cstheme="majorBidi"/>
      <w:szCs w:val="32"/>
    </w:rPr>
  </w:style>
  <w:style w:type="paragraph" w:styleId="5">
    <w:name w:val="heading 3"/>
    <w:basedOn w:val="4"/>
    <w:next w:val="1"/>
    <w:link w:val="174"/>
    <w:unhideWhenUsed/>
    <w:qFormat/>
    <w:uiPriority w:val="0"/>
    <w:pPr>
      <w:numPr>
        <w:ilvl w:val="2"/>
      </w:numPr>
      <w:snapToGrid w:val="0"/>
      <w:ind w:left="0" w:firstLine="0"/>
      <w:outlineLvl w:val="2"/>
    </w:pPr>
  </w:style>
  <w:style w:type="paragraph" w:styleId="6">
    <w:name w:val="heading 4"/>
    <w:basedOn w:val="1"/>
    <w:next w:val="1"/>
    <w:link w:val="176"/>
    <w:qFormat/>
    <w:uiPriority w:val="0"/>
    <w:pPr>
      <w:widowControl/>
      <w:numPr>
        <w:ilvl w:val="3"/>
        <w:numId w:val="1"/>
      </w:numPr>
      <w:overflowPunct w:val="0"/>
      <w:autoSpaceDE w:val="0"/>
      <w:autoSpaceDN w:val="0"/>
      <w:adjustRightInd w:val="0"/>
      <w:spacing w:line="420" w:lineRule="exact"/>
      <w:ind w:left="1020" w:hanging="1020" w:firstLineChars="0"/>
      <w:jc w:val="left"/>
      <w:textAlignment w:val="baseline"/>
      <w:outlineLvl w:val="3"/>
    </w:pPr>
    <w:rPr>
      <w:rFonts w:ascii="黑体" w:hAnsi="黑体" w:eastAsia="黑体" w:cs="Times New Roman"/>
      <w:spacing w:val="6"/>
      <w:kern w:val="0"/>
      <w:szCs w:val="28"/>
    </w:rPr>
  </w:style>
  <w:style w:type="paragraph" w:styleId="7">
    <w:name w:val="heading 5"/>
    <w:basedOn w:val="6"/>
    <w:next w:val="1"/>
    <w:link w:val="172"/>
    <w:qFormat/>
    <w:uiPriority w:val="0"/>
    <w:pPr>
      <w:widowControl w:val="0"/>
      <w:numPr>
        <w:ilvl w:val="4"/>
        <w:numId w:val="2"/>
      </w:numPr>
      <w:tabs>
        <w:tab w:val="left" w:pos="113"/>
        <w:tab w:val="left" w:pos="1021"/>
        <w:tab w:val="left" w:pos="1440"/>
        <w:tab w:val="left" w:pos="2137"/>
      </w:tabs>
      <w:outlineLvl w:val="4"/>
    </w:pPr>
  </w:style>
  <w:style w:type="paragraph" w:styleId="8">
    <w:name w:val="heading 6"/>
    <w:basedOn w:val="1"/>
    <w:next w:val="1"/>
    <w:link w:val="177"/>
    <w:qFormat/>
    <w:uiPriority w:val="0"/>
    <w:pPr>
      <w:widowControl/>
      <w:numPr>
        <w:ilvl w:val="5"/>
        <w:numId w:val="1"/>
      </w:numPr>
      <w:tabs>
        <w:tab w:val="left" w:pos="1152"/>
      </w:tabs>
      <w:overflowPunct w:val="0"/>
      <w:autoSpaceDE w:val="0"/>
      <w:autoSpaceDN w:val="0"/>
      <w:adjustRightInd w:val="0"/>
      <w:ind w:hanging="1151" w:firstLineChars="0"/>
      <w:textAlignment w:val="baseline"/>
      <w:outlineLvl w:val="5"/>
    </w:pPr>
    <w:rPr>
      <w:rFonts w:cs="Times New Roman"/>
      <w:spacing w:val="4"/>
      <w:kern w:val="0"/>
      <w:szCs w:val="20"/>
    </w:rPr>
  </w:style>
  <w:style w:type="paragraph" w:styleId="9">
    <w:name w:val="heading 7"/>
    <w:basedOn w:val="1"/>
    <w:next w:val="1"/>
    <w:link w:val="178"/>
    <w:qFormat/>
    <w:uiPriority w:val="0"/>
    <w:pPr>
      <w:widowControl/>
      <w:numPr>
        <w:ilvl w:val="6"/>
        <w:numId w:val="1"/>
      </w:numPr>
      <w:tabs>
        <w:tab w:val="left" w:pos="1296"/>
      </w:tabs>
      <w:overflowPunct w:val="0"/>
      <w:autoSpaceDE w:val="0"/>
      <w:autoSpaceDN w:val="0"/>
      <w:adjustRightInd w:val="0"/>
      <w:ind w:left="0" w:right="0" w:firstLine="80" w:firstLineChars="0"/>
      <w:textAlignment w:val="baseline"/>
      <w:outlineLvl w:val="6"/>
    </w:pPr>
    <w:rPr>
      <w:rFonts w:ascii="Arial" w:hAnsi="Arial" w:cs="Times New Roman"/>
      <w:spacing w:val="4"/>
      <w:kern w:val="0"/>
      <w:szCs w:val="20"/>
    </w:rPr>
  </w:style>
  <w:style w:type="paragraph" w:styleId="10">
    <w:name w:val="heading 8"/>
    <w:basedOn w:val="1"/>
    <w:next w:val="1"/>
    <w:link w:val="179"/>
    <w:qFormat/>
    <w:uiPriority w:val="0"/>
    <w:pPr>
      <w:widowControl/>
      <w:numPr>
        <w:ilvl w:val="7"/>
        <w:numId w:val="1"/>
      </w:numPr>
      <w:tabs>
        <w:tab w:val="left" w:pos="1440"/>
      </w:tabs>
      <w:overflowPunct w:val="0"/>
      <w:autoSpaceDE w:val="0"/>
      <w:autoSpaceDN w:val="0"/>
      <w:adjustRightInd w:val="0"/>
      <w:spacing w:before="240" w:after="60"/>
      <w:ind w:right="90" w:hanging="1440" w:firstLineChars="0"/>
      <w:textAlignment w:val="baseline"/>
      <w:outlineLvl w:val="7"/>
    </w:pPr>
    <w:rPr>
      <w:rFonts w:ascii="Arial" w:hAnsi="Arial" w:cs="Times New Roman"/>
      <w:i/>
      <w:spacing w:val="4"/>
      <w:kern w:val="0"/>
      <w:szCs w:val="20"/>
    </w:rPr>
  </w:style>
  <w:style w:type="paragraph" w:styleId="11">
    <w:name w:val="heading 9"/>
    <w:basedOn w:val="1"/>
    <w:next w:val="1"/>
    <w:link w:val="180"/>
    <w:qFormat/>
    <w:uiPriority w:val="0"/>
    <w:pPr>
      <w:widowControl/>
      <w:numPr>
        <w:ilvl w:val="8"/>
        <w:numId w:val="1"/>
      </w:numPr>
      <w:tabs>
        <w:tab w:val="left" w:pos="1584"/>
      </w:tabs>
      <w:overflowPunct w:val="0"/>
      <w:autoSpaceDE w:val="0"/>
      <w:autoSpaceDN w:val="0"/>
      <w:adjustRightInd w:val="0"/>
      <w:spacing w:before="240" w:after="60"/>
      <w:ind w:right="90" w:hanging="1583" w:firstLineChars="0"/>
      <w:textAlignment w:val="baseline"/>
      <w:outlineLvl w:val="8"/>
    </w:pPr>
    <w:rPr>
      <w:rFonts w:ascii="Arial" w:hAnsi="Arial" w:cs="Times New Roman"/>
      <w:b/>
      <w:i/>
      <w:spacing w:val="4"/>
      <w:kern w:val="0"/>
      <w:sz w:val="18"/>
      <w:szCs w:val="20"/>
    </w:rPr>
  </w:style>
  <w:style w:type="character" w:default="1" w:styleId="136">
    <w:name w:val="Default Paragraph Font"/>
    <w:unhideWhenUsed/>
    <w:qFormat/>
    <w:uiPriority w:val="1"/>
    <w:rPr>
      <w:rFonts w:ascii="Times New Roman" w:hAnsi="Times New Roman" w:eastAsia="宋体"/>
      <w:sz w:val="24"/>
    </w:rPr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Theme="minorEastAsia" w:cstheme="minorBidi"/>
      <w:kern w:val="2"/>
      <w:sz w:val="24"/>
      <w:lang w:val="en-US" w:eastAsia="zh-CN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3"/>
      </w:numPr>
    </w:pPr>
  </w:style>
  <w:style w:type="paragraph" w:styleId="14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5">
    <w:name w:val="caption"/>
    <w:basedOn w:val="1"/>
    <w:next w:val="1"/>
    <w:unhideWhenUsed/>
    <w:qFormat/>
    <w:uiPriority w:val="35"/>
    <w:pPr>
      <w:adjustRightInd w:val="0"/>
      <w:ind w:firstLine="0" w:firstLineChars="0"/>
      <w:jc w:val="center"/>
    </w:pPr>
    <w:rPr>
      <w:rFonts w:ascii="黑体" w:hAnsi="黑体" w:eastAsia="黑体" w:cstheme="majorBidi"/>
      <w:sz w:val="21"/>
      <w:szCs w:val="20"/>
    </w:rPr>
  </w:style>
  <w:style w:type="paragraph" w:styleId="16">
    <w:name w:val="List Bullet"/>
    <w:basedOn w:val="1"/>
    <w:qFormat/>
    <w:uiPriority w:val="0"/>
    <w:pPr>
      <w:numPr>
        <w:ilvl w:val="0"/>
        <w:numId w:val="5"/>
      </w:numPr>
    </w:pPr>
  </w:style>
  <w:style w:type="paragraph" w:styleId="17">
    <w:name w:val="Body Text 3"/>
    <w:basedOn w:val="1"/>
    <w:link w:val="152"/>
    <w:qFormat/>
    <w:uiPriority w:val="0"/>
    <w:pPr>
      <w:spacing w:after="120" w:afterLines="0" w:afterAutospacing="0"/>
    </w:pPr>
    <w:rPr>
      <w:sz w:val="16"/>
    </w:rPr>
  </w:style>
  <w:style w:type="paragraph" w:styleId="18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19">
    <w:name w:val="Body Text"/>
    <w:basedOn w:val="1"/>
    <w:link w:val="150"/>
    <w:qFormat/>
    <w:uiPriority w:val="0"/>
    <w:pPr>
      <w:spacing w:after="120" w:afterLines="0" w:afterAutospacing="0"/>
    </w:pPr>
  </w:style>
  <w:style w:type="paragraph" w:styleId="20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1">
    <w:name w:val="List 2"/>
    <w:basedOn w:val="1"/>
    <w:qFormat/>
    <w:uiPriority w:val="0"/>
    <w:pPr>
      <w:ind w:left="100" w:leftChars="200" w:hanging="200" w:hangingChars="200"/>
    </w:pPr>
  </w:style>
  <w:style w:type="paragraph" w:styleId="22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3">
    <w:name w:val="List Bullet 2"/>
    <w:basedOn w:val="1"/>
    <w:qFormat/>
    <w:uiPriority w:val="0"/>
    <w:pPr>
      <w:numPr>
        <w:ilvl w:val="0"/>
        <w:numId w:val="8"/>
      </w:numPr>
    </w:pPr>
  </w:style>
  <w:style w:type="paragraph" w:styleId="24">
    <w:name w:val="toc 3"/>
    <w:basedOn w:val="1"/>
    <w:next w:val="1"/>
    <w:unhideWhenUsed/>
    <w:qFormat/>
    <w:uiPriority w:val="39"/>
    <w:pPr>
      <w:widowControl/>
      <w:tabs>
        <w:tab w:val="left" w:pos="520"/>
        <w:tab w:val="left" w:pos="640"/>
        <w:tab w:val="right" w:leader="dot" w:pos="8834"/>
      </w:tabs>
      <w:adjustRightInd w:val="0"/>
      <w:snapToGrid w:val="0"/>
      <w:spacing w:line="360" w:lineRule="auto"/>
      <w:ind w:firstLine="0" w:firstLineChars="0"/>
      <w:jc w:val="left"/>
    </w:pPr>
    <w:rPr>
      <w:kern w:val="0"/>
      <w:sz w:val="22"/>
    </w:rPr>
  </w:style>
  <w:style w:type="paragraph" w:styleId="25">
    <w:name w:val="footer"/>
    <w:basedOn w:val="1"/>
    <w:link w:val="14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6">
    <w:name w:val="header"/>
    <w:basedOn w:val="1"/>
    <w:link w:val="14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7">
    <w:name w:val="toc 1"/>
    <w:basedOn w:val="1"/>
    <w:next w:val="1"/>
    <w:unhideWhenUsed/>
    <w:qFormat/>
    <w:uiPriority w:val="39"/>
    <w:pPr>
      <w:widowControl/>
      <w:tabs>
        <w:tab w:val="left" w:pos="440"/>
        <w:tab w:val="right" w:leader="dot" w:pos="8835"/>
      </w:tabs>
      <w:adjustRightInd w:val="0"/>
      <w:snapToGrid w:val="0"/>
      <w:spacing w:line="360" w:lineRule="auto"/>
      <w:ind w:firstLine="0" w:firstLineChars="0"/>
      <w:jc w:val="left"/>
    </w:pPr>
    <w:rPr>
      <w:kern w:val="0"/>
      <w:sz w:val="24"/>
    </w:rPr>
  </w:style>
  <w:style w:type="paragraph" w:styleId="28">
    <w:name w:val="Subtitle"/>
    <w:basedOn w:val="1"/>
    <w:link w:val="148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9">
    <w:name w:val="List"/>
    <w:basedOn w:val="1"/>
    <w:qFormat/>
    <w:uiPriority w:val="0"/>
    <w:pPr>
      <w:ind w:left="200" w:hanging="200" w:hangingChars="200"/>
    </w:pPr>
  </w:style>
  <w:style w:type="paragraph" w:styleId="30">
    <w:name w:val="toc 2"/>
    <w:basedOn w:val="1"/>
    <w:next w:val="1"/>
    <w:unhideWhenUsed/>
    <w:qFormat/>
    <w:uiPriority w:val="39"/>
    <w:pPr>
      <w:widowControl/>
      <w:tabs>
        <w:tab w:val="left" w:pos="400"/>
        <w:tab w:val="left" w:pos="1680"/>
        <w:tab w:val="right" w:leader="dot" w:pos="8835"/>
      </w:tabs>
      <w:adjustRightInd w:val="0"/>
      <w:snapToGrid w:val="0"/>
      <w:spacing w:line="360" w:lineRule="auto"/>
      <w:ind w:firstLine="0" w:firstLineChars="0"/>
      <w:jc w:val="left"/>
    </w:pPr>
    <w:rPr>
      <w:kern w:val="0"/>
      <w:sz w:val="24"/>
    </w:rPr>
  </w:style>
  <w:style w:type="paragraph" w:styleId="31">
    <w:name w:val="Body Text 2"/>
    <w:basedOn w:val="1"/>
    <w:link w:val="151"/>
    <w:qFormat/>
    <w:uiPriority w:val="0"/>
    <w:pPr>
      <w:spacing w:after="120" w:afterLines="0" w:afterAutospacing="0" w:line="480" w:lineRule="auto"/>
    </w:pPr>
  </w:style>
  <w:style w:type="paragraph" w:styleId="32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3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4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35">
    <w:name w:val="Title"/>
    <w:basedOn w:val="1"/>
    <w:next w:val="1"/>
    <w:link w:val="175"/>
    <w:qFormat/>
    <w:uiPriority w:val="10"/>
    <w:pPr>
      <w:spacing w:before="240" w:after="60"/>
      <w:jc w:val="center"/>
      <w:outlineLvl w:val="0"/>
    </w:pPr>
    <w:rPr>
      <w:rFonts w:eastAsia="黑体" w:asciiTheme="majorHAnsi" w:hAnsiTheme="majorHAnsi" w:cstheme="majorBidi"/>
      <w:b/>
      <w:bCs/>
      <w:szCs w:val="32"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7">
    <w:name w:val="Strong"/>
    <w:basedOn w:val="136"/>
    <w:qFormat/>
    <w:uiPriority w:val="0"/>
    <w:rPr>
      <w:b/>
    </w:rPr>
  </w:style>
  <w:style w:type="character" w:styleId="138">
    <w:name w:val="Emphasis"/>
    <w:basedOn w:val="136"/>
    <w:qFormat/>
    <w:uiPriority w:val="0"/>
    <w:rPr>
      <w:i/>
    </w:rPr>
  </w:style>
  <w:style w:type="paragraph" w:customStyle="1" w:styleId="139">
    <w:name w:val="图例"/>
    <w:basedOn w:val="1"/>
    <w:link w:val="140"/>
    <w:qFormat/>
    <w:uiPriority w:val="0"/>
    <w:pPr>
      <w:spacing w:after="50" w:afterLines="50" w:line="240" w:lineRule="auto"/>
      <w:jc w:val="center"/>
    </w:pPr>
    <w:rPr>
      <w:rFonts w:ascii="Times New Roman" w:hAnsi="Times New Roman" w:eastAsia="黑体" w:cs="仿宋_GB2312"/>
      <w:sz w:val="18"/>
      <w:szCs w:val="21"/>
    </w:rPr>
  </w:style>
  <w:style w:type="character" w:customStyle="1" w:styleId="140">
    <w:name w:val="图例 Char"/>
    <w:link w:val="139"/>
    <w:qFormat/>
    <w:uiPriority w:val="0"/>
    <w:rPr>
      <w:rFonts w:ascii="Times New Roman" w:hAnsi="Times New Roman" w:eastAsia="黑体" w:cs="仿宋_GB2312"/>
      <w:sz w:val="18"/>
      <w:szCs w:val="21"/>
    </w:rPr>
  </w:style>
  <w:style w:type="character" w:customStyle="1" w:styleId="141">
    <w:name w:val="Header Char"/>
    <w:link w:val="26"/>
    <w:uiPriority w:val="99"/>
    <w:rPr>
      <w:sz w:val="18"/>
    </w:rPr>
  </w:style>
  <w:style w:type="character" w:customStyle="1" w:styleId="142">
    <w:name w:val="Footer Char"/>
    <w:link w:val="25"/>
    <w:uiPriority w:val="99"/>
    <w:rPr>
      <w:sz w:val="18"/>
    </w:rPr>
  </w:style>
  <w:style w:type="paragraph" w:styleId="14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Heading 1 Char"/>
    <w:link w:val="3"/>
    <w:uiPriority w:val="9"/>
    <w:rPr>
      <w:rFonts w:ascii="黑体" w:hAnsi="黑体" w:eastAsia="黑体"/>
      <w:bCs/>
      <w:kern w:val="44"/>
      <w:sz w:val="28"/>
      <w:szCs w:val="44"/>
    </w:rPr>
  </w:style>
  <w:style w:type="character" w:customStyle="1" w:styleId="145">
    <w:name w:val="Heading 2 Char"/>
    <w:link w:val="4"/>
    <w:qFormat/>
    <w:uiPriority w:val="9"/>
    <w:rPr>
      <w:rFonts w:cstheme="majorBidi"/>
      <w:szCs w:val="32"/>
    </w:rPr>
  </w:style>
  <w:style w:type="character" w:customStyle="1" w:styleId="146">
    <w:name w:val="Heading 3 Char"/>
    <w:link w:val="5"/>
    <w:uiPriority w:val="9"/>
  </w:style>
  <w:style w:type="character" w:customStyle="1" w:styleId="147">
    <w:name w:val="Title Char"/>
    <w:link w:val="35"/>
    <w:uiPriority w:val="10"/>
    <w:rPr>
      <w:rFonts w:eastAsia="黑体" w:asciiTheme="majorHAnsi" w:hAnsiTheme="majorHAnsi" w:cstheme="majorBidi"/>
      <w:b/>
      <w:bCs/>
      <w:szCs w:val="32"/>
    </w:rPr>
  </w:style>
  <w:style w:type="character" w:customStyle="1" w:styleId="148">
    <w:name w:val="Subtitle Char"/>
    <w:link w:val="28"/>
    <w:uiPriority w:val="11"/>
    <w:rPr>
      <w:rFonts w:ascii="Arial" w:hAnsi="Arial"/>
      <w:b/>
      <w:kern w:val="28"/>
      <w:sz w:val="32"/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Body Text Char"/>
    <w:link w:val="19"/>
    <w:qFormat/>
    <w:uiPriority w:val="99"/>
  </w:style>
  <w:style w:type="character" w:customStyle="1" w:styleId="151">
    <w:name w:val="Body Text 2 Char"/>
    <w:link w:val="31"/>
    <w:qFormat/>
    <w:uiPriority w:val="99"/>
  </w:style>
  <w:style w:type="character" w:customStyle="1" w:styleId="152">
    <w:name w:val="Body Text 3 Char"/>
    <w:link w:val="17"/>
    <w:qFormat/>
    <w:uiPriority w:val="99"/>
    <w:rPr>
      <w:sz w:val="16"/>
    </w:rPr>
  </w:style>
  <w:style w:type="character" w:customStyle="1" w:styleId="153">
    <w:name w:val="Macro Text Char"/>
    <w:link w:val="2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Quote Char"/>
    <w:basedOn w:val="136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Heading 4 Char"/>
    <w:link w:val="6"/>
    <w:semiHidden/>
    <w:qFormat/>
    <w:uiPriority w:val="9"/>
    <w:rPr>
      <w:rFonts w:ascii="黑体" w:hAnsi="黑体" w:eastAsia="黑体" w:cs="Times New Roman"/>
      <w:spacing w:val="6"/>
      <w:kern w:val="0"/>
      <w:szCs w:val="28"/>
    </w:rPr>
  </w:style>
  <w:style w:type="character" w:customStyle="1" w:styleId="157">
    <w:name w:val="Heading 5 Char"/>
    <w:link w:val="7"/>
    <w:semiHidden/>
    <w:qFormat/>
    <w:uiPriority w:val="9"/>
  </w:style>
  <w:style w:type="character" w:customStyle="1" w:styleId="158">
    <w:name w:val="Heading 6 Char"/>
    <w:link w:val="8"/>
    <w:semiHidden/>
    <w:qFormat/>
    <w:uiPriority w:val="9"/>
    <w:rPr>
      <w:rFonts w:cs="Times New Roman"/>
      <w:spacing w:val="4"/>
      <w:kern w:val="0"/>
      <w:szCs w:val="20"/>
    </w:rPr>
  </w:style>
  <w:style w:type="character" w:customStyle="1" w:styleId="159">
    <w:name w:val="Heading 7 Char"/>
    <w:link w:val="9"/>
    <w:semiHidden/>
    <w:qFormat/>
    <w:uiPriority w:val="9"/>
    <w:rPr>
      <w:rFonts w:ascii="Arial" w:hAnsi="Arial" w:cs="Times New Roman"/>
      <w:spacing w:val="4"/>
      <w:kern w:val="0"/>
      <w:szCs w:val="20"/>
    </w:rPr>
  </w:style>
  <w:style w:type="character" w:customStyle="1" w:styleId="160">
    <w:name w:val="Heading 8 Char"/>
    <w:link w:val="10"/>
    <w:semiHidden/>
    <w:qFormat/>
    <w:uiPriority w:val="9"/>
    <w:rPr>
      <w:rFonts w:ascii="Arial" w:hAnsi="Arial" w:cs="Times New Roman"/>
      <w:i/>
      <w:spacing w:val="4"/>
      <w:kern w:val="0"/>
      <w:szCs w:val="20"/>
    </w:rPr>
  </w:style>
  <w:style w:type="character" w:customStyle="1" w:styleId="161">
    <w:name w:val="Heading 9 Char"/>
    <w:link w:val="11"/>
    <w:semiHidden/>
    <w:qFormat/>
    <w:uiPriority w:val="9"/>
    <w:rPr>
      <w:rFonts w:ascii="Arial" w:hAnsi="Arial" w:cs="Times New Roman"/>
      <w:b/>
      <w:i/>
      <w:spacing w:val="4"/>
      <w:kern w:val="0"/>
      <w:sz w:val="18"/>
      <w:szCs w:val="20"/>
    </w:rPr>
  </w:style>
  <w:style w:type="paragraph" w:styleId="162">
    <w:name w:val="Intense Quote"/>
    <w:basedOn w:val="1"/>
    <w:next w:val="1"/>
    <w:link w:val="16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Intense Quote Char"/>
    <w:basedOn w:val="136"/>
    <w:link w:val="16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Emphasis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5">
    <w:name w:val="Intense Emphasis"/>
    <w:basedOn w:val="13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Subtle Reference"/>
    <w:basedOn w:val="13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7">
    <w:name w:val="Intense Reference"/>
    <w:basedOn w:val="13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8">
    <w:name w:val="Book Title"/>
    <w:basedOn w:val="136"/>
    <w:qFormat/>
    <w:uiPriority w:val="33"/>
    <w:rPr>
      <w:b/>
      <w:bCs/>
      <w:smallCaps/>
      <w:spacing w:val="5"/>
    </w:rPr>
  </w:style>
  <w:style w:type="paragraph" w:customStyle="1" w:styleId="169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70">
    <w:name w:val="表头"/>
    <w:basedOn w:val="1"/>
    <w:link w:val="189"/>
    <w:autoRedefine/>
    <w:qFormat/>
    <w:uiPriority w:val="0"/>
    <w:pPr>
      <w:adjustRightInd w:val="0"/>
      <w:snapToGrid w:val="0"/>
      <w:spacing w:line="420" w:lineRule="atLeast"/>
      <w:ind w:firstLine="0" w:firstLineChars="0"/>
      <w:jc w:val="center"/>
    </w:pPr>
    <w:rPr>
      <w:rFonts w:ascii="黑体" w:hAnsi="黑体" w:eastAsia="黑体" w:cs="宋体"/>
      <w:color w:val="000000" w:themeColor="text1"/>
      <w:sz w:val="21"/>
      <w:szCs w:val="21"/>
      <w14:textFill>
        <w14:solidFill>
          <w14:schemeClr w14:val="tx1"/>
        </w14:solidFill>
      </w14:textFill>
    </w:rPr>
  </w:style>
  <w:style w:type="character" w:customStyle="1" w:styleId="171">
    <w:name w:val="标题 2 Char"/>
    <w:basedOn w:val="136"/>
    <w:link w:val="4"/>
    <w:qFormat/>
    <w:uiPriority w:val="0"/>
    <w:rPr>
      <w:rFonts w:cstheme="majorBidi"/>
      <w:szCs w:val="32"/>
    </w:rPr>
  </w:style>
  <w:style w:type="character" w:customStyle="1" w:styleId="172">
    <w:name w:val="标题 5 Char"/>
    <w:link w:val="7"/>
    <w:qFormat/>
    <w:uiPriority w:val="0"/>
  </w:style>
  <w:style w:type="character" w:customStyle="1" w:styleId="173">
    <w:name w:val="标题 1 Char"/>
    <w:basedOn w:val="136"/>
    <w:link w:val="3"/>
    <w:qFormat/>
    <w:uiPriority w:val="0"/>
    <w:rPr>
      <w:rFonts w:ascii="黑体" w:hAnsi="黑体" w:eastAsia="黑体"/>
      <w:bCs/>
      <w:kern w:val="44"/>
      <w:sz w:val="28"/>
      <w:szCs w:val="44"/>
    </w:rPr>
  </w:style>
  <w:style w:type="character" w:customStyle="1" w:styleId="174">
    <w:name w:val="标题 3 Char"/>
    <w:basedOn w:val="136"/>
    <w:link w:val="5"/>
    <w:qFormat/>
    <w:uiPriority w:val="0"/>
  </w:style>
  <w:style w:type="character" w:customStyle="1" w:styleId="175">
    <w:name w:val="标题 Char"/>
    <w:basedOn w:val="136"/>
    <w:link w:val="35"/>
    <w:qFormat/>
    <w:uiPriority w:val="10"/>
    <w:rPr>
      <w:rFonts w:eastAsia="黑体" w:asciiTheme="majorHAnsi" w:hAnsiTheme="majorHAnsi" w:cstheme="majorBidi"/>
      <w:b/>
      <w:bCs/>
      <w:szCs w:val="32"/>
    </w:rPr>
  </w:style>
  <w:style w:type="character" w:customStyle="1" w:styleId="176">
    <w:name w:val="标题 4 Char"/>
    <w:basedOn w:val="136"/>
    <w:link w:val="6"/>
    <w:qFormat/>
    <w:uiPriority w:val="0"/>
    <w:rPr>
      <w:rFonts w:ascii="黑体" w:hAnsi="黑体" w:eastAsia="黑体" w:cs="Times New Roman"/>
      <w:spacing w:val="6"/>
      <w:kern w:val="0"/>
      <w:szCs w:val="28"/>
    </w:rPr>
  </w:style>
  <w:style w:type="character" w:customStyle="1" w:styleId="177">
    <w:name w:val="标题 6 Char"/>
    <w:link w:val="8"/>
    <w:qFormat/>
    <w:uiPriority w:val="0"/>
    <w:rPr>
      <w:rFonts w:cs="Times New Roman"/>
      <w:spacing w:val="4"/>
      <w:kern w:val="0"/>
      <w:szCs w:val="20"/>
    </w:rPr>
  </w:style>
  <w:style w:type="character" w:customStyle="1" w:styleId="178">
    <w:name w:val="标题 7 Char"/>
    <w:basedOn w:val="136"/>
    <w:link w:val="9"/>
    <w:qFormat/>
    <w:uiPriority w:val="0"/>
    <w:rPr>
      <w:rFonts w:ascii="Arial" w:hAnsi="Arial" w:cs="Times New Roman"/>
      <w:spacing w:val="4"/>
      <w:kern w:val="0"/>
      <w:szCs w:val="20"/>
    </w:rPr>
  </w:style>
  <w:style w:type="character" w:customStyle="1" w:styleId="179">
    <w:name w:val="标题 8 Char"/>
    <w:basedOn w:val="136"/>
    <w:link w:val="10"/>
    <w:qFormat/>
    <w:uiPriority w:val="0"/>
    <w:rPr>
      <w:rFonts w:ascii="Arial" w:hAnsi="Arial" w:cs="Times New Roman"/>
      <w:i/>
      <w:spacing w:val="4"/>
      <w:kern w:val="0"/>
      <w:szCs w:val="20"/>
    </w:rPr>
  </w:style>
  <w:style w:type="character" w:customStyle="1" w:styleId="180">
    <w:name w:val="标题 9 Char"/>
    <w:basedOn w:val="136"/>
    <w:link w:val="11"/>
    <w:qFormat/>
    <w:uiPriority w:val="0"/>
    <w:rPr>
      <w:rFonts w:ascii="Arial" w:hAnsi="Arial" w:cs="Times New Roman"/>
      <w:b/>
      <w:i/>
      <w:spacing w:val="4"/>
      <w:kern w:val="0"/>
      <w:sz w:val="18"/>
      <w:szCs w:val="20"/>
    </w:rPr>
  </w:style>
  <w:style w:type="table" w:customStyle="1" w:styleId="181">
    <w:name w:val="网格型1"/>
    <w:basedOn w:val="3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2">
    <w:name w:val="网格型2"/>
    <w:basedOn w:val="3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3">
    <w:name w:val="网格型3"/>
    <w:basedOn w:val="3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4">
    <w:name w:val="网格型4"/>
    <w:basedOn w:val="3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5">
    <w:name w:val="网格型5"/>
    <w:basedOn w:val="3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6">
    <w:name w:val="常规1"/>
    <w:basedOn w:val="36"/>
    <w:qFormat/>
    <w:uiPriority w:val="0"/>
    <w:pPr>
      <w:spacing w:before="100" w:beforeAutospacing="1" w:after="100" w:afterAutospacing="1"/>
    </w:pPr>
    <w:rPr>
      <w:rFonts w:ascii="宋体" w:hAnsi="宋体"/>
      <w:color w:val="000000"/>
      <w:sz w:val="22"/>
    </w:rPr>
    <w:tblPr>
      <w:tblCellMar>
        <w:top w:w="0" w:type="dxa"/>
        <w:left w:w="0" w:type="dxa"/>
        <w:bottom w:w="0" w:type="dxa"/>
        <w:right w:w="0" w:type="dxa"/>
      </w:tblCellMar>
    </w:tblPr>
    <w:tcPr>
      <w:noWrap/>
      <w:vAlign w:val="both"/>
    </w:tcPr>
  </w:style>
  <w:style w:type="table" w:customStyle="1" w:styleId="187">
    <w:name w:val="网格型41"/>
    <w:basedOn w:val="3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88">
    <w:name w:val="图表字体"/>
    <w:basedOn w:val="1"/>
    <w:qFormat/>
    <w:uiPriority w:val="0"/>
    <w:pPr>
      <w:spacing w:line="240" w:lineRule="auto"/>
      <w:ind w:firstLine="0" w:firstLineChars="0"/>
      <w:jc w:val="center"/>
    </w:pPr>
    <w:rPr>
      <w:sz w:val="18"/>
    </w:rPr>
  </w:style>
  <w:style w:type="character" w:customStyle="1" w:styleId="189">
    <w:name w:val="样式 论文正文 + 首行缩进2字符 Char"/>
    <w:link w:val="170"/>
    <w:qFormat/>
    <w:uiPriority w:val="0"/>
    <w:rPr>
      <w:rFonts w:ascii="黑体" w:hAnsi="黑体" w:eastAsia="黑体" w:cs="宋体"/>
      <w:color w:val="000000" w:themeColor="text1"/>
      <w:sz w:val="21"/>
      <w:szCs w:val="21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1688</Words>
  <Characters>2245</Characters>
  <Lines>0</Lines>
  <Paragraphs>0</Paragraphs>
  <TotalTime>10</TotalTime>
  <ScaleCrop>false</ScaleCrop>
  <LinksUpToDate>false</LinksUpToDate>
  <CharactersWithSpaces>2377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KF-GINS-Matlab 项目整理</dc:creator>
  <dc:description>generated by python-docx</dc:description>
  <cp:keywords>方位角, 测距, 初步定位, EKF, RTS, 误差传播</cp:keywords>
  <cp:lastModifiedBy>Xinyu Zhou</cp:lastModifiedBy>
  <dcterms:modified xsi:type="dcterms:W3CDTF">2026-09-01T06:25:36Z</dcterms:modified>
  <dc:subject>惯性导航算法探索专题</dc:subject>
  <dc:title>方位角构造与距离—方位角初步定位理论分析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eyJoZGlkIjoiNzM2ZmIzNjA4NzYyOGU1NGI0ODBjYTgzNzU1N2JkYzUiLCJ1c2VySWQiOiI0Njk2MzkwNTAifQ==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B969A7798C3E4C9C87A44F54F42E2F6B_12</vt:lpwstr>
  </property>
</Properties>
</file>