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B7DE3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-709295</wp:posOffset>
            </wp:positionH>
            <wp:positionV relativeFrom="paragraph">
              <wp:posOffset>0</wp:posOffset>
            </wp:positionV>
            <wp:extent cx="7550150" cy="1800225"/>
            <wp:effectExtent l="0" t="0" r="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5928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8241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182F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E35D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9257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Школа: </w:t>
      </w:r>
      <w:r>
        <w:rPr>
          <w:rFonts w:ascii="Times New Roman" w:hAnsi="Times New Roman" w:cs="Times New Roman"/>
          <w:b/>
          <w:sz w:val="24"/>
          <w:szCs w:val="24"/>
        </w:rPr>
        <w:t>Инженерная школа информационных технологий и робототехники</w:t>
      </w:r>
    </w:p>
    <w:p w14:paraId="1C3BE4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Направление подготовки: </w:t>
      </w:r>
      <w:r>
        <w:rPr>
          <w:rFonts w:ascii="Times New Roman" w:hAnsi="Times New Roman" w:cs="Times New Roman"/>
          <w:b/>
          <w:sz w:val="24"/>
          <w:szCs w:val="24"/>
        </w:rPr>
        <w:t>09.04.01 Информатика и вычислительная техника</w:t>
      </w:r>
    </w:p>
    <w:p w14:paraId="40A753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школы (НОЦ): </w:t>
      </w:r>
      <w:r>
        <w:rPr>
          <w:rFonts w:ascii="Times New Roman" w:hAnsi="Times New Roman" w:cs="Times New Roman"/>
          <w:b/>
          <w:sz w:val="24"/>
          <w:szCs w:val="24"/>
        </w:rPr>
        <w:t>Отделение информационных технологий</w:t>
      </w:r>
    </w:p>
    <w:p w14:paraId="6E46E4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B1F98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D89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612E8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43AE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96485C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>
        <w:rPr>
          <w:rFonts w:hint="eastAsia" w:ascii="Times New Roman" w:hAnsi="Times New Roman" w:cs="Times New Roman" w:eastAsiaTheme="minorEastAsia"/>
          <w:b/>
          <w:sz w:val="24"/>
          <w:szCs w:val="24"/>
          <w:lang w:val="en-US" w:eastAsia="zh-CN"/>
        </w:rPr>
        <w:t>2</w:t>
      </w:r>
    </w:p>
    <w:p w14:paraId="6662F9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дисциплине </w:t>
      </w:r>
    </w:p>
    <w:p w14:paraId="7E12CAE7">
      <w:pPr>
        <w:spacing w:after="0" w:line="240" w:lineRule="auto"/>
        <w:jc w:val="center"/>
        <w:rPr>
          <w:rFonts w:ascii="Times New Roman" w:hAnsi="Times New Roman" w:cs="Times New Roman" w:eastAsiaTheme="minorEastAsia"/>
          <w:b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sz w:val="24"/>
          <w:szCs w:val="24"/>
        </w:rPr>
        <w:t>Обучение с подкреплением, метаэвристики и нейроэволюция</w:t>
      </w:r>
    </w:p>
    <w:p w14:paraId="642C0E01">
      <w:pPr>
        <w:spacing w:after="0" w:line="240" w:lineRule="auto"/>
        <w:jc w:val="center"/>
        <w:rPr>
          <w:rFonts w:ascii="Times New Roman" w:hAnsi="Times New Roman" w:cs="Times New Roman" w:eastAsiaTheme="minorEastAsia"/>
          <w:b/>
          <w:sz w:val="24"/>
          <w:szCs w:val="24"/>
          <w:lang w:eastAsia="zh-CN"/>
        </w:rPr>
      </w:pPr>
    </w:p>
    <w:tbl>
      <w:tblPr>
        <w:tblStyle w:val="12"/>
        <w:tblW w:w="977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6"/>
      </w:tblGrid>
      <w:tr w14:paraId="1C3933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776" w:type="dxa"/>
          </w:tcPr>
          <w:p w14:paraId="31FEEF9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Тема задания</w:t>
            </w:r>
          </w:p>
        </w:tc>
      </w:tr>
      <w:tr w14:paraId="19790B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776" w:type="dxa"/>
          </w:tcPr>
          <w:p w14:paraId="49B3A2FB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eastAsia="ru-RU"/>
              </w:rPr>
              <w:t>Нейроэволюционные стратегии: реализация WANN для задачи CartPole-v1</w:t>
            </w:r>
          </w:p>
        </w:tc>
      </w:tr>
    </w:tbl>
    <w:p w14:paraId="53AE94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91C2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D0DE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05F96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</w:p>
    <w:tbl>
      <w:tblPr>
        <w:tblStyle w:val="12"/>
        <w:tblW w:w="974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3781"/>
        <w:gridCol w:w="1698"/>
        <w:gridCol w:w="1296"/>
      </w:tblGrid>
      <w:tr w14:paraId="5BA50B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972" w:type="dxa"/>
          </w:tcPr>
          <w:p w14:paraId="613DB83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Группа</w:t>
            </w:r>
          </w:p>
        </w:tc>
        <w:tc>
          <w:tcPr>
            <w:tcW w:w="3781" w:type="dxa"/>
          </w:tcPr>
          <w:p w14:paraId="17CFE62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ФИО</w:t>
            </w:r>
          </w:p>
        </w:tc>
        <w:tc>
          <w:tcPr>
            <w:tcW w:w="1698" w:type="dxa"/>
          </w:tcPr>
          <w:p w14:paraId="1DBC278E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Подпись</w:t>
            </w:r>
          </w:p>
        </w:tc>
        <w:tc>
          <w:tcPr>
            <w:tcW w:w="1296" w:type="dxa"/>
          </w:tcPr>
          <w:p w14:paraId="56462277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Дата</w:t>
            </w:r>
          </w:p>
        </w:tc>
      </w:tr>
      <w:tr w14:paraId="0A05B8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65BE64AF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8ВМ52</w:t>
            </w:r>
          </w:p>
        </w:tc>
        <w:tc>
          <w:tcPr>
            <w:tcW w:w="3781" w:type="dxa"/>
          </w:tcPr>
          <w:p w14:paraId="5429702E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eastAsia="ru-RU"/>
              </w:rPr>
              <w:t>Чжоу Сюнь</w:t>
            </w:r>
          </w:p>
        </w:tc>
        <w:tc>
          <w:tcPr>
            <w:tcW w:w="1698" w:type="dxa"/>
          </w:tcPr>
          <w:p w14:paraId="54C1700C">
            <w:pPr>
              <w:spacing w:after="0" w:line="240" w:lineRule="auto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</w:tcPr>
          <w:p w14:paraId="1BF4664F">
            <w:pPr>
              <w:spacing w:after="0" w:line="240" w:lineRule="auto"/>
              <w:rPr>
                <w:rFonts w:ascii="Times New Roman" w:hAnsi="Times New Roman" w:cs="Times New Roman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eastAsia="zh-CN"/>
              </w:rPr>
              <w:t>7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.</w:t>
            </w: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eastAsia="zh-CN"/>
              </w:rPr>
              <w:t>0</w:t>
            </w: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.202</w:t>
            </w: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eastAsia="zh-CN"/>
              </w:rPr>
              <w:t>6</w:t>
            </w:r>
          </w:p>
        </w:tc>
      </w:tr>
    </w:tbl>
    <w:p w14:paraId="187FD0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6B1E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721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6967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</w:t>
      </w:r>
    </w:p>
    <w:tbl>
      <w:tblPr>
        <w:tblStyle w:val="12"/>
        <w:tblW w:w="974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2410"/>
        <w:gridCol w:w="1389"/>
        <w:gridCol w:w="1701"/>
        <w:gridCol w:w="1275"/>
      </w:tblGrid>
      <w:tr w14:paraId="64E8B0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972" w:type="dxa"/>
            <w:vAlign w:val="center"/>
          </w:tcPr>
          <w:p w14:paraId="37AB044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Должность</w:t>
            </w:r>
          </w:p>
        </w:tc>
        <w:tc>
          <w:tcPr>
            <w:tcW w:w="2410" w:type="dxa"/>
            <w:vAlign w:val="center"/>
          </w:tcPr>
          <w:p w14:paraId="36CEEAB6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ФИО</w:t>
            </w:r>
          </w:p>
        </w:tc>
        <w:tc>
          <w:tcPr>
            <w:tcW w:w="1389" w:type="dxa"/>
            <w:vAlign w:val="center"/>
          </w:tcPr>
          <w:p w14:paraId="3B0F0B54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Ученая степень, звание</w:t>
            </w:r>
          </w:p>
        </w:tc>
        <w:tc>
          <w:tcPr>
            <w:tcW w:w="1701" w:type="dxa"/>
            <w:vAlign w:val="center"/>
          </w:tcPr>
          <w:p w14:paraId="4B326CBB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Подпись</w:t>
            </w:r>
          </w:p>
        </w:tc>
        <w:tc>
          <w:tcPr>
            <w:tcW w:w="1275" w:type="dxa"/>
            <w:vAlign w:val="center"/>
          </w:tcPr>
          <w:p w14:paraId="68822C41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Дата</w:t>
            </w:r>
          </w:p>
        </w:tc>
      </w:tr>
      <w:tr w14:paraId="2DA729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972" w:type="dxa"/>
          </w:tcPr>
          <w:p w14:paraId="2C9F9898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Старший преподаватель</w:t>
            </w:r>
          </w:p>
          <w:p w14:paraId="4DBA8948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ОИТ, ИШИТР</w:t>
            </w:r>
          </w:p>
        </w:tc>
        <w:tc>
          <w:tcPr>
            <w:tcW w:w="2410" w:type="dxa"/>
          </w:tcPr>
          <w:p w14:paraId="08316314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ru-RU"/>
              </w:rPr>
              <w:t>Григорьев Д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ru-RU"/>
              </w:rPr>
              <w:t xml:space="preserve"> С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89" w:type="dxa"/>
          </w:tcPr>
          <w:p w14:paraId="69B2BA86">
            <w:pPr>
              <w:spacing w:after="0" w:line="240" w:lineRule="auto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08AA92BB">
            <w:pPr>
              <w:spacing w:after="0" w:line="240" w:lineRule="auto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</w:tcPr>
          <w:p w14:paraId="12CBC091">
            <w:pPr>
              <w:spacing w:after="0" w:line="240" w:lineRule="auto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</w:p>
        </w:tc>
      </w:tr>
    </w:tbl>
    <w:p w14:paraId="00F8C77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092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391A16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0C2AB9BA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7FCB2BBE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5E23D502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5B1B6CAA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1FAF8FA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525602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Томск – 202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AA99D88">
      <w:pPr>
        <w:spacing w:before="120" w:after="120"/>
        <w:ind w:firstLine="0"/>
        <w:jc w:val="left"/>
        <w:rPr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1. Цель работы</w:t>
      </w:r>
    </w:p>
    <w:p w14:paraId="2F6A182B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• реализовать нейроэволюционный алгоритм WANN в среде Google Colab;</w:t>
      </w:r>
    </w:p>
    <w:p w14:paraId="60C27912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• обучить агента для решения задачи CartPole-v1 и проанализировать качество найденной структуры;</w:t>
      </w:r>
    </w:p>
    <w:p w14:paraId="4D26E9E0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• провести сравнение с базовым методом, выполнить абляционное и гиперпараметрические исследования, а также оценить устойчивость найденного решения.</w:t>
      </w:r>
    </w:p>
    <w:p w14:paraId="17AE7909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bookmarkStart w:id="0" w:name="_GoBack"/>
      <w:bookmarkEnd w:id="0"/>
    </w:p>
    <w:p w14:paraId="7660B338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2. Постановка задачи</w:t>
      </w:r>
    </w:p>
    <w:p w14:paraId="0AAF1A27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Согласно варианту №26 был выбран подход WANN без дополнительных ограничений на структуру сети. В качестве тестовой среды использовалась стандартная среда CartPole-v1. Задача агента состоит в том, чтобы удерживать вертикальный шест как можно дольше, выбирая одно из двух действий на каждом шаге: толкать тележку влево или вправо.</w:t>
      </w:r>
    </w:p>
    <w:p w14:paraId="605C3F85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Наблюдение среды включает четыре входных признака: положение тележки, скорость тележки, угол отклонения шеста и угловую скорость шеста. Следовательно, итоговая сеть имеет 4 входных узла и 2 выходных узла. Качество решения оценивалось по среднему вознаграждению за эпизод.</w:t>
      </w:r>
    </w:p>
    <w:p w14:paraId="2A0F0478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2892EB16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3. Краткое описание метода WANN</w:t>
      </w:r>
    </w:p>
    <w:p w14:paraId="0E1ABA6E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WANN (Weight Agnostic Neural Network) — это нейроэволюционный подход, в котором основным объектом поиска является структура сети, а не полный набор индивидуальных весов. Идея метода состоит в том, что одна и та же найденная архитектура должна работать при использовании общего разделяемого веса (shared weight) на всех связях. Поэтому алгоритм ищет компактные и устойчивые топологии, способные демонстрировать высокое качество уже на уровне структуры.</w:t>
      </w:r>
    </w:p>
    <w:p w14:paraId="163B9B11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В данной работе использовались следующие основные эволюционные операции: добавление скрытого узла, добавление связи, удаление связи и мутация функции активации скрытого узла. Отбор в следующую популяцию выполнялся с помощью турнирной селекции и механизма элитизма.</w:t>
      </w:r>
    </w:p>
    <w:p w14:paraId="0140BF0F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7F01371B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4. Параметры эксперимента</w:t>
      </w:r>
    </w:p>
    <w:p w14:paraId="37CCCA1F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• среда: CartPole-v1;</w:t>
      </w:r>
    </w:p>
    <w:p w14:paraId="2EB8CC0D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• основной размер популяции: 40 особей;</w:t>
      </w:r>
    </w:p>
    <w:p w14:paraId="4D918A0A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• число поколений: 60;</w:t>
      </w:r>
    </w:p>
    <w:p w14:paraId="55D2DCE7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• общее число fitness evaluations в основном эксперименте: 2400;</w:t>
      </w:r>
    </w:p>
    <w:p w14:paraId="6E9C0A3F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• независимые запуски: seed = 42 и seed = 123;</w:t>
      </w:r>
    </w:p>
    <w:p w14:paraId="6EBD5C15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• дополнительные эксперименты: Random Search, отключение мутации активации, уменьшение размера популяции, увеличение вероятностей мутации, тест устойчивости к шуму наблюдений.</w:t>
      </w:r>
    </w:p>
    <w:p w14:paraId="18B85F8F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В ходе тестирования лучшая найденная структура также сохранялась в JSON-файл и затем загружалась обратно, чтобы проверить корректность механизма сохранения/загрузки.</w:t>
      </w:r>
    </w:p>
    <w:p w14:paraId="34C4235B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29FD1362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5. Результаты основного обучения WANN</w:t>
      </w:r>
    </w:p>
    <w:p w14:paraId="18099D79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На рисунке 1 показаны кривые обучения основного запуска WANN с seed = 42. Уже примерно к 16-му поколению алгоритм достиг максимального среднего вознаграждения 500.0. При этом среднее качество по популяции также стабильно росло и в конце обучения составило около 390.06. График сложности сети показывает, что эволюция сначала увеличивала количество связей, а затем пришла к более компактной структуре.</w:t>
      </w:r>
    </w:p>
    <w:p w14:paraId="6C4436FF">
      <w:pPr>
        <w:jc w:val="center"/>
      </w:pPr>
      <w:r>
        <w:drawing>
          <wp:inline distT="0" distB="0" distL="114300" distR="114300">
            <wp:extent cx="5687695" cy="7301865"/>
            <wp:effectExtent l="0" t="0" r="825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30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97A7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1 — Кривые обучения WANN, динамика fitness и сложность сети.</w:t>
      </w:r>
    </w:p>
    <w:p w14:paraId="7F532E09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Лучшее решение основного запуска характеризуется следующими параметрами: средний reward = 500.0, fitness = 499.0, число скрытых узлов = 3, число связей = 14.</w:t>
      </w:r>
    </w:p>
    <w:p w14:paraId="1557C980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30C0A0A1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6. Проверка воспроизводимости</w:t>
      </w:r>
    </w:p>
    <w:p w14:paraId="7B28E15C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Для проверки воспроизводимости были выполнены два независимых запуска с разными начальными значениями генератора случайных чисел: seed = 42 и seed = 123. Оба запуска привели к одинаковому максимальному среднему reward, равному 500.0. Различие наблюдалось только в скорости сходимости: запуск с seed = 42 достиг максимума быстрее, тогда как запуск с seed = 123 вышел на тот же уровень позже.</w:t>
      </w:r>
    </w:p>
    <w:p w14:paraId="5439FFC7">
      <w:pPr>
        <w:jc w:val="center"/>
      </w:pPr>
      <w:r>
        <w:drawing>
          <wp:inline distT="0" distB="0" distL="114300" distR="114300">
            <wp:extent cx="5579745" cy="5391785"/>
            <wp:effectExtent l="0" t="0" r="1905" b="1841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74B9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2 — Сравнение двух независимых запусков WANN (seed 42 и seed 123).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1593"/>
        <w:gridCol w:w="1590"/>
        <w:gridCol w:w="1591"/>
        <w:gridCol w:w="1607"/>
        <w:gridCol w:w="1606"/>
      </w:tblGrid>
      <w:tr w14:paraId="23384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2E25FBA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Seed</w:t>
            </w:r>
          </w:p>
        </w:tc>
        <w:tc>
          <w:tcPr>
            <w:tcW w:w="1615" w:type="dxa"/>
            <w:vAlign w:val="center"/>
          </w:tcPr>
          <w:p w14:paraId="26E3E8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Best Mean Reward</w:t>
            </w:r>
          </w:p>
        </w:tc>
        <w:tc>
          <w:tcPr>
            <w:tcW w:w="1615" w:type="dxa"/>
            <w:vAlign w:val="center"/>
          </w:tcPr>
          <w:p w14:paraId="3FFA5D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Best Fitness</w:t>
            </w:r>
          </w:p>
        </w:tc>
        <w:tc>
          <w:tcPr>
            <w:tcW w:w="1615" w:type="dxa"/>
            <w:vAlign w:val="center"/>
          </w:tcPr>
          <w:p w14:paraId="3C0ED64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Hidden Nodes</w:t>
            </w:r>
          </w:p>
        </w:tc>
        <w:tc>
          <w:tcPr>
            <w:tcW w:w="1615" w:type="dxa"/>
            <w:vAlign w:val="center"/>
          </w:tcPr>
          <w:p w14:paraId="355340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Connections</w:t>
            </w:r>
          </w:p>
        </w:tc>
        <w:tc>
          <w:tcPr>
            <w:tcW w:w="1615" w:type="dxa"/>
            <w:vAlign w:val="center"/>
          </w:tcPr>
          <w:p w14:paraId="37A3D8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Fitness Evaluations</w:t>
            </w:r>
          </w:p>
        </w:tc>
      </w:tr>
      <w:tr w14:paraId="45A2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4323F6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42</w:t>
            </w:r>
          </w:p>
        </w:tc>
        <w:tc>
          <w:tcPr>
            <w:tcW w:w="1615" w:type="dxa"/>
            <w:vAlign w:val="center"/>
          </w:tcPr>
          <w:p w14:paraId="5E7DF9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  <w:tc>
          <w:tcPr>
            <w:tcW w:w="1615" w:type="dxa"/>
            <w:vAlign w:val="center"/>
          </w:tcPr>
          <w:p w14:paraId="6805E9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499.00</w:t>
            </w:r>
          </w:p>
        </w:tc>
        <w:tc>
          <w:tcPr>
            <w:tcW w:w="1615" w:type="dxa"/>
            <w:vAlign w:val="center"/>
          </w:tcPr>
          <w:p w14:paraId="1DFDD7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w="1615" w:type="dxa"/>
            <w:vAlign w:val="center"/>
          </w:tcPr>
          <w:p w14:paraId="2F73142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w="1615" w:type="dxa"/>
            <w:vAlign w:val="center"/>
          </w:tcPr>
          <w:p w14:paraId="0677F6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2400</w:t>
            </w:r>
          </w:p>
        </w:tc>
      </w:tr>
      <w:tr w14:paraId="6B4C3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5ECA3B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123</w:t>
            </w:r>
          </w:p>
        </w:tc>
        <w:tc>
          <w:tcPr>
            <w:tcW w:w="1615" w:type="dxa"/>
            <w:vAlign w:val="center"/>
          </w:tcPr>
          <w:p w14:paraId="4D6927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  <w:tc>
          <w:tcPr>
            <w:tcW w:w="1615" w:type="dxa"/>
            <w:vAlign w:val="center"/>
          </w:tcPr>
          <w:p w14:paraId="1D6CC5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498.95</w:t>
            </w:r>
          </w:p>
        </w:tc>
        <w:tc>
          <w:tcPr>
            <w:tcW w:w="1615" w:type="dxa"/>
            <w:vAlign w:val="center"/>
          </w:tcPr>
          <w:p w14:paraId="785681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w="1615" w:type="dxa"/>
            <w:vAlign w:val="center"/>
          </w:tcPr>
          <w:p w14:paraId="282237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15</w:t>
            </w:r>
          </w:p>
        </w:tc>
        <w:tc>
          <w:tcPr>
            <w:tcW w:w="1615" w:type="dxa"/>
            <w:vAlign w:val="center"/>
          </w:tcPr>
          <w:p w14:paraId="6F348E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2400</w:t>
            </w:r>
          </w:p>
        </w:tc>
      </w:tr>
    </w:tbl>
    <w:p w14:paraId="196DAD9A"/>
    <w:p w14:paraId="11B22567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Таким образом, полученные результаты подтверждают воспроизводимость метода на выбранной задаче.</w:t>
      </w:r>
    </w:p>
    <w:p w14:paraId="517511F5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45019A11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7. Сравнение с базовым методом Random Search</w:t>
      </w:r>
    </w:p>
    <w:p w14:paraId="64A55D8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Для базового сравнения был реализован метод Random Search с тем же вычислительным бюджетом. В отличие от WANN, Random Search не использует наследование и отбор удачных структур: на каждом поколении популяция фактически генерируется заново. Результаты сравнения показаны на рисунке 3.</w:t>
      </w:r>
    </w:p>
    <w:p w14:paraId="3569D5CB">
      <w:pPr>
        <w:jc w:val="center"/>
      </w:pPr>
      <w:r>
        <w:drawing>
          <wp:inline distT="0" distB="0" distL="114300" distR="114300">
            <wp:extent cx="5579745" cy="4801870"/>
            <wp:effectExtent l="0" t="0" r="190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0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2E88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3 — Сравнение WANN и Random Search.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591"/>
        <w:gridCol w:w="1588"/>
        <w:gridCol w:w="1589"/>
        <w:gridCol w:w="1606"/>
        <w:gridCol w:w="1605"/>
      </w:tblGrid>
      <w:tr w14:paraId="3948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186F95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Метод</w:t>
            </w:r>
          </w:p>
        </w:tc>
        <w:tc>
          <w:tcPr>
            <w:tcW w:w="1615" w:type="dxa"/>
            <w:vAlign w:val="center"/>
          </w:tcPr>
          <w:p w14:paraId="785026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Best Mean Reward</w:t>
            </w:r>
          </w:p>
        </w:tc>
        <w:tc>
          <w:tcPr>
            <w:tcW w:w="1615" w:type="dxa"/>
            <w:vAlign w:val="center"/>
          </w:tcPr>
          <w:p w14:paraId="642CCE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Best Fitness</w:t>
            </w:r>
          </w:p>
        </w:tc>
        <w:tc>
          <w:tcPr>
            <w:tcW w:w="1615" w:type="dxa"/>
            <w:vAlign w:val="center"/>
          </w:tcPr>
          <w:p w14:paraId="488A53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Hidden Nodes</w:t>
            </w:r>
          </w:p>
        </w:tc>
        <w:tc>
          <w:tcPr>
            <w:tcW w:w="1615" w:type="dxa"/>
            <w:vAlign w:val="center"/>
          </w:tcPr>
          <w:p w14:paraId="2AB4C6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Connections</w:t>
            </w:r>
          </w:p>
        </w:tc>
        <w:tc>
          <w:tcPr>
            <w:tcW w:w="1615" w:type="dxa"/>
            <w:vAlign w:val="center"/>
          </w:tcPr>
          <w:p w14:paraId="24B1E1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Fitness Evaluations</w:t>
            </w:r>
          </w:p>
        </w:tc>
      </w:tr>
      <w:tr w14:paraId="590F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69E1AC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WANN</w:t>
            </w:r>
          </w:p>
        </w:tc>
        <w:tc>
          <w:tcPr>
            <w:tcW w:w="1615" w:type="dxa"/>
            <w:vAlign w:val="center"/>
          </w:tcPr>
          <w:p w14:paraId="5B3393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  <w:tc>
          <w:tcPr>
            <w:tcW w:w="1615" w:type="dxa"/>
            <w:vAlign w:val="center"/>
          </w:tcPr>
          <w:p w14:paraId="3F9A4A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499.00</w:t>
            </w:r>
          </w:p>
        </w:tc>
        <w:tc>
          <w:tcPr>
            <w:tcW w:w="1615" w:type="dxa"/>
            <w:vAlign w:val="center"/>
          </w:tcPr>
          <w:p w14:paraId="3B55D12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w="1615" w:type="dxa"/>
            <w:vAlign w:val="center"/>
          </w:tcPr>
          <w:p w14:paraId="296FF1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w="1615" w:type="dxa"/>
            <w:vAlign w:val="center"/>
          </w:tcPr>
          <w:p w14:paraId="169C45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2400</w:t>
            </w:r>
          </w:p>
        </w:tc>
      </w:tr>
      <w:tr w14:paraId="3CB96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08F042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Random Search</w:t>
            </w:r>
          </w:p>
        </w:tc>
        <w:tc>
          <w:tcPr>
            <w:tcW w:w="1615" w:type="dxa"/>
            <w:vAlign w:val="center"/>
          </w:tcPr>
          <w:p w14:paraId="14287E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259.33</w:t>
            </w:r>
          </w:p>
        </w:tc>
        <w:tc>
          <w:tcPr>
            <w:tcW w:w="1615" w:type="dxa"/>
            <w:vAlign w:val="center"/>
          </w:tcPr>
          <w:p w14:paraId="2CDD18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258.38</w:t>
            </w:r>
          </w:p>
        </w:tc>
        <w:tc>
          <w:tcPr>
            <w:tcW w:w="1615" w:type="dxa"/>
            <w:vAlign w:val="center"/>
          </w:tcPr>
          <w:p w14:paraId="0DA96E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w="1615" w:type="dxa"/>
            <w:vAlign w:val="center"/>
          </w:tcPr>
          <w:p w14:paraId="4956A2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15</w:t>
            </w:r>
          </w:p>
        </w:tc>
        <w:tc>
          <w:tcPr>
            <w:tcW w:w="1615" w:type="dxa"/>
            <w:vAlign w:val="center"/>
          </w:tcPr>
          <w:p w14:paraId="49CE4D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2400</w:t>
            </w:r>
          </w:p>
        </w:tc>
      </w:tr>
    </w:tbl>
    <w:p w14:paraId="14B39E5C"/>
    <w:p w14:paraId="525A923E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WANN существенно превзошёл базовый метод: при одинаковом вычислительном бюджете Random Search достиг только 259.33 балла. Это показывает, что эволюционный отбор и наследование структуры действительно играют ключевую роль.</w:t>
      </w:r>
    </w:p>
    <w:p w14:paraId="72F139B7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25FA9FA4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8. Абляционное исследование</w:t>
      </w:r>
    </w:p>
    <w:p w14:paraId="3846CB12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val="ru-RU" w:eastAsia="zh-CN"/>
        </w:rPr>
        <w:t xml:space="preserve">В абляционном эксперименте из полного алгоритма была исключена мутация функций активации скрытых узлов. Это позволило оценить важность данного механизма. Полученные результаты приведены на рисунке </w:t>
      </w: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4.</w:t>
      </w:r>
    </w:p>
    <w:p w14:paraId="4B607B28">
      <w:pPr>
        <w:jc w:val="center"/>
      </w:pPr>
      <w:r>
        <w:drawing>
          <wp:inline distT="0" distB="0" distL="114300" distR="114300">
            <wp:extent cx="5579745" cy="5179060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DECC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4 — Абляционный эксперимент: отключение мутации активации.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1590"/>
        <w:gridCol w:w="1587"/>
        <w:gridCol w:w="1588"/>
        <w:gridCol w:w="1606"/>
        <w:gridCol w:w="1604"/>
      </w:tblGrid>
      <w:tr w14:paraId="1978A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1A0F7E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Метод</w:t>
            </w:r>
          </w:p>
        </w:tc>
        <w:tc>
          <w:tcPr>
            <w:tcW w:w="1615" w:type="dxa"/>
            <w:vAlign w:val="center"/>
          </w:tcPr>
          <w:p w14:paraId="431510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Best Mean Reward</w:t>
            </w:r>
          </w:p>
        </w:tc>
        <w:tc>
          <w:tcPr>
            <w:tcW w:w="1615" w:type="dxa"/>
            <w:vAlign w:val="center"/>
          </w:tcPr>
          <w:p w14:paraId="3DC89F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Best Fitness</w:t>
            </w:r>
          </w:p>
        </w:tc>
        <w:tc>
          <w:tcPr>
            <w:tcW w:w="1615" w:type="dxa"/>
            <w:vAlign w:val="center"/>
          </w:tcPr>
          <w:p w14:paraId="5A872E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Hidden Nodes</w:t>
            </w:r>
          </w:p>
        </w:tc>
        <w:tc>
          <w:tcPr>
            <w:tcW w:w="1615" w:type="dxa"/>
            <w:vAlign w:val="center"/>
          </w:tcPr>
          <w:p w14:paraId="4D9B96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Connections</w:t>
            </w:r>
          </w:p>
        </w:tc>
        <w:tc>
          <w:tcPr>
            <w:tcW w:w="1615" w:type="dxa"/>
            <w:vAlign w:val="center"/>
          </w:tcPr>
          <w:p w14:paraId="235A537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Fitness Evaluations</w:t>
            </w:r>
          </w:p>
        </w:tc>
      </w:tr>
      <w:tr w14:paraId="46246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60D2E0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WANN</w:t>
            </w:r>
          </w:p>
        </w:tc>
        <w:tc>
          <w:tcPr>
            <w:tcW w:w="1615" w:type="dxa"/>
            <w:vAlign w:val="center"/>
          </w:tcPr>
          <w:p w14:paraId="2D7FEF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  <w:tc>
          <w:tcPr>
            <w:tcW w:w="1615" w:type="dxa"/>
            <w:vAlign w:val="center"/>
          </w:tcPr>
          <w:p w14:paraId="463EFFA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499.00</w:t>
            </w:r>
          </w:p>
        </w:tc>
        <w:tc>
          <w:tcPr>
            <w:tcW w:w="1615" w:type="dxa"/>
            <w:vAlign w:val="center"/>
          </w:tcPr>
          <w:p w14:paraId="211CAC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w="1615" w:type="dxa"/>
            <w:vAlign w:val="center"/>
          </w:tcPr>
          <w:p w14:paraId="2688C2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w="1615" w:type="dxa"/>
            <w:vAlign w:val="center"/>
          </w:tcPr>
          <w:p w14:paraId="536EA1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2400</w:t>
            </w:r>
          </w:p>
        </w:tc>
      </w:tr>
      <w:tr w14:paraId="39A55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000864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No activation mutation</w:t>
            </w:r>
          </w:p>
        </w:tc>
        <w:tc>
          <w:tcPr>
            <w:tcW w:w="1615" w:type="dxa"/>
            <w:vAlign w:val="center"/>
          </w:tcPr>
          <w:p w14:paraId="2083A4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276.33</w:t>
            </w:r>
          </w:p>
        </w:tc>
        <w:tc>
          <w:tcPr>
            <w:tcW w:w="1615" w:type="dxa"/>
            <w:vAlign w:val="center"/>
          </w:tcPr>
          <w:p w14:paraId="2E665B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274.63</w:t>
            </w:r>
          </w:p>
        </w:tc>
        <w:tc>
          <w:tcPr>
            <w:tcW w:w="1615" w:type="dxa"/>
            <w:vAlign w:val="center"/>
          </w:tcPr>
          <w:p w14:paraId="25FFE6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w="1615" w:type="dxa"/>
            <w:vAlign w:val="center"/>
          </w:tcPr>
          <w:p w14:paraId="205163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22</w:t>
            </w:r>
          </w:p>
        </w:tc>
        <w:tc>
          <w:tcPr>
            <w:tcW w:w="1615" w:type="dxa"/>
            <w:vAlign w:val="center"/>
          </w:tcPr>
          <w:p w14:paraId="2F551E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2400</w:t>
            </w:r>
          </w:p>
        </w:tc>
      </w:tr>
    </w:tbl>
    <w:p w14:paraId="7402971B"/>
    <w:p w14:paraId="6C71C546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После отключения мутации активации качество резко снизилось, а структура сети стала более сложной. Следовательно, изменение функций активации является важным механизмом WANN, позволяющим находить одновременно эффективные и компактные архитектуры.</w:t>
      </w:r>
    </w:p>
    <w:p w14:paraId="06EA4A00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46C1F2D8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9. Гиперпараметрические эксперименты</w:t>
      </w:r>
    </w:p>
    <w:p w14:paraId="60CEEDBF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Для анализа чувствительности алгоритма к настройкам были проведены два гиперпараметрических эксперимента: изменение размера популяции и изменение вероятностей мутации.</w:t>
      </w:r>
    </w:p>
    <w:p w14:paraId="07EC078F">
      <w:pPr>
        <w:spacing w:line="276" w:lineRule="auto"/>
        <w:jc w:val="both"/>
      </w:pPr>
      <w:r>
        <w:rPr>
          <w:rFonts w:ascii="Times New Roman" w:hAnsi="Times New Roman" w:eastAsia="Times New Roman"/>
          <w:sz w:val="28"/>
        </w:rPr>
        <w:t>9.1. Изменение размера популяции</w:t>
      </w:r>
    </w:p>
    <w:p w14:paraId="492189D9">
      <w:pPr>
        <w:jc w:val="center"/>
      </w:pPr>
      <w:r>
        <w:drawing>
          <wp:inline distT="0" distB="0" distL="114300" distR="114300">
            <wp:extent cx="5579745" cy="5120005"/>
            <wp:effectExtent l="0" t="0" r="190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2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A691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5 — Сравнение настроек population size = 40 и population size = 20.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589"/>
        <w:gridCol w:w="1585"/>
        <w:gridCol w:w="1587"/>
        <w:gridCol w:w="1605"/>
        <w:gridCol w:w="1604"/>
      </w:tblGrid>
      <w:tr w14:paraId="78D9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15EE4D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Population Size</w:t>
            </w:r>
          </w:p>
        </w:tc>
        <w:tc>
          <w:tcPr>
            <w:tcW w:w="1615" w:type="dxa"/>
            <w:vAlign w:val="center"/>
          </w:tcPr>
          <w:p w14:paraId="1410E35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Best Mean Reward</w:t>
            </w:r>
          </w:p>
        </w:tc>
        <w:tc>
          <w:tcPr>
            <w:tcW w:w="1615" w:type="dxa"/>
            <w:vAlign w:val="center"/>
          </w:tcPr>
          <w:p w14:paraId="2C09DB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Best Fitness</w:t>
            </w:r>
          </w:p>
        </w:tc>
        <w:tc>
          <w:tcPr>
            <w:tcW w:w="1615" w:type="dxa"/>
            <w:vAlign w:val="center"/>
          </w:tcPr>
          <w:p w14:paraId="74E72D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Hidden Nodes</w:t>
            </w:r>
          </w:p>
        </w:tc>
        <w:tc>
          <w:tcPr>
            <w:tcW w:w="1615" w:type="dxa"/>
            <w:vAlign w:val="center"/>
          </w:tcPr>
          <w:p w14:paraId="7E3BEC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Connections</w:t>
            </w:r>
          </w:p>
        </w:tc>
        <w:tc>
          <w:tcPr>
            <w:tcW w:w="1615" w:type="dxa"/>
            <w:vAlign w:val="center"/>
          </w:tcPr>
          <w:p w14:paraId="10F050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Fitness Evaluations</w:t>
            </w:r>
          </w:p>
        </w:tc>
      </w:tr>
      <w:tr w14:paraId="04B1A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1F22B9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40</w:t>
            </w:r>
          </w:p>
        </w:tc>
        <w:tc>
          <w:tcPr>
            <w:tcW w:w="1615" w:type="dxa"/>
            <w:vAlign w:val="center"/>
          </w:tcPr>
          <w:p w14:paraId="52FD38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  <w:tc>
          <w:tcPr>
            <w:tcW w:w="1615" w:type="dxa"/>
            <w:vAlign w:val="center"/>
          </w:tcPr>
          <w:p w14:paraId="135316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499.00</w:t>
            </w:r>
          </w:p>
        </w:tc>
        <w:tc>
          <w:tcPr>
            <w:tcW w:w="1615" w:type="dxa"/>
            <w:vAlign w:val="center"/>
          </w:tcPr>
          <w:p w14:paraId="1EEC95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w="1615" w:type="dxa"/>
            <w:vAlign w:val="center"/>
          </w:tcPr>
          <w:p w14:paraId="78BF2C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w="1615" w:type="dxa"/>
            <w:vAlign w:val="center"/>
          </w:tcPr>
          <w:p w14:paraId="5F0170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2400</w:t>
            </w:r>
          </w:p>
        </w:tc>
      </w:tr>
      <w:tr w14:paraId="48BE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2B980C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w="1615" w:type="dxa"/>
            <w:vAlign w:val="center"/>
          </w:tcPr>
          <w:p w14:paraId="60881D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273.72</w:t>
            </w:r>
          </w:p>
        </w:tc>
        <w:tc>
          <w:tcPr>
            <w:tcW w:w="1615" w:type="dxa"/>
            <w:vAlign w:val="center"/>
          </w:tcPr>
          <w:p w14:paraId="227BFC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272.57</w:t>
            </w:r>
          </w:p>
        </w:tc>
        <w:tc>
          <w:tcPr>
            <w:tcW w:w="1615" w:type="dxa"/>
            <w:vAlign w:val="center"/>
          </w:tcPr>
          <w:p w14:paraId="092B7F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w="1615" w:type="dxa"/>
            <w:vAlign w:val="center"/>
          </w:tcPr>
          <w:p w14:paraId="40E955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17</w:t>
            </w:r>
          </w:p>
        </w:tc>
        <w:tc>
          <w:tcPr>
            <w:tcW w:w="1615" w:type="dxa"/>
            <w:vAlign w:val="center"/>
          </w:tcPr>
          <w:p w14:paraId="54C91F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1200</w:t>
            </w:r>
          </w:p>
        </w:tc>
      </w:tr>
    </w:tbl>
    <w:p w14:paraId="518ADA16"/>
    <w:p w14:paraId="0B8C8440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Уменьшение размера популяции до 20 резко ухудшило качество поиска. Это означает, что слишком маленькая популяция ограничивает структурное разнообразие и уменьшает эффективность эволюции.</w:t>
      </w:r>
    </w:p>
    <w:p w14:paraId="57D44731">
      <w:pPr>
        <w:spacing w:line="276" w:lineRule="auto"/>
        <w:jc w:val="both"/>
      </w:pPr>
      <w:r>
        <w:rPr>
          <w:rFonts w:ascii="Times New Roman" w:hAnsi="Times New Roman" w:eastAsia="Times New Roman"/>
          <w:sz w:val="28"/>
        </w:rPr>
        <w:t>9.2. Изменение вероятностей мутации</w:t>
      </w:r>
    </w:p>
    <w:p w14:paraId="1408E518">
      <w:pPr>
        <w:jc w:val="center"/>
      </w:pPr>
      <w:r>
        <w:drawing>
          <wp:inline distT="0" distB="0" distL="114300" distR="114300">
            <wp:extent cx="5579745" cy="3963670"/>
            <wp:effectExtent l="0" t="0" r="1905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5066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6 — Сравнение стандартной и повышенной вероятности мутации.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1579"/>
        <w:gridCol w:w="1602"/>
        <w:gridCol w:w="1599"/>
        <w:gridCol w:w="1589"/>
        <w:gridCol w:w="1606"/>
      </w:tblGrid>
      <w:tr w14:paraId="7016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7AB738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Mutation Setting</w:t>
            </w:r>
          </w:p>
        </w:tc>
        <w:tc>
          <w:tcPr>
            <w:tcW w:w="1615" w:type="dxa"/>
            <w:vAlign w:val="center"/>
          </w:tcPr>
          <w:p w14:paraId="75D5BA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Add Node Prob</w:t>
            </w:r>
          </w:p>
        </w:tc>
        <w:tc>
          <w:tcPr>
            <w:tcW w:w="1615" w:type="dxa"/>
            <w:vAlign w:val="center"/>
          </w:tcPr>
          <w:p w14:paraId="54AC14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Add Connection Prob</w:t>
            </w:r>
          </w:p>
        </w:tc>
        <w:tc>
          <w:tcPr>
            <w:tcW w:w="1615" w:type="dxa"/>
            <w:vAlign w:val="center"/>
          </w:tcPr>
          <w:p w14:paraId="389013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Activation Mutation Prob</w:t>
            </w:r>
          </w:p>
        </w:tc>
        <w:tc>
          <w:tcPr>
            <w:tcW w:w="1615" w:type="dxa"/>
            <w:vAlign w:val="center"/>
          </w:tcPr>
          <w:p w14:paraId="69C051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Best Mean Reward</w:t>
            </w:r>
          </w:p>
        </w:tc>
        <w:tc>
          <w:tcPr>
            <w:tcW w:w="1615" w:type="dxa"/>
            <w:vAlign w:val="center"/>
          </w:tcPr>
          <w:p w14:paraId="52658A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Connections</w:t>
            </w:r>
          </w:p>
        </w:tc>
      </w:tr>
      <w:tr w14:paraId="67B16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354502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Default</w:t>
            </w:r>
          </w:p>
        </w:tc>
        <w:tc>
          <w:tcPr>
            <w:tcW w:w="1615" w:type="dxa"/>
            <w:vAlign w:val="center"/>
          </w:tcPr>
          <w:p w14:paraId="5E6ADFA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0.10</w:t>
            </w:r>
          </w:p>
        </w:tc>
        <w:tc>
          <w:tcPr>
            <w:tcW w:w="1615" w:type="dxa"/>
            <w:vAlign w:val="center"/>
          </w:tcPr>
          <w:p w14:paraId="6CD230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0.25</w:t>
            </w:r>
          </w:p>
        </w:tc>
        <w:tc>
          <w:tcPr>
            <w:tcW w:w="1615" w:type="dxa"/>
            <w:vAlign w:val="center"/>
          </w:tcPr>
          <w:p w14:paraId="552C51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0.20</w:t>
            </w:r>
          </w:p>
        </w:tc>
        <w:tc>
          <w:tcPr>
            <w:tcW w:w="1615" w:type="dxa"/>
            <w:vAlign w:val="center"/>
          </w:tcPr>
          <w:p w14:paraId="50A18B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  <w:tc>
          <w:tcPr>
            <w:tcW w:w="1615" w:type="dxa"/>
            <w:vAlign w:val="center"/>
          </w:tcPr>
          <w:p w14:paraId="5A82C4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</w:tr>
      <w:tr w14:paraId="0CDC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vAlign w:val="center"/>
          </w:tcPr>
          <w:p w14:paraId="1AC5915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High</w:t>
            </w:r>
          </w:p>
        </w:tc>
        <w:tc>
          <w:tcPr>
            <w:tcW w:w="1615" w:type="dxa"/>
            <w:vAlign w:val="center"/>
          </w:tcPr>
          <w:p w14:paraId="4DEBFC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0.20</w:t>
            </w:r>
          </w:p>
        </w:tc>
        <w:tc>
          <w:tcPr>
            <w:tcW w:w="1615" w:type="dxa"/>
            <w:vAlign w:val="center"/>
          </w:tcPr>
          <w:p w14:paraId="17FF91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0.45</w:t>
            </w:r>
          </w:p>
        </w:tc>
        <w:tc>
          <w:tcPr>
            <w:tcW w:w="1615" w:type="dxa"/>
            <w:vAlign w:val="center"/>
          </w:tcPr>
          <w:p w14:paraId="47FCDE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0.35</w:t>
            </w:r>
          </w:p>
        </w:tc>
        <w:tc>
          <w:tcPr>
            <w:tcW w:w="1615" w:type="dxa"/>
            <w:vAlign w:val="center"/>
          </w:tcPr>
          <w:p w14:paraId="623016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  <w:tc>
          <w:tcPr>
            <w:tcW w:w="1615" w:type="dxa"/>
            <w:vAlign w:val="center"/>
          </w:tcPr>
          <w:p w14:paraId="546144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15</w:t>
            </w:r>
          </w:p>
        </w:tc>
      </w:tr>
    </w:tbl>
    <w:p w14:paraId="361D98B1"/>
    <w:p w14:paraId="7EF62E6B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Обе настройки позволили достичь максимального результата 500.0, однако стандартный режим мутации сходился быстрее и давал немного более простую структуру. Следовательно, слишком высокая вероятность мутаций не дала преимущества на данной задаче.</w:t>
      </w:r>
    </w:p>
    <w:p w14:paraId="486D170C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4485E53C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10. Проверка устойчивости решения</w:t>
      </w:r>
    </w:p>
    <w:p w14:paraId="7C2CAF70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Для оценки устойчивости лучшая сеть была протестирована в модифицированной среде, где к наблюдениям добавлялся гауссов шум. Были рассмотрены три условия: базовая среда, шум с стандартным отклонением 0.05 и шум с стандартным отклонением 0.10.</w:t>
      </w:r>
    </w:p>
    <w:p w14:paraId="0591C7A7">
      <w:pPr>
        <w:jc w:val="center"/>
      </w:pPr>
      <w:r>
        <w:drawing>
          <wp:inline distT="0" distB="0" distL="114300" distR="114300">
            <wp:extent cx="5471795" cy="1257300"/>
            <wp:effectExtent l="0" t="0" r="1460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25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A788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7 — Таблица результатов теста устойчивости.</w:t>
      </w:r>
    </w:p>
    <w:p w14:paraId="43766C8A">
      <w:pPr>
        <w:jc w:val="center"/>
      </w:pPr>
      <w:r>
        <w:drawing>
          <wp:inline distT="0" distB="0" distL="114300" distR="114300">
            <wp:extent cx="5219700" cy="2740025"/>
            <wp:effectExtent l="0" t="0" r="0" b="317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0DAE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8 — Boxplot результатов при различных уровнях шума наблюдений.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1912"/>
        <w:gridCol w:w="1912"/>
        <w:gridCol w:w="1912"/>
        <w:gridCol w:w="1912"/>
      </w:tblGrid>
      <w:tr w14:paraId="5CC41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5A2790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Условие</w:t>
            </w:r>
          </w:p>
        </w:tc>
        <w:tc>
          <w:tcPr>
            <w:tcW w:w="1938" w:type="dxa"/>
            <w:vAlign w:val="center"/>
          </w:tcPr>
          <w:p w14:paraId="2FDB54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Mean Reward</w:t>
            </w:r>
          </w:p>
        </w:tc>
        <w:tc>
          <w:tcPr>
            <w:tcW w:w="1938" w:type="dxa"/>
            <w:vAlign w:val="center"/>
          </w:tcPr>
          <w:p w14:paraId="352341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Std Reward</w:t>
            </w:r>
          </w:p>
        </w:tc>
        <w:tc>
          <w:tcPr>
            <w:tcW w:w="1938" w:type="dxa"/>
            <w:vAlign w:val="center"/>
          </w:tcPr>
          <w:p w14:paraId="12C68E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Min Reward</w:t>
            </w:r>
          </w:p>
        </w:tc>
        <w:tc>
          <w:tcPr>
            <w:tcW w:w="1938" w:type="dxa"/>
            <w:vAlign w:val="center"/>
          </w:tcPr>
          <w:p w14:paraId="47B57D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Max Reward</w:t>
            </w:r>
          </w:p>
        </w:tc>
      </w:tr>
      <w:tr w14:paraId="2441C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0781A5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Base environment</w:t>
            </w:r>
          </w:p>
        </w:tc>
        <w:tc>
          <w:tcPr>
            <w:tcW w:w="1938" w:type="dxa"/>
            <w:vAlign w:val="center"/>
          </w:tcPr>
          <w:p w14:paraId="49A778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500.00</w:t>
            </w:r>
          </w:p>
        </w:tc>
        <w:tc>
          <w:tcPr>
            <w:tcW w:w="1938" w:type="dxa"/>
            <w:vAlign w:val="center"/>
          </w:tcPr>
          <w:p w14:paraId="0BABFE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0.00</w:t>
            </w:r>
          </w:p>
        </w:tc>
        <w:tc>
          <w:tcPr>
            <w:tcW w:w="1938" w:type="dxa"/>
            <w:vAlign w:val="center"/>
          </w:tcPr>
          <w:p w14:paraId="0A4AAE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  <w:tc>
          <w:tcPr>
            <w:tcW w:w="1938" w:type="dxa"/>
            <w:vAlign w:val="center"/>
          </w:tcPr>
          <w:p w14:paraId="381E9C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</w:tr>
      <w:tr w14:paraId="64C2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3E658F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Observation noise std=0.05</w:t>
            </w:r>
          </w:p>
        </w:tc>
        <w:tc>
          <w:tcPr>
            <w:tcW w:w="1938" w:type="dxa"/>
            <w:vAlign w:val="center"/>
          </w:tcPr>
          <w:p w14:paraId="0C0ECF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498.09</w:t>
            </w:r>
          </w:p>
        </w:tc>
        <w:tc>
          <w:tcPr>
            <w:tcW w:w="1938" w:type="dxa"/>
            <w:vAlign w:val="center"/>
          </w:tcPr>
          <w:p w14:paraId="7C6AC4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19.00</w:t>
            </w:r>
          </w:p>
        </w:tc>
        <w:tc>
          <w:tcPr>
            <w:tcW w:w="1938" w:type="dxa"/>
            <w:vAlign w:val="center"/>
          </w:tcPr>
          <w:p w14:paraId="0597CE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309.0</w:t>
            </w:r>
          </w:p>
        </w:tc>
        <w:tc>
          <w:tcPr>
            <w:tcW w:w="1938" w:type="dxa"/>
            <w:vAlign w:val="center"/>
          </w:tcPr>
          <w:p w14:paraId="3A3DC7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</w:tr>
      <w:tr w14:paraId="18C30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397069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Observation noise std=0.10</w:t>
            </w:r>
          </w:p>
        </w:tc>
        <w:tc>
          <w:tcPr>
            <w:tcW w:w="1938" w:type="dxa"/>
            <w:vAlign w:val="center"/>
          </w:tcPr>
          <w:p w14:paraId="132D6A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187.41</w:t>
            </w:r>
          </w:p>
        </w:tc>
        <w:tc>
          <w:tcPr>
            <w:tcW w:w="1938" w:type="dxa"/>
            <w:vAlign w:val="center"/>
          </w:tcPr>
          <w:p w14:paraId="034EC7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107.44</w:t>
            </w:r>
          </w:p>
        </w:tc>
        <w:tc>
          <w:tcPr>
            <w:tcW w:w="1938" w:type="dxa"/>
            <w:vAlign w:val="center"/>
          </w:tcPr>
          <w:p w14:paraId="1B17EA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54.0</w:t>
            </w:r>
          </w:p>
        </w:tc>
        <w:tc>
          <w:tcPr>
            <w:tcW w:w="1938" w:type="dxa"/>
            <w:vAlign w:val="center"/>
          </w:tcPr>
          <w:p w14:paraId="231BDD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500.0</w:t>
            </w:r>
          </w:p>
        </w:tc>
      </w:tr>
    </w:tbl>
    <w:p w14:paraId="69C489A0"/>
    <w:p w14:paraId="54ECB4B9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При небольшом шуме (std = 0.05) агент практически не потерял качество. Однако при более сильном шуме (std = 0.10) средний reward заметно снизился. Это показывает, что найденная структура устойчива к малым искажениям входных данных, но чувствительна к сильному шуму.</w:t>
      </w:r>
    </w:p>
    <w:p w14:paraId="49B04053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26C16F0F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11. Визуализация и сохранение лучшей структуры</w:t>
      </w:r>
    </w:p>
    <w:p w14:paraId="68F78C38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На рисунках 9 и 10 показаны структура лучшей сети до и после загрузки из файла. Сеть содержит 4 входных узла, 3 скрытых узла и 2 выходных узла. Число связей равно 14. Для скрытых узлов были выбраны функции активации sin и linear.</w:t>
      </w:r>
    </w:p>
    <w:p w14:paraId="47EED202">
      <w:pPr>
        <w:jc w:val="center"/>
      </w:pPr>
      <w:r>
        <w:drawing>
          <wp:inline distT="0" distB="0" distL="114300" distR="114300">
            <wp:extent cx="5687695" cy="2335530"/>
            <wp:effectExtent l="0" t="0" r="8255" b="762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7217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9 — Лучшая найденная структура WANN.</w:t>
      </w:r>
    </w:p>
    <w:p w14:paraId="1C334045">
      <w:pPr>
        <w:jc w:val="center"/>
      </w:pPr>
      <w:r>
        <w:drawing>
          <wp:inline distT="0" distB="0" distL="114300" distR="114300">
            <wp:extent cx="5687695" cy="3310890"/>
            <wp:effectExtent l="0" t="0" r="8255" b="381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7AE5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10 — Загруженная из файла структура WANN.</w:t>
      </w:r>
    </w:p>
    <w:p w14:paraId="11D598C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После загрузки структура не изменилась. Повторное тестирование загруженной сети показало mean reward = 500.0, std reward = 0.0, hidden nodes = 3 и connections = 14. Это подтверждает корректность реализованного механизма сохранения и загрузки модели.</w:t>
      </w:r>
    </w:p>
    <w:p w14:paraId="5C3A9B62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3A1DB2D5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12. Анализ неудачных режимов работы</w:t>
      </w:r>
    </w:p>
    <w:p w14:paraId="076EC7C9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 xml:space="preserve">Для полноты исследования были собраны примеры неудачных или </w:t>
      </w:r>
      <w:r>
        <w:rPr>
          <w:rFonts w:ascii="Times New Roman" w:hAnsi="Times New Roman" w:cs="Times New Roman" w:eastAsiaTheme="minorEastAsia"/>
          <w:sz w:val="28"/>
          <w:szCs w:val="28"/>
          <w:lang w:val="ru-RU" w:eastAsia="zh-CN"/>
        </w:rPr>
        <w:t>деградированных режимов работы алгоритма. К ним относятся: Random Search без эволюционного отбора, WANN без мутации активации и WANN с уменьшенной популяцией. Их суммарное сравнение показано на рисунках 11 и 12.</w:t>
      </w:r>
    </w:p>
    <w:p w14:paraId="41C32364">
      <w:pPr>
        <w:jc w:val="center"/>
      </w:pPr>
      <w:r>
        <w:drawing>
          <wp:inline distT="0" distB="0" distL="114300" distR="114300">
            <wp:extent cx="5579745" cy="846455"/>
            <wp:effectExtent l="0" t="0" r="1905" b="1079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4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CE35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11 — Сводная таблица неудачных режимов работы.</w:t>
      </w:r>
    </w:p>
    <w:p w14:paraId="0B9350AB">
      <w:pPr>
        <w:jc w:val="center"/>
      </w:pPr>
      <w:r>
        <w:drawing>
          <wp:inline distT="0" distB="0" distL="114300" distR="114300">
            <wp:extent cx="4859655" cy="3156585"/>
            <wp:effectExtent l="0" t="0" r="17145" b="571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5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0EAF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12 — Сравнение неудачных режимов работы с полным WANN.</w:t>
      </w:r>
    </w:p>
    <w:p w14:paraId="37137B2A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Во всех трёх случаях итоговое качество оказалось существенно ниже полного WANN. Это подтверждает, что и механизм активационной мутации, и достаточный размер популяции, и сам эволюционный отбор являются принципиально важными частями алгоритма.</w:t>
      </w:r>
    </w:p>
    <w:p w14:paraId="2DBCF3ED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p w14:paraId="2D7CA64C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13. Итоговая сводка результатов</w:t>
      </w:r>
    </w:p>
    <w:p w14:paraId="3EADEF9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Итоговые результаты всех основных экспериментов представлены на рисунке 13. Дополнительно были сохранены CSV-журналы обучения и Excel-файл с таблицами результатов.</w:t>
      </w:r>
    </w:p>
    <w:p w14:paraId="29E5ABA3">
      <w:pPr>
        <w:jc w:val="center"/>
      </w:pPr>
      <w:r>
        <w:drawing>
          <wp:inline distT="0" distB="0" distL="114300" distR="114300">
            <wp:extent cx="5579745" cy="2012950"/>
            <wp:effectExtent l="0" t="0" r="1905" b="635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7377">
      <w:pPr>
        <w:spacing w:before="0"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13 — Итоговая сводная таблица основных экспериментов.</w:t>
      </w:r>
    </w:p>
    <w:p w14:paraId="7BD50C0D">
      <w:pPr>
        <w:jc w:val="center"/>
      </w:pPr>
      <w:r>
        <w:drawing>
          <wp:inline distT="0" distB="0" distL="114300" distR="114300">
            <wp:extent cx="4499610" cy="2447925"/>
            <wp:effectExtent l="0" t="0" r="15240" b="952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4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E81C">
      <w:pPr>
        <w:spacing w:before="0" w:after="120"/>
        <w:jc w:val="center"/>
        <w:rPr>
          <w:rFonts w:ascii="Times New Roman" w:hAnsi="Times New Roman" w:eastAsia="Times New Roman"/>
          <w:b w:val="0"/>
          <w:bCs w:val="0"/>
          <w:i w:val="0"/>
          <w:iCs/>
          <w:sz w:val="28"/>
          <w:szCs w:val="28"/>
        </w:rPr>
      </w:pPr>
      <w:r>
        <w:rPr>
          <w:rFonts w:ascii="Times New Roman" w:hAnsi="Times New Roman" w:eastAsia="Times New Roman"/>
          <w:b w:val="0"/>
          <w:bCs w:val="0"/>
          <w:i w:val="0"/>
          <w:iCs/>
          <w:sz w:val="28"/>
          <w:szCs w:val="28"/>
        </w:rPr>
        <w:t>Рисунок 14 — Сохранение CSV-журналов и файлов результатов.</w:t>
      </w:r>
    </w:p>
    <w:p w14:paraId="345372D9">
      <w:pPr>
        <w:spacing w:before="0" w:after="120"/>
        <w:jc w:val="center"/>
        <w:rPr>
          <w:rFonts w:ascii="Times New Roman" w:hAnsi="Times New Roman" w:eastAsia="Times New Roman"/>
          <w:b w:val="0"/>
          <w:bCs w:val="0"/>
          <w:i w:val="0"/>
          <w:iCs/>
          <w:sz w:val="28"/>
          <w:szCs w:val="28"/>
        </w:rPr>
      </w:pPr>
    </w:p>
    <w:p w14:paraId="01EB4D3F">
      <w:pPr>
        <w:spacing w:before="120" w:after="120"/>
        <w:ind w:firstLine="0"/>
        <w:jc w:val="left"/>
        <w:rPr>
          <w:rFonts w:ascii="Times New Roman" w:hAnsi="Times New Roman" w:eastAsia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sz w:val="36"/>
          <w:szCs w:val="36"/>
        </w:rPr>
        <w:t>14. Вывод</w:t>
      </w:r>
    </w:p>
    <w:p w14:paraId="3DB9B23A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В ходе работы был успешно реализован нейроэволюционный агент WANN для решения задачи CartPole-v1. Основной запуск алгоритма достиг максимального среднего вознаграждения 500.0 и сформировал компактную структуру сети из 3 скрытых узлов и 14 связей. Два независимых запуска с различными seed подтвердили воспроизводимость результата.</w:t>
      </w:r>
    </w:p>
    <w:p w14:paraId="481A5023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Сравнение с Random Search показало явное превосходство WANN при одинаковом вычислительном бюджете. Абляционное исследование продемонстрировало важность мутации функций активации, а гиперпараметрические эксперименты показали, что слишком маленькая популяция ухудшает поиск, а избыточная мутация не даёт дополнительного выигрыша. Тест на устойчивость показал высокую стабильность при слабом шуме и заметное ухудшение при сильном шуме наблюдений.</w:t>
      </w:r>
    </w:p>
    <w:p w14:paraId="66AEC166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Таким образом, поставленная цель работы достигнута: реализован, исследован и проанализирован нейроэволюционный агент WANN, а также подтверждена работоспособность механизма сохранения и загрузки лучшей найденной структуры.</w:t>
      </w:r>
    </w:p>
    <w:p w14:paraId="184EBB25">
      <w:pPr>
        <w:spacing w:line="276" w:lineRule="auto"/>
        <w:ind w:firstLine="425"/>
        <w:jc w:val="both"/>
        <w:rPr>
          <w:rFonts w:ascii="Times New Roman" w:hAnsi="Times New Roman" w:eastAsia="Times New Roman"/>
          <w:sz w:val="28"/>
        </w:rPr>
      </w:pPr>
    </w:p>
    <w:p w14:paraId="7AD5441E">
      <w:pPr>
        <w:spacing w:after="60" w:line="240" w:lineRule="auto"/>
        <w:ind w:right="170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AB6"/>
    <w:rsid w:val="00012B4E"/>
    <w:rsid w:val="00023EFF"/>
    <w:rsid w:val="0004390F"/>
    <w:rsid w:val="000506EF"/>
    <w:rsid w:val="0006568E"/>
    <w:rsid w:val="0006774E"/>
    <w:rsid w:val="000A3E2A"/>
    <w:rsid w:val="000A6393"/>
    <w:rsid w:val="000A796C"/>
    <w:rsid w:val="000B0A30"/>
    <w:rsid w:val="000C69FE"/>
    <w:rsid w:val="000D22D3"/>
    <w:rsid w:val="000E3385"/>
    <w:rsid w:val="000E5B30"/>
    <w:rsid w:val="00110E3F"/>
    <w:rsid w:val="001133CE"/>
    <w:rsid w:val="00114D4C"/>
    <w:rsid w:val="00135FA8"/>
    <w:rsid w:val="00166851"/>
    <w:rsid w:val="00173FC5"/>
    <w:rsid w:val="001778DB"/>
    <w:rsid w:val="001A508E"/>
    <w:rsid w:val="001B5856"/>
    <w:rsid w:val="001B6A17"/>
    <w:rsid w:val="001C1852"/>
    <w:rsid w:val="001F0519"/>
    <w:rsid w:val="001F2125"/>
    <w:rsid w:val="001F5C75"/>
    <w:rsid w:val="001F6A2A"/>
    <w:rsid w:val="00204B9C"/>
    <w:rsid w:val="00225F01"/>
    <w:rsid w:val="002362DB"/>
    <w:rsid w:val="00241778"/>
    <w:rsid w:val="00245DC4"/>
    <w:rsid w:val="0025687C"/>
    <w:rsid w:val="00257415"/>
    <w:rsid w:val="002638E7"/>
    <w:rsid w:val="00270400"/>
    <w:rsid w:val="0028254D"/>
    <w:rsid w:val="002964EE"/>
    <w:rsid w:val="002B4AF1"/>
    <w:rsid w:val="002C1952"/>
    <w:rsid w:val="002E5DCC"/>
    <w:rsid w:val="00313A07"/>
    <w:rsid w:val="00314E2B"/>
    <w:rsid w:val="00321D12"/>
    <w:rsid w:val="00331169"/>
    <w:rsid w:val="00335C08"/>
    <w:rsid w:val="003468AA"/>
    <w:rsid w:val="00346D53"/>
    <w:rsid w:val="00371427"/>
    <w:rsid w:val="00390070"/>
    <w:rsid w:val="003912DD"/>
    <w:rsid w:val="003A3213"/>
    <w:rsid w:val="003C391D"/>
    <w:rsid w:val="003F05C3"/>
    <w:rsid w:val="003F4FFB"/>
    <w:rsid w:val="00410239"/>
    <w:rsid w:val="00410905"/>
    <w:rsid w:val="00422119"/>
    <w:rsid w:val="00426F7D"/>
    <w:rsid w:val="00430625"/>
    <w:rsid w:val="004344B8"/>
    <w:rsid w:val="00444D44"/>
    <w:rsid w:val="004453CB"/>
    <w:rsid w:val="00460FAC"/>
    <w:rsid w:val="004625C7"/>
    <w:rsid w:val="004814B3"/>
    <w:rsid w:val="00483FDC"/>
    <w:rsid w:val="0048581D"/>
    <w:rsid w:val="004C0311"/>
    <w:rsid w:val="004C0324"/>
    <w:rsid w:val="004F5584"/>
    <w:rsid w:val="004F64DF"/>
    <w:rsid w:val="005254DF"/>
    <w:rsid w:val="0053255F"/>
    <w:rsid w:val="00540586"/>
    <w:rsid w:val="005444FA"/>
    <w:rsid w:val="005560CC"/>
    <w:rsid w:val="00570C2E"/>
    <w:rsid w:val="00585258"/>
    <w:rsid w:val="00595724"/>
    <w:rsid w:val="005A75D8"/>
    <w:rsid w:val="005B1635"/>
    <w:rsid w:val="005C5014"/>
    <w:rsid w:val="005D56AD"/>
    <w:rsid w:val="005E6A3A"/>
    <w:rsid w:val="005F4F05"/>
    <w:rsid w:val="00600332"/>
    <w:rsid w:val="00610378"/>
    <w:rsid w:val="0061450F"/>
    <w:rsid w:val="00624F0C"/>
    <w:rsid w:val="00626ABA"/>
    <w:rsid w:val="006601C3"/>
    <w:rsid w:val="00674736"/>
    <w:rsid w:val="006A2144"/>
    <w:rsid w:val="006A636B"/>
    <w:rsid w:val="006B2148"/>
    <w:rsid w:val="006E4AC1"/>
    <w:rsid w:val="006F73DA"/>
    <w:rsid w:val="00704132"/>
    <w:rsid w:val="00716B01"/>
    <w:rsid w:val="007176B1"/>
    <w:rsid w:val="0074129E"/>
    <w:rsid w:val="00746E9F"/>
    <w:rsid w:val="00772A8B"/>
    <w:rsid w:val="00772BD6"/>
    <w:rsid w:val="00773C02"/>
    <w:rsid w:val="00773CD1"/>
    <w:rsid w:val="00780C5A"/>
    <w:rsid w:val="007C0890"/>
    <w:rsid w:val="00813A4D"/>
    <w:rsid w:val="00817D2D"/>
    <w:rsid w:val="008215FC"/>
    <w:rsid w:val="008306C0"/>
    <w:rsid w:val="00835E03"/>
    <w:rsid w:val="0085491B"/>
    <w:rsid w:val="0085581B"/>
    <w:rsid w:val="0086201D"/>
    <w:rsid w:val="00874AB6"/>
    <w:rsid w:val="00883E3B"/>
    <w:rsid w:val="00887A3F"/>
    <w:rsid w:val="00891081"/>
    <w:rsid w:val="00896A04"/>
    <w:rsid w:val="008B3F0F"/>
    <w:rsid w:val="008B5A82"/>
    <w:rsid w:val="008B6ABD"/>
    <w:rsid w:val="008C7A3E"/>
    <w:rsid w:val="008D2227"/>
    <w:rsid w:val="008E0B3E"/>
    <w:rsid w:val="00903A72"/>
    <w:rsid w:val="009242D8"/>
    <w:rsid w:val="0094005A"/>
    <w:rsid w:val="00971F5C"/>
    <w:rsid w:val="00977387"/>
    <w:rsid w:val="009876D5"/>
    <w:rsid w:val="009A1163"/>
    <w:rsid w:val="009A282D"/>
    <w:rsid w:val="009E5058"/>
    <w:rsid w:val="009E624E"/>
    <w:rsid w:val="009F0469"/>
    <w:rsid w:val="00A05457"/>
    <w:rsid w:val="00A07B7D"/>
    <w:rsid w:val="00A20B59"/>
    <w:rsid w:val="00A333F7"/>
    <w:rsid w:val="00A4635B"/>
    <w:rsid w:val="00A469AE"/>
    <w:rsid w:val="00A60C9C"/>
    <w:rsid w:val="00A65C41"/>
    <w:rsid w:val="00A675F9"/>
    <w:rsid w:val="00A71E95"/>
    <w:rsid w:val="00A84629"/>
    <w:rsid w:val="00A967A7"/>
    <w:rsid w:val="00AD491F"/>
    <w:rsid w:val="00AD7907"/>
    <w:rsid w:val="00AE197A"/>
    <w:rsid w:val="00AF45D4"/>
    <w:rsid w:val="00B07EDF"/>
    <w:rsid w:val="00B12AC3"/>
    <w:rsid w:val="00B12DAB"/>
    <w:rsid w:val="00B15561"/>
    <w:rsid w:val="00B24961"/>
    <w:rsid w:val="00B256C7"/>
    <w:rsid w:val="00B312C6"/>
    <w:rsid w:val="00B33CC5"/>
    <w:rsid w:val="00B373D9"/>
    <w:rsid w:val="00B452A8"/>
    <w:rsid w:val="00B5096D"/>
    <w:rsid w:val="00B66A98"/>
    <w:rsid w:val="00B75301"/>
    <w:rsid w:val="00B85F27"/>
    <w:rsid w:val="00B86C94"/>
    <w:rsid w:val="00B96BD6"/>
    <w:rsid w:val="00BC27F9"/>
    <w:rsid w:val="00BE13FA"/>
    <w:rsid w:val="00BF30F2"/>
    <w:rsid w:val="00BF5448"/>
    <w:rsid w:val="00C0307B"/>
    <w:rsid w:val="00C04407"/>
    <w:rsid w:val="00C11084"/>
    <w:rsid w:val="00C1525B"/>
    <w:rsid w:val="00C370AD"/>
    <w:rsid w:val="00C45E97"/>
    <w:rsid w:val="00C76592"/>
    <w:rsid w:val="00C913E1"/>
    <w:rsid w:val="00C92BCD"/>
    <w:rsid w:val="00C9366F"/>
    <w:rsid w:val="00CA42D6"/>
    <w:rsid w:val="00CB0783"/>
    <w:rsid w:val="00CC67A5"/>
    <w:rsid w:val="00CD20A2"/>
    <w:rsid w:val="00CD68F1"/>
    <w:rsid w:val="00D11DA5"/>
    <w:rsid w:val="00D2090F"/>
    <w:rsid w:val="00D269E8"/>
    <w:rsid w:val="00D34BA1"/>
    <w:rsid w:val="00D36292"/>
    <w:rsid w:val="00D36A7A"/>
    <w:rsid w:val="00D43BE7"/>
    <w:rsid w:val="00D4669C"/>
    <w:rsid w:val="00D67A40"/>
    <w:rsid w:val="00D7636E"/>
    <w:rsid w:val="00D84752"/>
    <w:rsid w:val="00DA1ECC"/>
    <w:rsid w:val="00DA2ECB"/>
    <w:rsid w:val="00DB7967"/>
    <w:rsid w:val="00DC383B"/>
    <w:rsid w:val="00DC51FA"/>
    <w:rsid w:val="00DD2079"/>
    <w:rsid w:val="00DE2BD1"/>
    <w:rsid w:val="00DF2994"/>
    <w:rsid w:val="00E10C7B"/>
    <w:rsid w:val="00E158E1"/>
    <w:rsid w:val="00E268C9"/>
    <w:rsid w:val="00E34F4E"/>
    <w:rsid w:val="00E40365"/>
    <w:rsid w:val="00E51819"/>
    <w:rsid w:val="00E53E7A"/>
    <w:rsid w:val="00E64088"/>
    <w:rsid w:val="00E67456"/>
    <w:rsid w:val="00E67F54"/>
    <w:rsid w:val="00E77276"/>
    <w:rsid w:val="00E77DF3"/>
    <w:rsid w:val="00E9392D"/>
    <w:rsid w:val="00EA185F"/>
    <w:rsid w:val="00EB0C90"/>
    <w:rsid w:val="00ED032C"/>
    <w:rsid w:val="00ED7B14"/>
    <w:rsid w:val="00EE6A6C"/>
    <w:rsid w:val="00EF22D1"/>
    <w:rsid w:val="00F0418B"/>
    <w:rsid w:val="00F06E91"/>
    <w:rsid w:val="00F17D64"/>
    <w:rsid w:val="00F255DE"/>
    <w:rsid w:val="00F55BFC"/>
    <w:rsid w:val="00F6030C"/>
    <w:rsid w:val="00F639BA"/>
    <w:rsid w:val="00F646C5"/>
    <w:rsid w:val="00F65F91"/>
    <w:rsid w:val="00F66AD9"/>
    <w:rsid w:val="00F811CB"/>
    <w:rsid w:val="00F82ADF"/>
    <w:rsid w:val="00F95FB5"/>
    <w:rsid w:val="00FA09A4"/>
    <w:rsid w:val="00FA3244"/>
    <w:rsid w:val="00FB496A"/>
    <w:rsid w:val="00FD494A"/>
    <w:rsid w:val="00FD675C"/>
    <w:rsid w:val="00FE7F46"/>
    <w:rsid w:val="08E45B47"/>
    <w:rsid w:val="30A14212"/>
    <w:rsid w:val="3D79026E"/>
    <w:rsid w:val="4E597799"/>
    <w:rsid w:val="5CC23469"/>
    <w:rsid w:val="69A0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autoSpaceDE w:val="0"/>
      <w:autoSpaceDN w:val="0"/>
      <w:spacing w:before="240" w:after="100" w:afterLines="100" w:line="260" w:lineRule="auto"/>
      <w:outlineLvl w:val="0"/>
    </w:pPr>
    <w:rPr>
      <w:rFonts w:ascii="Times New Roman" w:hAnsi="Times New Roman" w:eastAsiaTheme="majorEastAsia" w:cstheme="majorBidi"/>
      <w:b/>
      <w:color w:val="000000" w:themeColor="text1"/>
      <w:sz w:val="36"/>
      <w:szCs w:val="32"/>
      <w:lang w:val="en" w:eastAsia="ru-RU"/>
      <w14:textFill>
        <w14:solidFill>
          <w14:schemeClr w14:val="tx1"/>
        </w14:solidFill>
      </w14:textFill>
    </w:rPr>
  </w:style>
  <w:style w:type="paragraph" w:styleId="3">
    <w:name w:val="heading 2"/>
    <w:basedOn w:val="1"/>
    <w:link w:val="2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25"/>
    <w:qFormat/>
    <w:uiPriority w:val="1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</w:rPr>
  </w:style>
  <w:style w:type="paragraph" w:styleId="8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9">
    <w:name w:val="head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2">
    <w:name w:val="Table Grid"/>
    <w:basedOn w:val="11"/>
    <w:qFormat/>
    <w:uiPriority w:val="59"/>
    <w:rPr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FollowedHyperlink"/>
    <w:basedOn w:val="1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unhideWhenUsed/>
    <w:qFormat/>
    <w:uiPriority w:val="99"/>
    <w:rPr>
      <w:color w:val="0000FF"/>
      <w:u w:val="single"/>
    </w:rPr>
  </w:style>
  <w:style w:type="character" w:styleId="18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3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32"/>
      <w:lang w:val="en" w:eastAsia="ru-RU"/>
      <w14:textFill>
        <w14:solidFill>
          <w14:schemeClr w14:val="tx1"/>
        </w14:solidFill>
      </w14:textFill>
    </w:rPr>
  </w:style>
  <w:style w:type="character" w:customStyle="1" w:styleId="20">
    <w:name w:val="标题 2 字符"/>
    <w:basedOn w:val="13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nolink"/>
    <w:basedOn w:val="13"/>
    <w:qFormat/>
    <w:uiPriority w:val="0"/>
  </w:style>
  <w:style w:type="character" w:customStyle="1" w:styleId="25">
    <w:name w:val="正文文本 字符"/>
    <w:basedOn w:val="13"/>
    <w:link w:val="7"/>
    <w:qFormat/>
    <w:uiPriority w:val="1"/>
    <w:rPr>
      <w:rFonts w:ascii="Calibri" w:hAnsi="Calibri" w:eastAsia="Calibri" w:cs="Calibri"/>
    </w:rPr>
  </w:style>
  <w:style w:type="character" w:customStyle="1" w:styleId="26">
    <w:name w:val="标题 5 字符"/>
    <w:basedOn w:val="13"/>
    <w:link w:val="6"/>
    <w:semiHidden/>
    <w:qFormat/>
    <w:uiPriority w:val="9"/>
    <w:rPr>
      <w:rFonts w:eastAsiaTheme="minorHAnsi"/>
      <w:b/>
      <w:bCs/>
      <w:sz w:val="28"/>
      <w:szCs w:val="28"/>
      <w:lang w:val="ru-RU" w:eastAsia="en-US"/>
    </w:rPr>
  </w:style>
  <w:style w:type="character" w:customStyle="1" w:styleId="27">
    <w:name w:val="标题 4 字符"/>
    <w:basedOn w:val="1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  <w:lang w:val="ru-RU" w:eastAsia="en-US"/>
    </w:rPr>
  </w:style>
  <w:style w:type="character" w:customStyle="1" w:styleId="28">
    <w:name w:val="页眉 字符"/>
    <w:basedOn w:val="13"/>
    <w:link w:val="9"/>
    <w:qFormat/>
    <w:uiPriority w:val="99"/>
    <w:rPr>
      <w:rFonts w:eastAsiaTheme="minorHAnsi"/>
      <w:sz w:val="18"/>
      <w:szCs w:val="18"/>
      <w:lang w:val="ru-RU" w:eastAsia="en-US"/>
    </w:rPr>
  </w:style>
  <w:style w:type="character" w:customStyle="1" w:styleId="29">
    <w:name w:val="页脚 字符"/>
    <w:basedOn w:val="13"/>
    <w:link w:val="8"/>
    <w:qFormat/>
    <w:uiPriority w:val="99"/>
    <w:rPr>
      <w:rFonts w:eastAsiaTheme="minorHAnsi"/>
      <w:sz w:val="18"/>
      <w:szCs w:val="18"/>
      <w:lang w:val="ru-RU" w:eastAsia="en-US"/>
    </w:rPr>
  </w:style>
  <w:style w:type="table" w:customStyle="1" w:styleId="30">
    <w:name w:val="Grid Table Light"/>
    <w:basedOn w:val="11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31">
    <w:name w:val="Placeholder Text"/>
    <w:basedOn w:val="13"/>
    <w:unhideWhenUsed/>
    <w:qFormat/>
    <w:uiPriority w:val="99"/>
    <w:rPr>
      <w:color w:val="666666"/>
    </w:rPr>
  </w:style>
  <w:style w:type="paragraph" w:customStyle="1" w:styleId="32">
    <w:name w:val="CodeText"/>
    <w:uiPriority w:val="0"/>
    <w:pPr>
      <w:spacing w:after="0" w:line="240" w:lineRule="auto"/>
    </w:pPr>
    <w:rPr>
      <w:rFonts w:ascii="Consolas" w:hAnsi="Consolas" w:eastAsia="Consolas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E6711-17B0-4C9E-89C3-B4B6136B12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Org</Company>
  <Pages>14</Pages>
  <Words>1390</Words>
  <Characters>8900</Characters>
  <Lines>1047</Lines>
  <Paragraphs>765</Paragraphs>
  <TotalTime>2</TotalTime>
  <ScaleCrop>false</ScaleCrop>
  <LinksUpToDate>false</LinksUpToDate>
  <CharactersWithSpaces>10090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2025-08-10T09:01:00Z</dcterms:created>
  <dc:creator>User</dc:creator>
  <cp:lastModifiedBy>Stand.for。</cp:lastModifiedBy>
  <dcterms:modified xsi:type="dcterms:W3CDTF">2026-06-04T18:40:11Z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eyJoZGlkIjoiYmI1OWNlN2VjNzgxZjUzODBkYzMxMjYyZGU5YTRjYjMiLCJ1c2VySWQiOiI4MTQ0MTQwNzEifQ==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7BF3D850225C43ADBDCF4AB5083C43A3_12</vt:lpwstr>
  </property>
</Properties>
</file>