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360" w:lineRule="auto"/>
        <w:jc w:val="both"/>
        <w:rPr>
          <w:rFonts w:hint="eastAsia"/>
          <w:b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XXXXXXXX项目</w:t>
      </w: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  <w:t>详细设计说明书</w:t>
      </w: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  <w:t>编制单位（盖章）：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  <w:t>编制人员：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  <w:t>编制时间：</w:t>
      </w:r>
    </w:p>
    <w:p>
      <w:pPr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宋体" w:eastAsia="黑体" w:cs="宋体"/>
          <w:b/>
          <w:kern w:val="0"/>
          <w:sz w:val="21"/>
          <w:szCs w:val="21"/>
          <w:lang w:val="en-US" w:eastAsia="zh-CN"/>
        </w:rPr>
        <w:sectPr>
          <w:pgSz w:w="11906" w:h="16838"/>
          <w:pgMar w:top="1440" w:right="1803" w:bottom="1440" w:left="1803" w:header="851" w:footer="992" w:gutter="0"/>
          <w:pgNumType w:fmt="decimal"/>
          <w:cols w:space="0" w:num="1"/>
          <w:rtlGutter w:val="0"/>
          <w:docGrid w:type="lines" w:linePitch="395" w:charSpace="0"/>
        </w:sectPr>
      </w:pP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TOC \o "1-2" \h \u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_Toc30803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1引言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_Toc30803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4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_Toc24509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1.1目的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_Toc24509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4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_Toc3327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1.2编写依据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_Toc3327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4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_Toc26541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1.3术语定义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_Toc26541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4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_Toc18805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2详细设计规则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_Toc18805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4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_Toc17175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2.1设计原则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_Toc17175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4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_Toc23542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2.2编码规范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_Toc23542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4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_Toc6135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3程序系统的结构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_Toc6135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4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_Toc18499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3.1程序1（标识符）设计说明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_Toc18499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4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instrText xml:space="preserve"> HYPERLINK \l _Toc25059 </w:instrText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 w:val="21"/>
          <w:szCs w:val="21"/>
          <w:lang w:val="en-US" w:eastAsia="zh-CN" w:bidi="ar-SA"/>
        </w:rPr>
        <w:t>3.2程序2（标识符）设计说明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ab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instrText xml:space="preserve"> PAGEREF _Toc25059 </w:instrTex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t>6</w:t>
      </w:r>
      <w:r>
        <w:rPr>
          <w:rFonts w:ascii="Times New Roman" w:hAnsi="Times New Roman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4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  <w:sectPr>
          <w:footerReference r:id="rId3" w:type="default"/>
          <w:pgSz w:w="11906" w:h="16838"/>
          <w:pgMar w:top="1440" w:right="1803" w:bottom="1440" w:left="1803" w:header="851" w:footer="992" w:gutter="0"/>
          <w:pgNumType w:fmt="decimal"/>
          <w:cols w:space="0" w:num="1"/>
          <w:rtlGutter w:val="0"/>
          <w:docGrid w:type="lines" w:linePitch="395" w:charSpace="0"/>
        </w:sectPr>
      </w:pPr>
      <w:bookmarkStart w:id="0" w:name="_Toc30803"/>
      <w:bookmarkStart w:id="1" w:name="_Toc18144"/>
    </w:p>
    <w:p>
      <w:pPr>
        <w:pStyle w:val="5"/>
        <w:bidi w:val="0"/>
        <w:rPr>
          <w:rFonts w:hint="eastAsia"/>
          <w:sz w:val="21"/>
          <w:szCs w:val="21"/>
          <w:lang w:val="en-US" w:eastAsia="zh-CN"/>
        </w:rPr>
      </w:pPr>
      <w:bookmarkStart w:id="2" w:name="_Toc18380"/>
      <w:r>
        <w:rPr>
          <w:rFonts w:hint="eastAsia"/>
          <w:sz w:val="21"/>
          <w:szCs w:val="21"/>
          <w:lang w:val="en-US" w:eastAsia="zh-CN"/>
        </w:rPr>
        <w:t>1引言</w:t>
      </w:r>
      <w:bookmarkEnd w:id="0"/>
      <w:bookmarkEnd w:id="1"/>
      <w:bookmarkEnd w:id="2"/>
    </w:p>
    <w:p>
      <w:pPr>
        <w:pStyle w:val="7"/>
        <w:bidi w:val="0"/>
        <w:rPr>
          <w:rFonts w:hint="eastAsia"/>
          <w:sz w:val="21"/>
          <w:szCs w:val="21"/>
          <w:lang w:val="en-US" w:eastAsia="zh-CN"/>
        </w:rPr>
      </w:pPr>
      <w:bookmarkStart w:id="3" w:name="_Toc17991"/>
      <w:bookmarkStart w:id="4" w:name="_Toc24509"/>
      <w:r>
        <w:rPr>
          <w:rFonts w:hint="eastAsia"/>
          <w:sz w:val="21"/>
          <w:szCs w:val="21"/>
          <w:lang w:val="en-US" w:eastAsia="zh-CN"/>
        </w:rPr>
        <w:t>1.1目的</w:t>
      </w:r>
      <w:bookmarkEnd w:id="3"/>
      <w:bookmarkEnd w:id="4"/>
    </w:p>
    <w:p>
      <w:pPr>
        <w:pStyle w:val="9"/>
        <w:spacing w:line="360" w:lineRule="auto"/>
        <w:ind w:firstLine="420" w:firstLineChars="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入学入托查验</w:t>
      </w:r>
      <w:bookmarkStart w:id="22" w:name="_GoBack"/>
      <w:bookmarkEnd w:id="2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系统的建设目标是为了保障学生或幼儿的健康和安全，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帮助单位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对学生或幼儿的健康管理和疾病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预防控制，及时发现和处理健康问题，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监督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学生或幼儿的身体健康和学习安全。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可以提高疾控单位的管理效率，优化服务质量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，推动信息化技术在教育和儿童保健领域的应用和发展，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助力疾控单位管理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信息化与教育、儿童保健事业的深度融合。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7"/>
        <w:bidi w:val="0"/>
        <w:rPr>
          <w:rFonts w:hint="eastAsia"/>
          <w:sz w:val="21"/>
          <w:szCs w:val="21"/>
          <w:lang w:val="en-US" w:eastAsia="zh-CN"/>
        </w:rPr>
      </w:pPr>
      <w:bookmarkStart w:id="5" w:name="_Toc3327"/>
      <w:bookmarkStart w:id="6" w:name="_Toc8269"/>
      <w:r>
        <w:rPr>
          <w:rFonts w:hint="eastAsia"/>
          <w:sz w:val="21"/>
          <w:szCs w:val="21"/>
          <w:lang w:val="en-US" w:eastAsia="zh-CN"/>
        </w:rPr>
        <w:t>1.2编写依据</w:t>
      </w:r>
      <w:bookmarkEnd w:id="5"/>
      <w:bookmarkEnd w:id="6"/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本项目经核准的计划任务书、需求规格说明书、合同、项目设计概要说明书</w:t>
      </w:r>
    </w:p>
    <w:p>
      <w:pPr>
        <w:pStyle w:val="7"/>
        <w:bidi w:val="0"/>
        <w:rPr>
          <w:rFonts w:hint="eastAsia"/>
          <w:sz w:val="21"/>
          <w:szCs w:val="21"/>
          <w:lang w:val="en-US" w:eastAsia="zh-CN"/>
        </w:rPr>
      </w:pPr>
      <w:bookmarkStart w:id="7" w:name="_Toc8320"/>
      <w:bookmarkStart w:id="8" w:name="_Toc26541"/>
      <w:r>
        <w:rPr>
          <w:rFonts w:hint="eastAsia"/>
          <w:sz w:val="21"/>
          <w:szCs w:val="21"/>
          <w:lang w:val="en-US" w:eastAsia="zh-CN"/>
        </w:rPr>
        <w:t>1.3术语定义</w:t>
      </w:r>
      <w:bookmarkEnd w:id="7"/>
      <w:bookmarkEnd w:id="8"/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1"/>
          <w:szCs w:val="21"/>
        </w:rPr>
      </w:pP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</w:rPr>
        <w:t xml:space="preserve"> 一种用于访问查询数据库的语言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1"/>
          <w:szCs w:val="21"/>
        </w:rPr>
      </w:pPr>
      <w:r>
        <w:rPr>
          <w:sz w:val="21"/>
          <w:szCs w:val="21"/>
        </w:rPr>
        <w:t>事务流：数据进入模块后可能有多种路径进行处理。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1"/>
          <w:szCs w:val="21"/>
        </w:rPr>
      </w:pPr>
      <w:r>
        <w:rPr>
          <w:sz w:val="21"/>
          <w:szCs w:val="21"/>
        </w:rPr>
        <w:t>主键：数据库表中的关键域。值互不相同。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1"/>
          <w:szCs w:val="21"/>
        </w:rPr>
      </w:pPr>
      <w:r>
        <w:rPr>
          <w:sz w:val="21"/>
          <w:szCs w:val="21"/>
        </w:rPr>
        <w:t>外部主键：数据库表中与其他表主键关联的域。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1"/>
          <w:szCs w:val="21"/>
        </w:rPr>
      </w:pPr>
      <w:r>
        <w:rPr>
          <w:sz w:val="21"/>
          <w:szCs w:val="21"/>
        </w:rPr>
        <w:t>ROLLBACK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</w:rPr>
        <w:t xml:space="preserve"> 数据库的错误恢复机制。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ATM</w:t>
      </w:r>
      <w:r>
        <w:rPr>
          <w:rFonts w:hint="eastAsia" w:ascii="宋体" w:hAnsi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 xml:space="preserve"> Asynchronous Transfer Mode (异步传输模式)。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DD Data Dictionary表示数据字典，是对数据库中某些数据项等信息的描述，也包括本系统中某些预定义的数据项，如卫生医疗机构编码定义、行政区划定义等。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eastAsia"/>
          <w:sz w:val="21"/>
          <w:szCs w:val="21"/>
          <w:lang w:val="en-US" w:eastAsia="zh-CN"/>
        </w:rPr>
      </w:pPr>
      <w:bookmarkStart w:id="9" w:name="_Toc28742"/>
      <w:bookmarkStart w:id="10" w:name="_Toc4054"/>
      <w:bookmarkStart w:id="11" w:name="_Toc18805"/>
      <w:r>
        <w:rPr>
          <w:rFonts w:hint="eastAsia"/>
          <w:sz w:val="21"/>
          <w:szCs w:val="21"/>
          <w:lang w:val="en-US" w:eastAsia="zh-CN"/>
        </w:rPr>
        <w:t>2详细设计规则</w:t>
      </w:r>
      <w:bookmarkEnd w:id="9"/>
      <w:bookmarkEnd w:id="10"/>
      <w:bookmarkEnd w:id="11"/>
    </w:p>
    <w:p>
      <w:pPr>
        <w:pStyle w:val="7"/>
        <w:bidi w:val="0"/>
        <w:rPr>
          <w:rFonts w:hint="eastAsia"/>
          <w:sz w:val="21"/>
          <w:szCs w:val="21"/>
          <w:lang w:val="en-US" w:eastAsia="zh-CN"/>
        </w:rPr>
      </w:pPr>
      <w:bookmarkStart w:id="12" w:name="_Toc17175"/>
      <w:bookmarkStart w:id="13" w:name="_Toc24129"/>
      <w:r>
        <w:rPr>
          <w:rFonts w:hint="eastAsia"/>
          <w:sz w:val="21"/>
          <w:szCs w:val="21"/>
          <w:lang w:val="en-US" w:eastAsia="zh-CN"/>
        </w:rPr>
        <w:t>2.1设计原则</w:t>
      </w:r>
      <w:bookmarkEnd w:id="12"/>
      <w:bookmarkEnd w:id="13"/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系统设计架构满足以下原则：</w:t>
      </w:r>
    </w:p>
    <w:p>
      <w:pPr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先进性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采用先进的基于构件/构架的设计思想和开发方法。</w:t>
      </w:r>
    </w:p>
    <w:p>
      <w:pPr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安全性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系统采用分级管理模式，对不同级别用户的操作权限和数据访问范围有严格的限制，系统管理员可以根据情况灵活设置安全策略。同时个案业务数据采用api接口的方式进行交互用模块化的设计框架，模块之间相对独立又可相互关联。</w:t>
      </w:r>
    </w:p>
    <w:p>
      <w:pPr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易维护性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采用代码维护、参数配置等手段，确保管理员可自维护系统基础设置。系统升级和日常维护方便。系统为管理员有系统设置和维护功能。</w:t>
      </w:r>
    </w:p>
    <w:p>
      <w:pPr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可操作性</w:t>
      </w:r>
    </w:p>
    <w:p>
      <w:pPr>
        <w:spacing w:line="24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设计方案符合业务流程，不是停留理论框架，而是切实可行，并具有创新的价值。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7"/>
        <w:bidi w:val="0"/>
        <w:rPr>
          <w:rFonts w:hint="eastAsia"/>
          <w:sz w:val="21"/>
          <w:szCs w:val="21"/>
          <w:lang w:val="en-US" w:eastAsia="zh-CN"/>
        </w:rPr>
      </w:pPr>
      <w:bookmarkStart w:id="14" w:name="_Toc20761"/>
      <w:bookmarkStart w:id="15" w:name="_Toc23542"/>
      <w:r>
        <w:rPr>
          <w:rFonts w:hint="eastAsia"/>
          <w:sz w:val="21"/>
          <w:szCs w:val="21"/>
          <w:lang w:val="en-US" w:eastAsia="zh-CN"/>
        </w:rPr>
        <w:t>2.2编码规范</w:t>
      </w:r>
      <w:bookmarkEnd w:id="14"/>
      <w:bookmarkEnd w:id="15"/>
    </w:p>
    <w:p>
      <w:pPr>
        <w:pStyle w:val="5"/>
        <w:bidi w:val="0"/>
        <w:rPr>
          <w:rFonts w:hint="eastAsia"/>
          <w:sz w:val="21"/>
          <w:szCs w:val="21"/>
          <w:lang w:val="en-US" w:eastAsia="zh-CN"/>
        </w:rPr>
      </w:pPr>
      <w:bookmarkStart w:id="16" w:name="_Toc23260"/>
      <w:bookmarkStart w:id="17" w:name="_Toc6135"/>
      <w:bookmarkStart w:id="18" w:name="_Toc1067"/>
      <w:r>
        <w:rPr>
          <w:rFonts w:hint="eastAsia"/>
          <w:sz w:val="21"/>
          <w:szCs w:val="21"/>
          <w:lang w:val="en-US" w:eastAsia="zh-CN"/>
        </w:rPr>
        <w:t>3程序系统的结构</w:t>
      </w:r>
      <w:bookmarkEnd w:id="16"/>
      <w:bookmarkEnd w:id="17"/>
      <w:bookmarkEnd w:id="18"/>
    </w:p>
    <w:tbl>
      <w:tblPr>
        <w:tblStyle w:val="12"/>
        <w:tblW w:w="8818" w:type="dxa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126"/>
        <w:gridCol w:w="1950"/>
        <w:gridCol w:w="36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righ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3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使用对象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3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系统功能模块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3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子模块</w:t>
            </w:r>
          </w:p>
        </w:tc>
        <w:tc>
          <w:tcPr>
            <w:tcW w:w="3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3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系统特性描述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  <w:jc w:val="right"/>
        </w:trPr>
        <w:tc>
          <w:tcPr>
            <w:tcW w:w="113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学校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班级花名册查询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支持对采集的幼儿、学生信息进行查询操作。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righ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统计报表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对该校的学生疫苗补种反馈和需补种统计报表进行查询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right"/>
        </w:trPr>
        <w:tc>
          <w:tcPr>
            <w:tcW w:w="113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门诊以及疾控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学校管理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进行学校基本信息管理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信息查验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对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采集的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受种者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信息进行查询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，支持打印查验证明以及补种通知单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查询统计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查验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接种信息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受种者查验信息结果查看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补种汇总表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支持统计所属辖区内的受种者补种情况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补种情况表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支持统计当前受种者需补种疫苗的情况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补种情况反馈表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支持统计当前时间点所有需补种的人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接种证查验汇总表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支持统计所属辖区内的受种者补种情况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补种疫苗统计表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支持统计所在辖区内各疫苗需补种剂次数、补种剂次数和补种率情况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系统日志查看</w:t>
            </w:r>
          </w:p>
        </w:tc>
        <w:tc>
          <w:tcPr>
            <w:tcW w:w="3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支持记录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该系统的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疾控、接种门诊以及学校的操作日志</w:t>
            </w:r>
          </w:p>
        </w:tc>
      </w:tr>
    </w:tbl>
    <w:p>
      <w:pPr>
        <w:pStyle w:val="6"/>
        <w:rPr>
          <w:rFonts w:hint="eastAsia"/>
          <w:sz w:val="21"/>
          <w:szCs w:val="21"/>
          <w:lang w:val="en-US" w:eastAsia="zh-CN"/>
        </w:rPr>
      </w:pPr>
    </w:p>
    <w:p>
      <w:pPr>
        <w:pStyle w:val="7"/>
        <w:bidi w:val="0"/>
        <w:rPr>
          <w:rFonts w:hint="eastAsia" w:eastAsia="宋体"/>
          <w:sz w:val="21"/>
          <w:szCs w:val="21"/>
          <w:lang w:val="en-US" w:eastAsia="zh-CN"/>
        </w:rPr>
      </w:pPr>
      <w:bookmarkStart w:id="19" w:name="_Toc445704839"/>
      <w:bookmarkStart w:id="20" w:name="_Toc16986"/>
      <w:bookmarkStart w:id="21" w:name="_Toc18499"/>
      <w:r>
        <w:rPr>
          <w:rFonts w:hint="eastAsia"/>
          <w:sz w:val="21"/>
          <w:szCs w:val="21"/>
          <w:lang w:val="en-US" w:eastAsia="zh-CN"/>
        </w:rPr>
        <w:t>3.1</w:t>
      </w:r>
      <w:r>
        <w:rPr>
          <w:rFonts w:hint="eastAsia"/>
          <w:sz w:val="21"/>
          <w:szCs w:val="21"/>
        </w:rPr>
        <w:t>程序</w:t>
      </w:r>
      <w:bookmarkEnd w:id="19"/>
      <w:bookmarkEnd w:id="20"/>
      <w:bookmarkEnd w:id="21"/>
      <w:r>
        <w:rPr>
          <w:rFonts w:hint="eastAsia"/>
          <w:sz w:val="21"/>
          <w:szCs w:val="21"/>
          <w:lang w:val="en-US" w:eastAsia="zh-CN"/>
        </w:rPr>
        <w:t>描述</w:t>
      </w: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b/>
          <w:bCs/>
          <w:sz w:val="21"/>
          <w:szCs w:val="21"/>
          <w:highlight w:val="none"/>
        </w:rPr>
      </w:pPr>
      <w:r>
        <w:rPr>
          <w:rFonts w:hint="eastAsia"/>
          <w:b/>
          <w:bCs/>
          <w:sz w:val="21"/>
          <w:szCs w:val="21"/>
          <w:highlight w:val="none"/>
        </w:rPr>
        <w:t>登录模块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（</w:t>
      </w: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学校端、疾控门诊端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）</w:t>
      </w:r>
    </w:p>
    <w:p>
      <w:pPr>
        <w:spacing w:line="312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sz w:val="21"/>
          <w:szCs w:val="21"/>
          <w:highlight w:val="none"/>
        </w:rPr>
        <w:t>实现登录功能,输入用户名称和用户密码,正确则进入欢迎界面.不正确则返回原来的界面。</w:t>
      </w:r>
    </w:p>
    <w:p>
      <w:pPr>
        <w:spacing w:line="312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sz w:val="21"/>
          <w:szCs w:val="21"/>
          <w:highlight w:val="none"/>
        </w:rPr>
        <w:t>由</w:t>
      </w:r>
      <w:r>
        <w:rPr>
          <w:rFonts w:hint="eastAsia"/>
          <w:sz w:val="21"/>
          <w:szCs w:val="21"/>
          <w:highlight w:val="none"/>
          <w:lang w:val="en-US" w:eastAsia="zh-CN"/>
        </w:rPr>
        <w:t>登录</w:t>
      </w:r>
      <w:r>
        <w:rPr>
          <w:rFonts w:hint="eastAsia"/>
          <w:sz w:val="21"/>
          <w:szCs w:val="21"/>
          <w:highlight w:val="none"/>
        </w:rPr>
        <w:t>功能调用。</w:t>
      </w:r>
    </w:p>
    <w:p>
      <w:pPr>
        <w:spacing w:line="312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sz w:val="21"/>
          <w:szCs w:val="21"/>
          <w:highlight w:val="none"/>
        </w:rPr>
        <w:t>用户名称</w:t>
      </w:r>
      <w:r>
        <w:rPr>
          <w:rFonts w:hint="eastAsia"/>
          <w:sz w:val="21"/>
          <w:szCs w:val="21"/>
          <w:highlight w:val="none"/>
          <w:lang w:eastAsia="zh-CN"/>
        </w:rPr>
        <w:t>、</w:t>
      </w:r>
      <w:r>
        <w:rPr>
          <w:rFonts w:hint="eastAsia"/>
          <w:sz w:val="21"/>
          <w:szCs w:val="21"/>
          <w:highlight w:val="none"/>
        </w:rPr>
        <w:t>用户密码</w:t>
      </w:r>
      <w:r>
        <w:rPr>
          <w:rFonts w:hint="eastAsia"/>
          <w:sz w:val="21"/>
          <w:szCs w:val="21"/>
          <w:highlight w:val="none"/>
          <w:lang w:val="en-US" w:eastAsia="zh-CN"/>
        </w:rPr>
        <w:t>和验证码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spacing w:line="312" w:lineRule="auto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sz w:val="21"/>
          <w:szCs w:val="21"/>
          <w:highlight w:val="none"/>
        </w:rPr>
        <w:t>正则进入到欢迎界面,负则返回原来的界面。</w:t>
      </w: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学校管理</w:t>
      </w:r>
      <w:r>
        <w:rPr>
          <w:rFonts w:hint="eastAsia"/>
          <w:b/>
          <w:bCs/>
          <w:sz w:val="21"/>
          <w:szCs w:val="21"/>
          <w:highlight w:val="none"/>
        </w:rPr>
        <w:t>模块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（</w:t>
      </w: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疾控门诊端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）</w:t>
      </w:r>
    </w:p>
    <w:p>
      <w:pPr>
        <w:spacing w:line="312" w:lineRule="auto"/>
        <w:rPr>
          <w:rFonts w:hint="eastAsia" w:ascii="宋体" w:hAns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支持对学校进行管理，由接种门诊维护学校基本信息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eastAsia="zh-CN"/>
        </w:rPr>
        <w:t>。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疾控用户仅提供查询功能，门诊用户可查询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和导出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spacing w:line="312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选择地区、学校类型、学校编码、学校名称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spacing w:line="312" w:lineRule="auto"/>
        <w:rPr>
          <w:rFonts w:hint="eastAsia"/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sz w:val="21"/>
          <w:szCs w:val="21"/>
          <w:highlight w:val="none"/>
        </w:rPr>
        <w:t>学校编码</w:t>
      </w:r>
      <w:r>
        <w:rPr>
          <w:rFonts w:hint="eastAsia"/>
          <w:sz w:val="21"/>
          <w:szCs w:val="21"/>
          <w:highlight w:val="none"/>
          <w:lang w:eastAsia="zh-CN"/>
        </w:rPr>
        <w:t>，</w:t>
      </w:r>
      <w:r>
        <w:rPr>
          <w:rFonts w:hint="eastAsia"/>
          <w:sz w:val="21"/>
          <w:szCs w:val="21"/>
          <w:highlight w:val="none"/>
        </w:rPr>
        <w:t>学校名称</w:t>
      </w:r>
      <w:r>
        <w:rPr>
          <w:rFonts w:hint="eastAsia"/>
          <w:sz w:val="21"/>
          <w:szCs w:val="21"/>
          <w:highlight w:val="none"/>
          <w:lang w:eastAsia="zh-CN"/>
        </w:rPr>
        <w:t>，</w:t>
      </w:r>
      <w:r>
        <w:rPr>
          <w:rFonts w:hint="eastAsia"/>
          <w:sz w:val="21"/>
          <w:szCs w:val="21"/>
          <w:highlight w:val="none"/>
        </w:rPr>
        <w:t>学校类型</w:t>
      </w:r>
      <w:r>
        <w:rPr>
          <w:rFonts w:hint="eastAsia"/>
          <w:sz w:val="21"/>
          <w:szCs w:val="21"/>
          <w:highlight w:val="none"/>
          <w:lang w:eastAsia="zh-CN"/>
        </w:rPr>
        <w:t>，</w:t>
      </w:r>
      <w:r>
        <w:rPr>
          <w:rFonts w:hint="eastAsia"/>
          <w:sz w:val="21"/>
          <w:szCs w:val="21"/>
          <w:highlight w:val="none"/>
        </w:rPr>
        <w:t>地区编码</w:t>
      </w:r>
      <w:r>
        <w:rPr>
          <w:rFonts w:hint="eastAsia"/>
          <w:sz w:val="21"/>
          <w:szCs w:val="21"/>
          <w:highlight w:val="none"/>
          <w:lang w:eastAsia="zh-CN"/>
        </w:rPr>
        <w:t>，</w:t>
      </w:r>
      <w:r>
        <w:rPr>
          <w:rFonts w:hint="eastAsia"/>
          <w:sz w:val="21"/>
          <w:szCs w:val="21"/>
          <w:highlight w:val="none"/>
        </w:rPr>
        <w:t>地区名称</w:t>
      </w:r>
      <w:r>
        <w:rPr>
          <w:rFonts w:hint="eastAsia"/>
          <w:sz w:val="21"/>
          <w:szCs w:val="21"/>
          <w:highlight w:val="none"/>
        </w:rPr>
        <w:tab/>
      </w:r>
      <w:r>
        <w:rPr>
          <w:rFonts w:hint="eastAsia"/>
          <w:sz w:val="21"/>
          <w:szCs w:val="21"/>
          <w:highlight w:val="none"/>
        </w:rPr>
        <w:t>所属接种单位编码</w:t>
      </w:r>
      <w:r>
        <w:rPr>
          <w:rFonts w:hint="eastAsia"/>
          <w:sz w:val="21"/>
          <w:szCs w:val="21"/>
          <w:highlight w:val="none"/>
          <w:lang w:eastAsia="zh-CN"/>
        </w:rPr>
        <w:t>，</w:t>
      </w:r>
      <w:r>
        <w:rPr>
          <w:rFonts w:hint="eastAsia"/>
          <w:sz w:val="21"/>
          <w:szCs w:val="21"/>
          <w:highlight w:val="none"/>
        </w:rPr>
        <w:t>接种单位名称</w:t>
      </w:r>
      <w:r>
        <w:rPr>
          <w:rFonts w:hint="eastAsia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学校端-班级花名册查询，疾控端-查验接种信息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（</w:t>
      </w: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学校端、疾控门诊端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）</w:t>
      </w:r>
    </w:p>
    <w:p>
      <w:pPr>
        <w:spacing w:line="312" w:lineRule="auto"/>
        <w:rPr>
          <w:rFonts w:hint="eastAsia" w:ascii="宋体" w:hAns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支持对已添加或导入成功的学生进行查询查验情况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疾控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门诊和学校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用户提供查询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eastAsia="zh-CN"/>
        </w:rPr>
        <w:t>、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导出和打印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功能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spacing w:line="312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选择地区、学校类型、学校名称、学年、轮次、年级、班级、是否种全、查验状态、儿童姓名、身份证件号码、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受种者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编码。</w:t>
      </w:r>
    </w:p>
    <w:p>
      <w:pPr>
        <w:pStyle w:val="14"/>
        <w:spacing w:line="360" w:lineRule="auto"/>
        <w:ind w:firstLine="0" w:firstLineChars="0"/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查验状态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eastAsia="zh-CN"/>
        </w:rPr>
        <w:t>（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首次状态， 展示的文字为：已种全/未种全需补种/未种全无需补种/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。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eastAsia="zh-CN"/>
        </w:rPr>
        <w:t>）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的时候就是展示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，固定首次查验状态和首次查验时间不变，匹配之后转为有接种证人员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、是否种全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eastAsia="zh-CN"/>
        </w:rPr>
        <w:t>（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实时状态，展示的文字为：</w:t>
      </w:r>
      <w:r>
        <w:rPr>
          <w:rFonts w:hint="eastAsia" w:ascii="华文宋体" w:hAnsi="华文宋体" w:eastAsia="华文宋体" w:cs="华文宋体"/>
          <w:color w:val="auto"/>
          <w:kern w:val="2"/>
          <w:sz w:val="21"/>
          <w:szCs w:val="21"/>
          <w:highlight w:val="none"/>
          <w:shd w:val="clear" w:color="auto" w:fill="FFFFFF"/>
          <w:lang w:val="en-US" w:eastAsia="zh-CN" w:bidi="ar"/>
        </w:rPr>
        <w:t>是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；否-需补种；否-无需补种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eastAsia="zh-CN"/>
        </w:rPr>
        <w:t>）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、学校名称、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学年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、轮次、所在年级、所在班级、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受种者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编码、手机号码、儿童姓名、性别、出生日期、是否有接种证、儿童条码、户籍类型、查验日期、卡介苗1、乙肝疫苗1-3、脊灰疫苗1-4、百白破疫苗1-4、白破疫苗1、麻腮风疫苗1-2、流脑疫苗（A群流脑疫苗1-2，A＋C群流脑疫苗1-2）、乙脑疫苗1-2、甲肝灭活疫苗1-2、*水痘疫苗1-2。</w:t>
      </w: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需补种名单列表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（</w:t>
      </w: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学校端、疾控门诊端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  <w:t>支持按区域、接种门诊以及学校统计补种汇总情况，支持导出以及打印。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疾控用户仅提供查询功能，门诊用户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和学校用户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可查询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和导出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2"/>
        <w:spacing w:line="360" w:lineRule="auto"/>
        <w:ind w:left="0" w:leftChars="0" w:firstLine="0" w:firstLineChars="0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选择地区，学校类型，学校名称，学年，轮次，年级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eastAsia="zh-CN"/>
        </w:rPr>
        <w:t>，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班级</w:t>
      </w:r>
    </w:p>
    <w:p>
      <w:pPr>
        <w:spacing w:line="312" w:lineRule="auto"/>
        <w:rPr>
          <w:rFonts w:hint="eastAsia"/>
          <w:sz w:val="21"/>
          <w:szCs w:val="21"/>
          <w:highlight w:val="none"/>
          <w:lang w:eastAsia="zh-CN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序号，学校，年级，班级，儿童姓名，出生日期，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eastAsia="zh-CN"/>
        </w:rPr>
        <w:t>补种疫苗名称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，手机号码。</w:t>
      </w: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补种反馈表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（</w:t>
      </w: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学校端、门诊端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  <w:t>按照接种单位下面的学校统计补种汇总情况，支持导出以及打印。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对门诊、学校开放该功能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14"/>
        <w:spacing w:line="360" w:lineRule="auto"/>
        <w:ind w:firstLine="0" w:firstLineChars="0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选择地区、学校类型、学校名称、学年、轮次、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年级、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班级名称</w:t>
      </w:r>
    </w:p>
    <w:p>
      <w:pPr>
        <w:spacing w:line="312" w:lineRule="auto"/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序号，学校，年级，班级，儿童姓名，出生日期，补种疫苗名称，补种时间，是否种全。</w:t>
      </w: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补种汇总表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（</w:t>
      </w: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疾控门诊端</w:t>
      </w:r>
      <w:r>
        <w:rPr>
          <w:rFonts w:hint="eastAsia"/>
          <w:b/>
          <w:bCs/>
          <w:sz w:val="21"/>
          <w:szCs w:val="21"/>
          <w:highlight w:val="none"/>
          <w:lang w:eastAsia="zh-CN"/>
        </w:rPr>
        <w:t>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  <w:t>支持按区域、接种门诊以及学校统计补种汇总情况，支持导出以及打印。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疾控用户仅提供查询功能，门诊用户可查询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和导出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2"/>
        <w:spacing w:line="360" w:lineRule="auto"/>
        <w:ind w:left="0" w:leftChars="0" w:firstLine="0" w:firstLineChars="0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选择地区，学校类型，学年，轮次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eastAsia="zh-CN"/>
        </w:rPr>
        <w:t>，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学校名称，年级，班级</w:t>
      </w:r>
    </w:p>
    <w:p>
      <w:pPr>
        <w:widowControl/>
        <w:spacing w:line="360" w:lineRule="auto"/>
        <w:ind w:left="0" w:leftChars="0" w:firstLine="0" w:firstLineChars="0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</w:rPr>
        <w:t>单位名称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  <w:lang w:eastAsia="zh-CN"/>
        </w:rPr>
        <w:t>（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  <w:lang w:val="en-US" w:eastAsia="zh-CN"/>
        </w:rPr>
        <w:t>详见下面第一条解释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</w:rPr>
        <w:t>），应查验幼托、学校数，实查验幼托、学校数，应查验人数，实查验人数，无证人数，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补接种证人数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需补种疫苗人数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完成全程补种人数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</w:rPr>
        <w:t>，各个疫苗的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应补种剂次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</w:rPr>
        <w:t>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补种剂次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</w:rPr>
        <w:t>（卡介苗、乙肝疫苗、脊灰疫苗、百白破疫苗、白破疫苗、麻腮风疫苗、流脑疫苗（A群流脑疫苗，A＋C群流脑疫苗）、乙脑疫苗、甲肝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  <w:lang w:eastAsia="zh-CN"/>
        </w:rPr>
        <w:t>灭活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u w:val="none"/>
        </w:rPr>
        <w:t>疫苗、*水痘疫苗）</w:t>
      </w: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补种情况反馈表(门诊)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  <w:t>按照接种单位下面的学校统计补种汇总情况，支持导出以及打印。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仅支持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门诊用户可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操作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14"/>
        <w:spacing w:line="360" w:lineRule="auto"/>
        <w:ind w:firstLine="0" w:firstLineChars="0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选择地区、学校类型、学校名称、学年、轮次、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年级、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班级名称</w:t>
      </w:r>
    </w:p>
    <w:p>
      <w:pPr>
        <w:pStyle w:val="2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/>
          <w:color w:val="auto"/>
          <w:sz w:val="21"/>
          <w:szCs w:val="21"/>
          <w:highlight w:val="none"/>
          <w:shd w:val="clear" w:color="auto" w:fill="FFFFFF"/>
        </w:rPr>
        <w:t>序号，学校，年级，班级，儿童姓名，出生日期，补种疫苗名称，补种时间，是否种全。</w:t>
      </w: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接种证查验情况汇总表(疾控门诊)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  <w:t>支持按区域、接种门诊以及学校统计补种汇总情况，支持导出以及打印。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疾控用户仅提供查询功能，门诊用户可查询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和导出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2"/>
        <w:spacing w:line="360" w:lineRule="auto"/>
        <w:ind w:left="0" w:leftChars="0" w:firstLine="0" w:firstLineChars="0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选择地区，学校类型，学年，轮次</w:t>
      </w:r>
    </w:p>
    <w:p>
      <w:pPr>
        <w:pStyle w:val="2"/>
        <w:spacing w:line="360" w:lineRule="auto"/>
        <w:ind w:left="0" w:leftChars="0" w:firstLine="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报告单位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(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当选择接种门诊的时候，列表内展示的是学校名称，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，应查验数、查验数显示为1。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)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，托幼机构小学（应查验数，查验数）、入托入学人数，查验人数，持接种证人数，补接种证人数，完成全程接种人数，需补种疫苗人数，完成全程补种人数，各个疫苗的应补种剂次和补种剂次数（卡介苗、乙肝疫苗、脊灰疫苗、百白破疫苗、白破疫苗、麻腮风疫苗、流脑疫苗（A群流脑疫苗，A＋C群流脑疫苗）、乙脑疫苗、甲肝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eastAsia="zh-CN"/>
        </w:rPr>
        <w:t>灭活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疫苗）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接种证查验情况汇总表(分剂次)（疾控门诊）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  <w:t>支持分剂次按区域、接种门诊以及学校统计补种汇总情况，支持导出以及打印。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疾控用户仅提供查询功能，门诊用户可查询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和导出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14"/>
        <w:spacing w:line="360" w:lineRule="auto"/>
        <w:ind w:firstLine="0" w:firstLineChars="0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选择地区，学校类型，学年，轮次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报告单位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(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当选择接种门诊的时候，列表内展示的是学校名称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，应查验数、查验数显示为1。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)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，托幼机构小学（应查验数，查验数）、入托入学人数，查验人数，持接种证人数，补接种证人数，完成全程接种人数，需补种疫苗人数，完成全程补种人数，各个疫苗的应补种剂次和补种剂次数（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bidi="ar"/>
        </w:rPr>
        <w:t>卡介苗1、乙肝疫苗1-3、脊灰疫苗1-4、百白破疫苗1-4、白破疫苗1、麻腮风疫苗1-2、流脑疫苗（A群流脑疫苗1-2，A＋C群流脑疫苗1-2）、乙脑疫苗1-2、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甲肝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eastAsia="zh-CN"/>
        </w:rPr>
        <w:t>灭活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疫苗1-2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bidi="ar"/>
        </w:rPr>
        <w:t>）</w:t>
      </w: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接种证查验情况汇总表(不分剂次)（疾控门诊）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  <w:t>支持分剂次按区域、接种门诊以及学校统计补种汇总情况，支持导出以及打印。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疾控用户仅提供查询功能，门诊用户可查询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和导出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14"/>
        <w:spacing w:line="360" w:lineRule="auto"/>
        <w:ind w:firstLine="0" w:firstLineChars="0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选择地区，学校类型，学年，轮次</w:t>
      </w:r>
    </w:p>
    <w:p>
      <w:pPr>
        <w:pStyle w:val="2"/>
        <w:spacing w:line="360" w:lineRule="auto"/>
        <w:ind w:left="0" w:leftChars="0" w:firstLine="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报告单位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(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当选择接种门诊的时候，列表内展示的是学校名称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，应查验数、查验数显示为1。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)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，托幼机构小学（应查验数，查验数）、入托入学人数，查验人数，持接种证人数，补接种证人数，完成全程接种人数，需补种疫苗人数，完成全程补种人数，各个疫苗的应补种剂次和补种剂次数（卡介苗、乙肝疫苗、脊灰疫苗、百白破疫苗、白破疫苗、麻腮风疫苗、流脑疫苗（A群流脑疫苗，A＋C群流脑疫苗）、乙脑疫苗、甲肝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eastAsia="zh-CN"/>
        </w:rPr>
        <w:t>灭活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疫苗）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补种疫苗统计表（疾控门诊）</w:t>
      </w:r>
    </w:p>
    <w:p>
      <w:pP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 w:cs="宋体"/>
          <w:color w:val="auto"/>
          <w:kern w:val="0"/>
          <w:sz w:val="21"/>
          <w:szCs w:val="21"/>
          <w:highlight w:val="none"/>
        </w:rPr>
        <w:t>支持统计所在辖区内各疫苗需补种剂次数、补种剂次数和补种率情况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疾控用户仅提供查询功能，门诊用户可查询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和导出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14"/>
        <w:spacing w:line="360" w:lineRule="auto"/>
        <w:ind w:firstLine="0" w:firstLineChars="0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华文宋体" w:hAnsi="华文宋体" w:eastAsia="华文宋体" w:cs="宋体"/>
          <w:color w:val="auto"/>
          <w:sz w:val="21"/>
          <w:szCs w:val="21"/>
          <w:highlight w:val="none"/>
        </w:rPr>
        <w:t>选择地区，学校类型，学年，轮次，出生日期，补种日期，</w:t>
      </w:r>
      <w:r>
        <w:rPr>
          <w:rFonts w:hint="eastAsia" w:ascii="华文宋体" w:hAnsi="华文宋体" w:eastAsia="华文宋体" w:cs="宋体"/>
          <w:color w:val="auto"/>
          <w:sz w:val="21"/>
          <w:szCs w:val="21"/>
          <w:highlight w:val="none"/>
          <w:lang w:val="en-US" w:eastAsia="zh-CN"/>
        </w:rPr>
        <w:t>学校名称，年级，班级</w:t>
      </w:r>
      <w:r>
        <w:rPr>
          <w:rFonts w:hint="eastAsia" w:ascii="华文宋体" w:hAnsi="华文宋体" w:eastAsia="华文宋体" w:cs="宋体"/>
          <w:color w:val="auto"/>
          <w:sz w:val="21"/>
          <w:szCs w:val="21"/>
          <w:highlight w:val="none"/>
        </w:rPr>
        <w:t>。</w:t>
      </w:r>
    </w:p>
    <w:p>
      <w:pPr>
        <w:pStyle w:val="2"/>
        <w:ind w:left="0" w:leftChars="0" w:firstLine="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疫苗种类，需补种剂次数，补种剂次数，补种率（%）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日志查看（疾控门诊）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/>
          <w:color w:val="auto"/>
          <w:sz w:val="21"/>
          <w:szCs w:val="21"/>
          <w:highlight w:val="none"/>
        </w:rPr>
        <w:t>支持记录并查询疾控、接种单位以及学校涉及登录、添加、修改、查询、导出、删除的操作情况。</w:t>
      </w:r>
    </w:p>
    <w:p>
      <w:pPr>
        <w:spacing w:line="360" w:lineRule="auto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性能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疾控用户仅提供查询功能，门诊用户可查询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和导出</w:t>
      </w:r>
      <w:r>
        <w:rPr>
          <w:rFonts w:hint="eastAsia"/>
          <w:sz w:val="21"/>
          <w:szCs w:val="21"/>
          <w:highlight w:val="none"/>
        </w:rPr>
        <w:t>。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选择地区，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日志时间，操作类型，对象选择</w:t>
      </w:r>
    </w:p>
    <w:p>
      <w:pPr>
        <w:pStyle w:val="14"/>
        <w:spacing w:line="360" w:lineRule="auto"/>
        <w:ind w:firstLine="0" w:firstLineChars="0"/>
        <w:rPr>
          <w:sz w:val="21"/>
          <w:szCs w:val="21"/>
          <w:highlight w:val="none"/>
        </w:rPr>
      </w:pPr>
    </w:p>
    <w:p>
      <w:pPr>
        <w:pStyle w:val="2"/>
        <w:spacing w:line="360" w:lineRule="auto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序号，操作类型，模块名称，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登录名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，账户，记录时间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line="312" w:lineRule="auto"/>
        <w:ind w:left="425" w:leftChars="0" w:hanging="425" w:firstLineChars="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用户管理模块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</w:pPr>
      <w:r>
        <w:rPr>
          <w:rFonts w:hint="eastAsia"/>
          <w:sz w:val="21"/>
          <w:szCs w:val="21"/>
          <w:highlight w:val="none"/>
        </w:rPr>
        <w:t>● 功能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  <w:t>支持按区域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  <w:lang w:val="en-US" w:eastAsia="zh-CN"/>
        </w:rPr>
        <w:t>进行账户查询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shd w:val="clear" w:color="auto" w:fill="FFFFFF"/>
        </w:rPr>
        <w:t>。</w:t>
      </w:r>
    </w:p>
    <w:p>
      <w:pPr>
        <w:pStyle w:val="2"/>
        <w:spacing w:line="360" w:lineRule="auto"/>
        <w:ind w:left="0" w:leftChars="0" w:firstLine="0" w:firstLineChars="0"/>
        <w:rPr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● 输入项目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所属</w:t>
      </w:r>
      <w:r>
        <w:rPr>
          <w:rFonts w:hint="eastAsia" w:ascii="宋体" w:hAnsi="宋体" w:cs="宋体"/>
          <w:color w:val="auto"/>
          <w:sz w:val="21"/>
          <w:szCs w:val="21"/>
          <w:highlight w:val="none"/>
        </w:rPr>
        <w:t>地区，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登录账号，用户显示名</w:t>
      </w:r>
    </w:p>
    <w:p>
      <w:pPr>
        <w:pStyle w:val="2"/>
        <w:spacing w:line="360" w:lineRule="auto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</w:rPr>
        <w:t>● 输出项目</w:t>
      </w:r>
      <w:r>
        <w:rPr>
          <w:rFonts w:hint="eastAsia"/>
          <w:sz w:val="21"/>
          <w:szCs w:val="21"/>
          <w:highlight w:val="none"/>
          <w:lang w:eastAsia="zh-CN"/>
        </w:rPr>
        <w:t>：</w:t>
      </w:r>
      <w:r>
        <w:rPr>
          <w:rFonts w:hint="eastAsia" w:ascii="宋体" w:hAnsi="宋体" w:cs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序号，操作（修改，删除），所属地区，用户登录账号，用户显示名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07FE7"/>
    <w:multiLevelType w:val="multilevel"/>
    <w:tmpl w:val="29107FE7"/>
    <w:lvl w:ilvl="0" w:tentative="0">
      <w:start w:val="1"/>
      <w:numFmt w:val="bullet"/>
      <w:lvlText w:val=""/>
      <w:lvlJc w:val="left"/>
      <w:pPr>
        <w:ind w:left="10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20" w:hanging="420"/>
      </w:pPr>
      <w:rPr>
        <w:rFonts w:hint="default" w:ascii="Wingdings" w:hAnsi="Wingdings"/>
      </w:rPr>
    </w:lvl>
  </w:abstractNum>
  <w:abstractNum w:abstractNumId="1">
    <w:nsid w:val="7960D8AE"/>
    <w:multiLevelType w:val="singleLevel"/>
    <w:tmpl w:val="7960D8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3MDkxZjYzNjFlOGE2OWI1NDY5MDM1NTI4NzBkZTEifQ=="/>
  </w:docVars>
  <w:rsids>
    <w:rsidRoot w:val="5A0C0B37"/>
    <w:rsid w:val="16637FA0"/>
    <w:rsid w:val="3AD62A0C"/>
    <w:rsid w:val="5A0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5">
    <w:name w:val="heading 3"/>
    <w:basedOn w:val="1"/>
    <w:next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rPr>
      <w:sz w:val="24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2020-12-02T04:07:00Z</dcterms:created>
  <dc:creator>1111</dc:creator>
  <cp:lastModifiedBy>NaNaNaNaNa</cp:lastModifiedBy>
  <dcterms:modified xsi:type="dcterms:W3CDTF">2023-09-20T07:52:05Z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2B8AE379F64149C8815763CDB4760C84_12</vt:lpwstr>
  </property>
</Properties>
</file>