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Autospacing="0" w:before="240" w:afterAutospacing="0" w:after="120"/>
        <w:ind w:firstLine="420"/>
        <w:jc w:val="center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eastAsia="黑体" w:cs="Times New Roman" w:ascii="Times New Roman" w:hAnsi="Times New Roman"/>
          <w:b/>
          <w:bCs/>
          <w:sz w:val="36"/>
          <w:szCs w:val="36"/>
        </w:rPr>
        <w:t xml:space="preserve">VDA5050 </w:t>
      </w:r>
      <w:r>
        <w:rPr>
          <w:rFonts w:ascii="Times New Roman" w:hAnsi="Times New Roman" w:cs="Times New Roman" w:eastAsia="黑体"/>
          <w:b/>
          <w:bCs/>
          <w:sz w:val="36"/>
          <w:szCs w:val="36"/>
        </w:rPr>
        <w:t>自动引导车（</w:t>
      </w:r>
      <w:r>
        <w:rPr>
          <w:rFonts w:eastAsia="黑体" w:cs="Times New Roman" w:ascii="Times New Roman" w:hAnsi="Times New Roman"/>
          <w:b/>
          <w:bCs/>
          <w:sz w:val="36"/>
          <w:szCs w:val="36"/>
        </w:rPr>
        <w:t>AGV</w:t>
      </w:r>
      <w:r>
        <w:rPr>
          <w:rFonts w:ascii="Times New Roman" w:hAnsi="Times New Roman" w:cs="Times New Roman" w:eastAsia="黑体"/>
          <w:b/>
          <w:bCs/>
          <w:sz w:val="36"/>
          <w:szCs w:val="36"/>
        </w:rPr>
        <w:t>）通信协议规范</w:t>
      </w:r>
    </w:p>
    <w:p>
      <w:pPr>
        <w:pStyle w:val="Heading1"/>
        <w:spacing w:beforeAutospacing="0" w:before="240" w:afterAutospacing="0" w:after="120"/>
        <w:ind w:hanging="0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eastAsia="黑体"/>
          <w:b/>
          <w:bCs/>
          <w:sz w:val="36"/>
          <w:szCs w:val="36"/>
        </w:rPr>
        <w:t>一、适用范围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本规范规定了</w:t>
      </w:r>
      <w:r>
        <w:rPr>
          <w:rFonts w:eastAsia="宋体" w:cs="Times New Roman" w:ascii="Times New Roman" w:hAnsi="Times New Roman"/>
          <w:sz w:val="24"/>
          <w:szCs w:val="24"/>
        </w:rPr>
        <w:t>VDA5050</w:t>
      </w:r>
      <w:r>
        <w:rPr>
          <w:rFonts w:ascii="Times New Roman" w:hAnsi="Times New Roman" w:cs="Times New Roman"/>
          <w:sz w:val="24"/>
          <w:szCs w:val="24"/>
        </w:rPr>
        <w:t>协议的适用场景、通信架构、消息格式、数据定义、交互流程及兼容性要求，适用于自动引导车（</w:t>
      </w:r>
      <w:r>
        <w:rPr>
          <w:rFonts w:eastAsia="宋体" w:cs="Times New Roman" w:ascii="Times New Roman" w:hAnsi="Times New Roman"/>
          <w:sz w:val="24"/>
          <w:szCs w:val="24"/>
        </w:rPr>
        <w:t>AGV/AMR</w:t>
      </w:r>
      <w:r>
        <w:rPr>
          <w:rFonts w:ascii="Times New Roman" w:hAnsi="Times New Roman" w:cs="Times New Roman"/>
          <w:sz w:val="24"/>
          <w:szCs w:val="24"/>
        </w:rPr>
        <w:t>）与上层控制系统（</w:t>
      </w:r>
      <w:r>
        <w:rPr>
          <w:rFonts w:eastAsia="宋体" w:cs="Times New Roman" w:ascii="Times New Roman" w:hAnsi="Times New Roman"/>
          <w:sz w:val="24"/>
          <w:szCs w:val="24"/>
        </w:rPr>
        <w:t>MES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eastAsia="宋体" w:cs="Times New Roman" w:ascii="Times New Roman" w:hAnsi="Times New Roman"/>
          <w:sz w:val="24"/>
          <w:szCs w:val="24"/>
        </w:rPr>
        <w:t>WCS</w:t>
      </w:r>
      <w:r>
        <w:rPr>
          <w:rFonts w:ascii="Times New Roman" w:hAnsi="Times New Roman" w:cs="Times New Roman"/>
          <w:sz w:val="24"/>
          <w:szCs w:val="24"/>
        </w:rPr>
        <w:t>、调度系统等）之间的标准化通信交互，不同厂商设备互联互通应遵循本协议规范。</w:t>
      </w:r>
    </w:p>
    <w:p>
      <w:pPr>
        <w:pStyle w:val="Heading1"/>
        <w:spacing w:beforeAutospacing="0" w:before="240" w:afterAutospacing="0" w:after="120"/>
        <w:ind w:hanging="0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eastAsia="黑体"/>
          <w:b/>
          <w:bCs/>
          <w:sz w:val="36"/>
          <w:szCs w:val="36"/>
        </w:rPr>
        <w:t>二、协议概述</w:t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（一）协议定位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VDA5050</w:t>
      </w:r>
      <w:r>
        <w:rPr>
          <w:rFonts w:ascii="Times New Roman" w:hAnsi="Times New Roman" w:cs="Times New Roman"/>
          <w:sz w:val="24"/>
          <w:szCs w:val="24"/>
        </w:rPr>
        <w:t>是由德国汽车工业协会（</w:t>
      </w:r>
      <w:r>
        <w:rPr>
          <w:rFonts w:eastAsia="宋体" w:cs="Times New Roman" w:ascii="Times New Roman" w:hAnsi="Times New Roman"/>
          <w:sz w:val="24"/>
          <w:szCs w:val="24"/>
        </w:rPr>
        <w:t>VDA</w:t>
      </w:r>
      <w:r>
        <w:rPr>
          <w:rFonts w:ascii="Times New Roman" w:hAnsi="Times New Roman" w:cs="Times New Roman"/>
          <w:sz w:val="24"/>
          <w:szCs w:val="24"/>
        </w:rPr>
        <w:t>）制定的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通信标准协议，用于统一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设备与控制系统之间的信息交互格式，解决不同厂商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设备互联互通的兼容性问题，支持模块化扩展与跨平台集成。</w:t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（二）通信架构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VDA5050</w:t>
      </w:r>
      <w:r>
        <w:rPr>
          <w:rFonts w:ascii="Times New Roman" w:hAnsi="Times New Roman" w:cs="Times New Roman"/>
          <w:sz w:val="24"/>
          <w:szCs w:val="24"/>
        </w:rPr>
        <w:t>采用客户端</w:t>
      </w:r>
      <w:r>
        <w:rPr>
          <w:rFonts w:eastAsia="宋体" w:cs="Times New Roman" w:ascii="Times New Roman" w:hAnsi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服务器（</w:t>
      </w:r>
      <w:r>
        <w:rPr>
          <w:rFonts w:eastAsia="宋体" w:cs="Times New Roman" w:ascii="Times New Roman" w:hAnsi="Times New Roman"/>
          <w:sz w:val="24"/>
          <w:szCs w:val="24"/>
        </w:rPr>
        <w:t>C/S</w:t>
      </w:r>
      <w:r>
        <w:rPr>
          <w:rFonts w:ascii="Times New Roman" w:hAnsi="Times New Roman" w:cs="Times New Roman"/>
          <w:sz w:val="24"/>
          <w:szCs w:val="24"/>
        </w:rPr>
        <w:t>）通信架构，应满足以下要求：</w:t>
      </w:r>
    </w:p>
    <w:p>
      <w:pPr>
        <w:pStyle w:val="Normal"/>
        <w:numPr>
          <w:ilvl w:val="0"/>
          <w:numId w:val="1"/>
        </w:numPr>
        <w:spacing w:lineRule="auto" w:line="360" w:beforeAutospacing="0" w:before="0" w:afterAutospacing="0" w:after="0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作为</w:t>
      </w:r>
      <w:r>
        <w:rPr>
          <w:rFonts w:eastAsia="宋体" w:cs="Times New Roman" w:ascii="Times New Roman" w:hAnsi="Times New Roman"/>
          <w:sz w:val="24"/>
          <w:szCs w:val="24"/>
        </w:rPr>
        <w:t>MQTT</w:t>
      </w:r>
      <w:r>
        <w:rPr>
          <w:rFonts w:ascii="Times New Roman" w:hAnsi="Times New Roman" w:cs="Times New Roman"/>
          <w:sz w:val="24"/>
          <w:szCs w:val="24"/>
        </w:rPr>
        <w:t>客户端，上层控制系统作为</w:t>
      </w:r>
      <w:r>
        <w:rPr>
          <w:rFonts w:eastAsia="宋体" w:cs="Times New Roman" w:ascii="Times New Roman" w:hAnsi="Times New Roman"/>
          <w:sz w:val="24"/>
          <w:szCs w:val="24"/>
        </w:rPr>
        <w:t>MQTT</w:t>
      </w:r>
      <w:r>
        <w:rPr>
          <w:rFonts w:ascii="Times New Roman" w:hAnsi="Times New Roman" w:cs="Times New Roman"/>
          <w:sz w:val="24"/>
          <w:szCs w:val="24"/>
        </w:rPr>
        <w:t>代理服务器（</w:t>
      </w:r>
      <w:r>
        <w:rPr>
          <w:rFonts w:eastAsia="宋体" w:cs="Times New Roman" w:ascii="Times New Roman" w:hAnsi="Times New Roman"/>
          <w:sz w:val="24"/>
          <w:szCs w:val="24"/>
        </w:rPr>
        <w:t>Broker</w:t>
      </w:r>
      <w:r>
        <w:rPr>
          <w:rFonts w:ascii="Times New Roman" w:hAnsi="Times New Roman" w:cs="Times New Roman"/>
          <w:sz w:val="24"/>
          <w:szCs w:val="24"/>
        </w:rPr>
        <w:t>）；</w:t>
      </w:r>
    </w:p>
    <w:p>
      <w:pPr>
        <w:pStyle w:val="Normal"/>
        <w:numPr>
          <w:ilvl w:val="0"/>
          <w:numId w:val="1"/>
        </w:numPr>
        <w:spacing w:lineRule="auto" w:line="360" w:beforeAutospacing="0" w:before="0" w:afterAutospacing="0" w:after="0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采用</w:t>
      </w:r>
      <w:r>
        <w:rPr>
          <w:rFonts w:eastAsia="宋体" w:cs="Times New Roman" w:ascii="Times New Roman" w:hAnsi="Times New Roman"/>
          <w:sz w:val="24"/>
          <w:szCs w:val="24"/>
        </w:rPr>
        <w:t>MQTT v3.1.1</w:t>
      </w:r>
      <w:r>
        <w:rPr>
          <w:rFonts w:ascii="Times New Roman" w:hAnsi="Times New Roman" w:cs="Times New Roman"/>
          <w:sz w:val="24"/>
          <w:szCs w:val="24"/>
        </w:rPr>
        <w:t>及以上版本作为传输层协议，基于</w:t>
      </w:r>
      <w:r>
        <w:rPr>
          <w:rFonts w:eastAsia="宋体" w:cs="Times New Roman" w:ascii="Times New Roman" w:hAnsi="Times New Roman"/>
          <w:sz w:val="24"/>
          <w:szCs w:val="24"/>
        </w:rPr>
        <w:t>TCP/IP</w:t>
      </w:r>
      <w:r>
        <w:rPr>
          <w:rFonts w:ascii="Times New Roman" w:hAnsi="Times New Roman" w:cs="Times New Roman"/>
          <w:sz w:val="24"/>
          <w:szCs w:val="24"/>
        </w:rPr>
        <w:t>网络进行数据传输；</w:t>
      </w:r>
    </w:p>
    <w:p>
      <w:pPr>
        <w:pStyle w:val="Normal"/>
        <w:numPr>
          <w:ilvl w:val="0"/>
          <w:numId w:val="1"/>
        </w:numPr>
        <w:spacing w:lineRule="auto" w:line="360" w:beforeAutospacing="0" w:before="0" w:afterAutospacing="0" w:after="0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支持双向通信：上层控制系统向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下发任务，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向上层系统上报状态、故障等信息。</w:t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（三）主题命名规范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通信消息通过</w:t>
      </w:r>
      <w:r>
        <w:rPr>
          <w:rFonts w:eastAsia="宋体" w:cs="Times New Roman" w:ascii="Times New Roman" w:hAnsi="Times New Roman"/>
          <w:sz w:val="24"/>
          <w:szCs w:val="24"/>
        </w:rPr>
        <w:t>MQTT</w:t>
      </w:r>
      <w:r>
        <w:rPr>
          <w:rFonts w:ascii="Times New Roman" w:hAnsi="Times New Roman" w:cs="Times New Roman"/>
          <w:sz w:val="24"/>
          <w:szCs w:val="24"/>
        </w:rPr>
        <w:t>主题（</w:t>
      </w:r>
      <w:r>
        <w:rPr>
          <w:rFonts w:eastAsia="宋体" w:cs="Times New Roman" w:ascii="Times New Roman" w:hAnsi="Times New Roman"/>
          <w:sz w:val="24"/>
          <w:szCs w:val="24"/>
        </w:rPr>
        <w:t>Topic</w:t>
      </w:r>
      <w:r>
        <w:rPr>
          <w:rFonts w:ascii="Times New Roman" w:hAnsi="Times New Roman" w:cs="Times New Roman"/>
          <w:sz w:val="24"/>
          <w:szCs w:val="24"/>
        </w:rPr>
        <w:t>）区分类型，主题命名应遵循以下统一格式：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907"/>
        <w:gridCol w:w="5399"/>
      </w:tblGrid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消息方向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主题格式</w:t>
            </w:r>
          </w:p>
        </w:tc>
      </w:tr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 w:eastAsia="zh-CN"/>
              </w:rPr>
              <w:t>移动指令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下行（系统→</w:t>
            </w:r>
            <w:r>
              <w:rPr>
                <w:rFonts w:eastAsia="宋体" w:cs="Times New Roman" w:ascii="Times New Roman" w:hAnsi="Times New Roman"/>
                <w:b/>
                <w:bCs/>
                <w:sz w:val="21"/>
                <w:szCs w:val="21"/>
              </w:rPr>
              <w:t>AGV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uagv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/&lt;manufacturer&gt;/&lt;serialNumber&gt;/order</w:t>
            </w:r>
          </w:p>
        </w:tc>
      </w:tr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 w:eastAsia="zh-CN"/>
              </w:rPr>
              <w:t>即时动作下行（系统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→</w:t>
            </w:r>
            <w:r>
              <w:rPr>
                <w:rFonts w:eastAsia="宋体" w:cs="Times New Roman" w:ascii="Times New Roman" w:hAnsi="Times New Roman"/>
                <w:b/>
                <w:bCs/>
                <w:sz w:val="21"/>
                <w:szCs w:val="21"/>
              </w:rPr>
              <w:t>AGV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 w:eastAsia="zh-CN"/>
              </w:rPr>
              <w:t>）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Uagv/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&lt;manufacturer&gt;/&lt;serialNumber&gt;/</w:t>
            </w: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instantActions</w:t>
            </w:r>
          </w:p>
        </w:tc>
      </w:tr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状态上行（</w:t>
            </w:r>
            <w:r>
              <w:rPr>
                <w:rFonts w:eastAsia="宋体" w:cs="Times New Roman" w:ascii="Times New Roman" w:hAnsi="Times New Roman"/>
                <w:b/>
                <w:bCs/>
                <w:sz w:val="21"/>
                <w:szCs w:val="21"/>
              </w:rPr>
              <w:t>AGV→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系统）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uagv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/&lt;manufacturer&gt;/&lt;serialNumber&gt;/state</w:t>
            </w:r>
          </w:p>
        </w:tc>
      </w:tr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可视化上行（</w:t>
            </w:r>
            <w:r>
              <w:rPr>
                <w:rFonts w:eastAsia="宋体" w:cs="Times New Roman" w:ascii="Times New Roman" w:hAnsi="Times New Roman"/>
                <w:b/>
                <w:bCs/>
                <w:sz w:val="21"/>
                <w:szCs w:val="21"/>
              </w:rPr>
              <w:t>AGV→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系统）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uagv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/&lt;manufacturer&gt;/&lt;serialNumber&gt;/visualization</w:t>
            </w:r>
          </w:p>
        </w:tc>
      </w:tr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连接心跳下行（系统→</w:t>
            </w:r>
            <w:r>
              <w:rPr>
                <w:rFonts w:eastAsia="宋体" w:cs="Times New Roman" w:ascii="Times New Roman" w:hAnsi="Times New Roman"/>
                <w:b/>
                <w:bCs/>
                <w:sz w:val="21"/>
                <w:szCs w:val="21"/>
              </w:rPr>
              <w:t>AGV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uagv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/&lt;manufacturer&gt;/&lt;serialNumber&gt;/connection</w:t>
            </w:r>
          </w:p>
        </w:tc>
      </w:tr>
      <w:tr>
        <w:trPr/>
        <w:tc>
          <w:tcPr>
            <w:tcW w:w="290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连接心跳上行（</w:t>
            </w:r>
            <w:r>
              <w:rPr>
                <w:rFonts w:eastAsia="宋体" w:cs="Times New Roman" w:ascii="Times New Roman" w:hAnsi="Times New Roman"/>
                <w:b/>
                <w:bCs/>
                <w:sz w:val="21"/>
                <w:szCs w:val="21"/>
              </w:rPr>
              <w:t>AGV→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系统）</w:t>
            </w:r>
          </w:p>
        </w:tc>
        <w:tc>
          <w:tcPr>
            <w:tcW w:w="539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  <w:lang w:val="en-US" w:eastAsia="zh-CN"/>
              </w:rPr>
              <w:t>uagv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/&lt;manufacturer&gt;/&lt;serialNumber&gt;/connection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说明：</w:t>
      </w:r>
      <w:r>
        <w:rPr>
          <w:rFonts w:eastAsia="宋体" w:cs="Times New Roman" w:ascii="Times New Roman" w:hAnsi="Times New Roman"/>
          <w:sz w:val="24"/>
          <w:szCs w:val="24"/>
        </w:rPr>
        <w:t>&lt;manufacturer&gt;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厂商标识，</w:t>
      </w:r>
      <w:r>
        <w:rPr>
          <w:rFonts w:eastAsia="宋体" w:cs="Times New Roman" w:ascii="Times New Roman" w:hAnsi="Times New Roman"/>
          <w:sz w:val="24"/>
          <w:szCs w:val="24"/>
        </w:rPr>
        <w:t>&lt;serialNumber&gt;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设备唯一序列号。</w:t>
      </w:r>
    </w:p>
    <w:p>
      <w:pPr>
        <w:pStyle w:val="Heading1"/>
        <w:spacing w:beforeAutospacing="0" w:before="240" w:afterAutospacing="0" w:after="120"/>
        <w:ind w:hanging="0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eastAsia="黑体"/>
          <w:b/>
          <w:bCs/>
          <w:sz w:val="36"/>
          <w:szCs w:val="36"/>
        </w:rPr>
        <w:t>三、消息格式规范</w:t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（一）通用消息结构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所有</w:t>
      </w:r>
      <w:r>
        <w:rPr>
          <w:rFonts w:eastAsia="宋体" w:cs="Times New Roman" w:ascii="Times New Roman" w:hAnsi="Times New Roman"/>
          <w:sz w:val="24"/>
          <w:szCs w:val="24"/>
        </w:rPr>
        <w:t>VDA5050</w:t>
      </w:r>
      <w:r>
        <w:rPr>
          <w:rFonts w:ascii="Times New Roman" w:hAnsi="Times New Roman" w:cs="Times New Roman"/>
          <w:sz w:val="24"/>
          <w:szCs w:val="24"/>
        </w:rPr>
        <w:t>消息均采用</w:t>
      </w:r>
      <w:r>
        <w:rPr>
          <w:rFonts w:eastAsia="宋体" w:cs="Times New Roman" w:ascii="Times New Roman" w:hAnsi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</w:rPr>
        <w:t>格式编码，根对象必须包含以下必填头部</w:t>
      </w:r>
      <w:r>
        <w:rPr>
          <w:rFonts w:eastAsia="宋体" w:cs="Times New Roman" w:ascii="Times New Roman" w:hAnsi="Times New Roman"/>
          <w:sz w:val="24"/>
          <w:szCs w:val="24"/>
        </w:rPr>
        <w:t>(header)</w:t>
      </w:r>
      <w:r>
        <w:rPr>
          <w:rFonts w:ascii="Times New Roman" w:hAnsi="Times New Roman" w:cs="Times New Roman"/>
          <w:sz w:val="24"/>
          <w:szCs w:val="24"/>
        </w:rPr>
        <w:t>字段，可选字段可根据场景扩展：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657"/>
        <w:gridCol w:w="990"/>
        <w:gridCol w:w="779"/>
        <w:gridCol w:w="4880"/>
      </w:tblGrid>
      <w:tr>
        <w:trPr/>
        <w:tc>
          <w:tcPr>
            <w:tcW w:w="16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99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7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88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6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headerId</w:t>
            </w:r>
          </w:p>
        </w:tc>
        <w:tc>
          <w:tcPr>
            <w:tcW w:w="99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Integer</w:t>
            </w:r>
          </w:p>
        </w:tc>
        <w:tc>
          <w:tcPr>
            <w:tcW w:w="77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88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消息序列号，递增，用于消息去重与排序</w:t>
            </w:r>
          </w:p>
        </w:tc>
      </w:tr>
      <w:tr>
        <w:trPr/>
        <w:tc>
          <w:tcPr>
            <w:tcW w:w="16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99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77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88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ISO 8601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格式的消息生成时间戳</w:t>
            </w:r>
          </w:p>
        </w:tc>
      </w:tr>
      <w:tr>
        <w:trPr/>
        <w:tc>
          <w:tcPr>
            <w:tcW w:w="16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version</w:t>
            </w:r>
          </w:p>
        </w:tc>
        <w:tc>
          <w:tcPr>
            <w:tcW w:w="99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77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88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VDA5050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协议版本号，当前为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`2.0.0`</w:t>
            </w:r>
          </w:p>
        </w:tc>
      </w:tr>
      <w:tr>
        <w:trPr/>
        <w:tc>
          <w:tcPr>
            <w:tcW w:w="16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manufacturer</w:t>
            </w:r>
          </w:p>
        </w:tc>
        <w:tc>
          <w:tcPr>
            <w:tcW w:w="99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77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88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AGV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厂商标识，与主题命名一致</w:t>
            </w:r>
          </w:p>
        </w:tc>
      </w:tr>
      <w:tr>
        <w:trPr/>
        <w:tc>
          <w:tcPr>
            <w:tcW w:w="16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serialNumber</w:t>
            </w:r>
          </w:p>
        </w:tc>
        <w:tc>
          <w:tcPr>
            <w:tcW w:w="99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77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88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AGV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设备序列号，与主题命名一致</w:t>
            </w:r>
          </w:p>
        </w:tc>
      </w:tr>
    </w:tbl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（二）下行消息类型：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移动指令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eastAsia="黑体" w:cs="Times New Roman" w:ascii="Times New Roman" w:hAnsi="Times New Roman"/>
          <w:b/>
          <w:bCs/>
          <w:sz w:val="28"/>
          <w:szCs w:val="28"/>
        </w:rPr>
        <w:t>order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移动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指令</w:t>
      </w:r>
      <w:r>
        <w:rPr>
          <w:rFonts w:ascii="Times New Roman" w:hAnsi="Times New Roman" w:cs="Times New Roman"/>
          <w:sz w:val="24"/>
          <w:szCs w:val="24"/>
        </w:rPr>
        <w:t>由上层控制系统下发给</w:t>
      </w: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，用于分配任务，除通用头部外，额外包含以下字段：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601"/>
        <w:gridCol w:w="1551"/>
        <w:gridCol w:w="710"/>
        <w:gridCol w:w="4444"/>
      </w:tblGrid>
      <w:tr>
        <w:trPr/>
        <w:tc>
          <w:tcPr>
            <w:tcW w:w="160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5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71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444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说明</w:t>
            </w:r>
          </w:p>
        </w:tc>
      </w:tr>
      <w:tr>
        <w:trPr/>
        <w:tc>
          <w:tcPr>
            <w:tcW w:w="160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orderId</w:t>
            </w:r>
          </w:p>
        </w:tc>
        <w:tc>
          <w:tcPr>
            <w:tcW w:w="155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String</w:t>
            </w:r>
          </w:p>
        </w:tc>
        <w:tc>
          <w:tcPr>
            <w:tcW w:w="71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44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移动唯一标识</w:t>
            </w:r>
          </w:p>
        </w:tc>
      </w:tr>
      <w:tr>
        <w:trPr/>
        <w:tc>
          <w:tcPr>
            <w:tcW w:w="160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orderUpdateId</w:t>
            </w:r>
          </w:p>
        </w:tc>
        <w:tc>
          <w:tcPr>
            <w:tcW w:w="155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Integer</w:t>
            </w:r>
          </w:p>
        </w:tc>
        <w:tc>
          <w:tcPr>
            <w:tcW w:w="71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44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更新版本号，递增</w:t>
            </w: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 xml:space="preserve">. </w:t>
            </w: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如果</w:t>
            </w: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release from false to true</w:t>
            </w: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。就用这个字段。</w:t>
            </w:r>
          </w:p>
        </w:tc>
      </w:tr>
      <w:tr>
        <w:trPr/>
        <w:tc>
          <w:tcPr>
            <w:tcW w:w="160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nodes</w:t>
            </w:r>
          </w:p>
        </w:tc>
        <w:tc>
          <w:tcPr>
            <w:tcW w:w="155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Array&lt;Node&gt;</w:t>
            </w:r>
          </w:p>
        </w:tc>
        <w:tc>
          <w:tcPr>
            <w:tcW w:w="71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44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任务节点列表，包含停靠点、动作节点等</w:t>
            </w:r>
          </w:p>
        </w:tc>
      </w:tr>
      <w:tr>
        <w:trPr>
          <w:trHeight w:val="256" w:hRule="atLeast"/>
        </w:trPr>
        <w:tc>
          <w:tcPr>
            <w:tcW w:w="160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edges</w:t>
            </w:r>
          </w:p>
        </w:tc>
        <w:tc>
          <w:tcPr>
            <w:tcW w:w="155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Array&lt;Edge&gt;</w:t>
            </w:r>
          </w:p>
        </w:tc>
        <w:tc>
          <w:tcPr>
            <w:tcW w:w="71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44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节点间路径边列表，定义移动路径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Node</w:t>
      </w:r>
      <w:r>
        <w:rPr>
          <w:rFonts w:ascii="Times New Roman" w:hAnsi="Times New Roman" w:cs="Times New Roman"/>
          <w:sz w:val="24"/>
          <w:szCs w:val="24"/>
        </w:rPr>
        <w:t>节点结构定义：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622"/>
        <w:gridCol w:w="1818"/>
        <w:gridCol w:w="628"/>
        <w:gridCol w:w="4238"/>
      </w:tblGrid>
      <w:tr>
        <w:trPr>
          <w:trHeight w:val="469" w:hRule="atLeast"/>
        </w:trPr>
        <w:tc>
          <w:tcPr>
            <w:tcW w:w="162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字段名</w:t>
            </w:r>
          </w:p>
        </w:tc>
        <w:tc>
          <w:tcPr>
            <w:tcW w:w="181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62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423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说明</w:t>
            </w:r>
          </w:p>
        </w:tc>
      </w:tr>
      <w:tr>
        <w:trPr/>
        <w:tc>
          <w:tcPr>
            <w:tcW w:w="162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nodeId</w:t>
            </w:r>
          </w:p>
        </w:tc>
        <w:tc>
          <w:tcPr>
            <w:tcW w:w="181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String</w:t>
            </w:r>
          </w:p>
        </w:tc>
        <w:tc>
          <w:tcPr>
            <w:tcW w:w="62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是</w:t>
            </w:r>
          </w:p>
        </w:tc>
        <w:tc>
          <w:tcPr>
            <w:tcW w:w="423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节点唯一标识</w:t>
            </w:r>
          </w:p>
        </w:tc>
      </w:tr>
      <w:tr>
        <w:trPr/>
        <w:tc>
          <w:tcPr>
            <w:tcW w:w="162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sequenceId</w:t>
            </w:r>
          </w:p>
        </w:tc>
        <w:tc>
          <w:tcPr>
            <w:tcW w:w="181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Integer</w:t>
            </w:r>
          </w:p>
        </w:tc>
        <w:tc>
          <w:tcPr>
            <w:tcW w:w="62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是</w:t>
            </w:r>
          </w:p>
        </w:tc>
        <w:tc>
          <w:tcPr>
            <w:tcW w:w="423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节点执行顺序编号，从</w:t>
            </w: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开始递增</w:t>
            </w:r>
          </w:p>
        </w:tc>
      </w:tr>
      <w:tr>
        <w:trPr>
          <w:trHeight w:val="628" w:hRule="atLeast"/>
        </w:trPr>
        <w:tc>
          <w:tcPr>
            <w:tcW w:w="162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released</w:t>
            </w:r>
          </w:p>
        </w:tc>
        <w:tc>
          <w:tcPr>
            <w:tcW w:w="181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Boolean</w:t>
            </w:r>
          </w:p>
        </w:tc>
        <w:tc>
          <w:tcPr>
            <w:tcW w:w="62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是</w:t>
            </w:r>
          </w:p>
        </w:tc>
        <w:tc>
          <w:tcPr>
            <w:tcW w:w="423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节点是否可执行，</w:t>
            </w: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false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表示暂停该节点前任务</w:t>
            </w:r>
          </w:p>
        </w:tc>
      </w:tr>
      <w:tr>
        <w:trPr/>
        <w:tc>
          <w:tcPr>
            <w:tcW w:w="162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actions</w:t>
            </w:r>
          </w:p>
        </w:tc>
        <w:tc>
          <w:tcPr>
            <w:tcW w:w="181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Array&lt;Action&gt;</w:t>
            </w:r>
          </w:p>
        </w:tc>
        <w:tc>
          <w:tcPr>
            <w:tcW w:w="62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否</w:t>
            </w:r>
          </w:p>
        </w:tc>
        <w:tc>
          <w:tcPr>
            <w:tcW w:w="423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节点需执行的动作列表</w:t>
            </w:r>
          </w:p>
        </w:tc>
      </w:tr>
      <w:tr>
        <w:trPr/>
        <w:tc>
          <w:tcPr>
            <w:tcW w:w="1622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nodePosition</w:t>
            </w:r>
          </w:p>
        </w:tc>
        <w:tc>
          <w:tcPr>
            <w:tcW w:w="181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Array&lt;position&gt;</w:t>
            </w:r>
          </w:p>
        </w:tc>
        <w:tc>
          <w:tcPr>
            <w:tcW w:w="62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是</w:t>
            </w:r>
          </w:p>
        </w:tc>
        <w:tc>
          <w:tcPr>
            <w:tcW w:w="423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节点描述说明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sz w:val="20"/>
          <w:szCs w:val="20"/>
        </w:rPr>
      </w:pPr>
      <w:r>
        <w:rPr>
          <w:rFonts w:eastAsia="宋体" w:cs="Times New Roman" w:ascii="Times New Roman" w:hAnsi="Times New Roman"/>
          <w:sz w:val="20"/>
          <w:szCs w:val="20"/>
        </w:rPr>
        <w:t>Edge</w:t>
      </w:r>
      <w:r>
        <w:rPr>
          <w:rFonts w:ascii="Times New Roman" w:hAnsi="Times New Roman" w:cs="Times New Roman"/>
          <w:sz w:val="20"/>
          <w:szCs w:val="20"/>
        </w:rPr>
        <w:t>边结构定义：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504"/>
        <w:gridCol w:w="1888"/>
        <w:gridCol w:w="798"/>
        <w:gridCol w:w="4116"/>
      </w:tblGrid>
      <w:tr>
        <w:trPr/>
        <w:tc>
          <w:tcPr>
            <w:tcW w:w="150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88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79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必填</w:t>
            </w:r>
          </w:p>
        </w:tc>
        <w:tc>
          <w:tcPr>
            <w:tcW w:w="411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说明</w:t>
            </w:r>
          </w:p>
        </w:tc>
      </w:tr>
      <w:tr>
        <w:trPr/>
        <w:tc>
          <w:tcPr>
            <w:tcW w:w="150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edgeId</w:t>
            </w:r>
          </w:p>
        </w:tc>
        <w:tc>
          <w:tcPr>
            <w:tcW w:w="188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String</w:t>
            </w:r>
          </w:p>
        </w:tc>
        <w:tc>
          <w:tcPr>
            <w:tcW w:w="79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11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边唯一标识</w:t>
            </w:r>
          </w:p>
        </w:tc>
      </w:tr>
      <w:tr>
        <w:trPr/>
        <w:tc>
          <w:tcPr>
            <w:tcW w:w="150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sequenceId</w:t>
            </w:r>
          </w:p>
        </w:tc>
        <w:tc>
          <w:tcPr>
            <w:tcW w:w="188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Integer</w:t>
            </w:r>
          </w:p>
        </w:tc>
        <w:tc>
          <w:tcPr>
            <w:tcW w:w="79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11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边执行顺序编号，从</w:t>
            </w: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0</w:t>
            </w: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开始递增</w:t>
            </w:r>
          </w:p>
        </w:tc>
      </w:tr>
      <w:tr>
        <w:trPr/>
        <w:tc>
          <w:tcPr>
            <w:tcW w:w="150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startNodeId</w:t>
            </w:r>
          </w:p>
        </w:tc>
        <w:tc>
          <w:tcPr>
            <w:tcW w:w="188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String</w:t>
            </w:r>
          </w:p>
        </w:tc>
        <w:tc>
          <w:tcPr>
            <w:tcW w:w="79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11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起始节点</w:t>
            </w: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ID</w:t>
            </w:r>
          </w:p>
        </w:tc>
      </w:tr>
      <w:tr>
        <w:trPr/>
        <w:tc>
          <w:tcPr>
            <w:tcW w:w="150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endNodeId</w:t>
            </w:r>
          </w:p>
        </w:tc>
        <w:tc>
          <w:tcPr>
            <w:tcW w:w="188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String</w:t>
            </w:r>
          </w:p>
        </w:tc>
        <w:tc>
          <w:tcPr>
            <w:tcW w:w="79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是</w:t>
            </w:r>
          </w:p>
        </w:tc>
        <w:tc>
          <w:tcPr>
            <w:tcW w:w="411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2"/>
                <w:szCs w:val="12"/>
              </w:rPr>
            </w:pPr>
            <w:r>
              <w:rPr>
                <w:rFonts w:ascii="Calibri Light" w:hAnsi="Calibri Light" w:cs="Times New Roman" w:eastAsia="Calibri Light"/>
                <w:sz w:val="12"/>
                <w:szCs w:val="12"/>
              </w:rPr>
              <w:t>结束节点</w:t>
            </w:r>
            <w:r>
              <w:rPr>
                <w:rFonts w:eastAsia="Calibri Light" w:cs="Times New Roman" w:ascii="Calibri Light" w:hAnsi="Calibri Light"/>
                <w:sz w:val="12"/>
                <w:szCs w:val="12"/>
              </w:rPr>
              <w:t>ID</w:t>
            </w:r>
          </w:p>
        </w:tc>
      </w:tr>
      <w:tr>
        <w:trPr/>
        <w:tc>
          <w:tcPr>
            <w:tcW w:w="150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actions</w:t>
            </w:r>
          </w:p>
        </w:tc>
        <w:tc>
          <w:tcPr>
            <w:tcW w:w="188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Array&lt;Action&gt;</w:t>
            </w:r>
          </w:p>
        </w:tc>
        <w:tc>
          <w:tcPr>
            <w:tcW w:w="798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否</w:t>
            </w:r>
          </w:p>
        </w:tc>
        <w:tc>
          <w:tcPr>
            <w:tcW w:w="411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节点需执行的动作列表 （放音乐等）</w:t>
            </w:r>
          </w:p>
        </w:tc>
      </w:tr>
      <w:tr>
        <w:trPr/>
        <w:tc>
          <w:tcPr>
            <w:tcW w:w="1504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maxSpeed</w:t>
            </w:r>
          </w:p>
        </w:tc>
        <w:tc>
          <w:tcPr>
            <w:tcW w:w="188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Double</w:t>
            </w:r>
          </w:p>
        </w:tc>
        <w:tc>
          <w:tcPr>
            <w:tcW w:w="79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否</w:t>
            </w:r>
          </w:p>
        </w:tc>
        <w:tc>
          <w:tcPr>
            <w:tcW w:w="411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该路径段最大允许速度，单位</w:t>
            </w: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m/s</w:t>
            </w:r>
          </w:p>
        </w:tc>
      </w:tr>
      <w:tr>
        <w:trPr/>
        <w:tc>
          <w:tcPr>
            <w:tcW w:w="1504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ascii="Times New Roman" w:hAnsi="Times New Roman"/>
                <w:sz w:val="12"/>
                <w:szCs w:val="12"/>
              </w:rPr>
              <w:t>Direction</w:t>
            </w:r>
          </w:p>
        </w:tc>
        <w:tc>
          <w:tcPr>
            <w:tcW w:w="188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eastAsia="宋体" w:cs="Times New Roman" w:hint="eastAsia" w:ascii="Times New Roman" w:hAnsi="Times New Roman"/>
                <w:sz w:val="12"/>
                <w:szCs w:val="12"/>
                <w:lang w:val="en-US" w:eastAsia="zh-CN"/>
              </w:rPr>
              <w:t>Int</w:t>
            </w:r>
          </w:p>
        </w:tc>
        <w:tc>
          <w:tcPr>
            <w:tcW w:w="798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12"/>
                <w:szCs w:val="12"/>
              </w:rPr>
            </w:pPr>
            <w:r>
              <w:rPr>
                <w:rFonts w:ascii="Times New Roman" w:hAnsi="Times New Roman" w:cs="Times New Roman" w:hint="eastAsia"/>
                <w:sz w:val="12"/>
                <w:szCs w:val="12"/>
                <w:lang w:val="en-US" w:eastAsia="zh-CN"/>
              </w:rPr>
              <w:t>否</w:t>
            </w:r>
          </w:p>
        </w:tc>
        <w:tc>
          <w:tcPr>
            <w:tcW w:w="411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rFonts w:eastAsia="宋体" w:cs="Times New Roman" w:hint="eastAsia" w:ascii="Times New Roman" w:hAnsi="Times New Roman"/>
                <w:sz w:val="12"/>
                <w:szCs w:val="12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12"/>
                <w:szCs w:val="12"/>
                <w:lang w:val="en-US" w:eastAsia="zh-CN"/>
              </w:rPr>
              <w:t>为前进，</w:t>
            </w:r>
            <w:r>
              <w:rPr>
                <w:rFonts w:eastAsia="宋体" w:cs="Times New Roman" w:hint="eastAsia" w:ascii="Times New Roman" w:hAnsi="Times New Roman"/>
                <w:sz w:val="12"/>
                <w:szCs w:val="12"/>
                <w:lang w:val="en-US" w:eastAsia="zh-CN"/>
              </w:rPr>
              <w:t>0</w:t>
            </w:r>
            <w:r>
              <w:rPr>
                <w:rFonts w:ascii="Times New Roman" w:hAnsi="Times New Roman" w:cs="Times New Roman" w:hint="eastAsia"/>
                <w:sz w:val="12"/>
                <w:szCs w:val="12"/>
                <w:lang w:val="en-US" w:eastAsia="zh-CN"/>
              </w:rPr>
              <w:t>为倒退（默认为</w:t>
            </w:r>
            <w:r>
              <w:rPr>
                <w:rFonts w:eastAsia="宋体" w:cs="Times New Roman" w:hint="eastAsia" w:ascii="Times New Roman" w:hAnsi="Times New Roman"/>
                <w:sz w:val="12"/>
                <w:szCs w:val="12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eastAsia"/>
                <w:sz w:val="12"/>
                <w:szCs w:val="12"/>
                <w:lang w:val="en-US" w:eastAsia="zh-CN"/>
              </w:rPr>
              <w:t>）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Calibri Light" w:hAnsi="Calibri Light" w:eastAsia="Calibri Light"/>
          <w:sz w:val="18"/>
          <w:szCs w:val="18"/>
        </w:rPr>
      </w:pPr>
      <w:r>
        <w:rPr>
          <w:rFonts w:eastAsia="Calibri Light" w:cs="Times New Roman" w:ascii="Calibri Light" w:hAnsi="Calibri Light"/>
          <w:sz w:val="18"/>
          <w:szCs w:val="18"/>
        </w:rPr>
        <w:t>Action</w:t>
      </w:r>
      <w:r>
        <w:rPr>
          <w:rFonts w:ascii="Calibri Light" w:hAnsi="Calibri Light" w:cs="Times New Roman" w:eastAsia="Calibri Light"/>
          <w:sz w:val="18"/>
          <w:szCs w:val="18"/>
        </w:rPr>
        <w:t>动作结构定义：（参考</w:t>
      </w:r>
      <w:r>
        <w:rPr>
          <w:rFonts w:ascii="Calibri Light" w:hAnsi="Calibri Light" w:cs="Times New Roman" w:eastAsia="Calibri Light"/>
          <w:b/>
          <w:bCs/>
          <w:sz w:val="18"/>
          <w:szCs w:val="18"/>
        </w:rPr>
        <w:t>即时</w:t>
      </w:r>
      <w:r>
        <w:rPr>
          <w:rFonts w:ascii="Calibri Light" w:hAnsi="Calibri Light" w:cs="Times New Roman" w:hint="eastAsia" w:eastAsia="Calibri Light"/>
          <w:b/>
          <w:bCs/>
          <w:sz w:val="18"/>
          <w:szCs w:val="18"/>
          <w:lang w:val="en-US" w:eastAsia="zh-CN"/>
        </w:rPr>
        <w:t>动作）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黑体" w:cs="Times New Roman" w:hint="eastAsia"/>
          <w:b/>
          <w:bCs/>
          <w:lang w:val="en-US" w:eastAsia="zh-CN"/>
        </w:rPr>
      </w:pPr>
      <w:r>
        <w:rPr>
          <w:rFonts w:eastAsia="黑体" w:cs="Times New Roman" w:hint="eastAsia" w:ascii="Times New Roman" w:hAnsi="Times New Roman"/>
          <w:b/>
          <w:bCs/>
          <w:lang w:val="en-US" w:eastAsia="zh-CN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  <w:t>例子：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"</w:t>
      </w:r>
      <w:r>
        <w:rPr>
          <w:sz w:val="16"/>
          <w:szCs w:val="16"/>
        </w:rPr>
        <w:t>order_move_then_pick_at_b": {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</w:t>
      </w:r>
      <w:r>
        <w:rPr>
          <w:sz w:val="16"/>
          <w:szCs w:val="16"/>
        </w:rPr>
        <w:t>"topic": "uagv/v2/acme/slam-07/order",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</w:t>
      </w:r>
      <w:r>
        <w:rPr>
          <w:sz w:val="16"/>
          <w:szCs w:val="16"/>
        </w:rPr>
        <w:t>"direction": "master → AGV",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</w:t>
      </w:r>
      <w:r>
        <w:rPr>
          <w:sz w:val="16"/>
          <w:szCs w:val="16"/>
        </w:rPr>
        <w:t>"notes": "Same hop; pick runs after arrival at B. This lab usually sends pick as instantActions instead.",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</w:t>
      </w:r>
      <w:r>
        <w:rPr>
          <w:sz w:val="16"/>
          <w:szCs w:val="16"/>
        </w:rPr>
        <w:t>"payload": {</w:t>
      </w:r>
    </w:p>
    <w:p>
      <w:pPr>
        <w:pStyle w:val="Normal"/>
        <w:rPr>
          <w:sz w:val="16"/>
          <w:szCs w:val="16"/>
        </w:rPr>
      </w:pPr>
      <w:r>
        <w:rPr>
          <w:color w:val="E4E4E4"/>
          <w:sz w:val="16"/>
          <w:szCs w:val="16"/>
          <w:shd w:fill="181818" w:val="clear"/>
        </w:rPr>
        <w:t> </w:t>
      </w:r>
      <w:r>
        <w:rPr>
          <w:sz w:val="16"/>
          <w:szCs w:val="16"/>
        </w:rPr>
        <w:t xml:space="preserve">       </w:t>
      </w:r>
      <w:r>
        <w:rPr>
          <w:sz w:val="16"/>
          <w:szCs w:val="16"/>
        </w:rPr>
        <w:t>"headerId": 8,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"timestamp": "2026-10-02T05:20:10.000Z",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"version": "2.0.0",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"manufacturer": "acme",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"serialNumber": "slam-07",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"orderId": "job-1843",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"orderUpdateId": 0,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</w:rPr>
        <w:t>"nodes": [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</w:t>
      </w:r>
      <w:r>
        <w:rPr>
          <w:sz w:val="16"/>
          <w:szCs w:val="16"/>
        </w:rPr>
        <w:t>{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"nodeId": "cell_1_2",</w:t>
      </w:r>
    </w:p>
    <w:p>
      <w:pPr>
        <w:pStyle w:val="Normal"/>
        <w:rPr>
          <w:sz w:val="16"/>
          <w:szCs w:val="16"/>
        </w:rPr>
      </w:pPr>
      <w:r>
        <w:rPr>
          <w:color w:val="E4E4E4"/>
          <w:sz w:val="16"/>
          <w:szCs w:val="16"/>
          <w:shd w:fill="181818" w:val="clear"/>
        </w:rPr>
        <w:t> </w:t>
      </w:r>
      <w:r>
        <w:rPr>
          <w:sz w:val="16"/>
          <w:szCs w:val="16"/>
        </w:rPr>
        <w:t xml:space="preserve">           </w:t>
      </w:r>
      <w:r>
        <w:rPr>
          <w:sz w:val="16"/>
          <w:szCs w:val="16"/>
        </w:rPr>
        <w:t>"sequenceId": 0,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"released": true,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"actions": []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>
        <w:rPr>
          <w:sz w:val="16"/>
          <w:szCs w:val="16"/>
        </w:rPr>
        <w:t>"nodePosition": { "x": 1.0, "y": 2.0, "theta": 0.0, "mapId": "warehouse" 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</w:t>
      </w:r>
      <w:r>
        <w:rPr>
          <w:sz w:val="16"/>
          <w:szCs w:val="16"/>
        </w:rPr>
        <w:t>},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</w:t>
      </w:r>
      <w:r>
        <w:rPr>
          <w:sz w:val="16"/>
          <w:szCs w:val="16"/>
        </w:rPr>
        <w:t>{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"nodeId": "cell_4_2",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"sequenceId": 2,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"released": true,</w:t>
      </w:r>
    </w:p>
    <w:p>
      <w:pPr>
        <w:pStyle w:val="Normal"/>
        <w:rPr/>
      </w:pPr>
      <w:r>
        <w:rPr/>
        <w:t>   </w:t>
      </w:r>
      <w:r>
        <w:rPr>
          <w:color w:val="158466"/>
        </w:rPr>
        <w:t xml:space="preserve">         </w:t>
      </w:r>
      <w:r>
        <w:rPr>
          <w:color w:val="158466"/>
          <w:shd w:fill="auto" w:val="clear"/>
        </w:rPr>
        <w:t>"</w:t>
      </w:r>
      <w:r>
        <w:rPr>
          <w:color w:val="158466"/>
          <w:sz w:val="18"/>
          <w:szCs w:val="18"/>
          <w:shd w:fill="auto" w:val="clear"/>
        </w:rPr>
        <w:t>actions": [</w:t>
      </w:r>
    </w:p>
    <w:p>
      <w:pPr>
        <w:pStyle w:val="Normal"/>
        <w:rPr>
          <w:sz w:val="18"/>
          <w:szCs w:val="18"/>
        </w:rPr>
      </w:pPr>
      <w:r>
        <w:rPr>
          <w:color w:val="158466"/>
          <w:sz w:val="18"/>
          <w:szCs w:val="18"/>
          <w:shd w:fill="auto" w:val="clear"/>
        </w:rPr>
        <w:t xml:space="preserve">              </w:t>
      </w:r>
      <w:r>
        <w:rPr>
          <w:color w:val="158466"/>
          <w:sz w:val="18"/>
          <w:szCs w:val="18"/>
          <w:shd w:fill="auto" w:val="clear"/>
        </w:rPr>
        <w:t>{</w:t>
      </w:r>
    </w:p>
    <w:p>
      <w:pPr>
        <w:pStyle w:val="Normal"/>
        <w:rPr>
          <w:sz w:val="18"/>
          <w:szCs w:val="18"/>
        </w:rPr>
      </w:pPr>
      <w:r>
        <w:rPr>
          <w:color w:val="158466"/>
          <w:sz w:val="18"/>
          <w:szCs w:val="18"/>
          <w:shd w:fill="auto" w:val="clear"/>
        </w:rPr>
        <w:t xml:space="preserve">                </w:t>
      </w:r>
      <w:r>
        <w:rPr>
          <w:color w:val="158466"/>
          <w:sz w:val="18"/>
          <w:szCs w:val="18"/>
          <w:shd w:fill="auto" w:val="clear"/>
        </w:rPr>
        <w:t>"actionId": "pick-1843",</w:t>
      </w:r>
    </w:p>
    <w:p>
      <w:pPr>
        <w:pStyle w:val="Normal"/>
        <w:rPr>
          <w:color w:val="158466"/>
          <w:sz w:val="16"/>
          <w:szCs w:val="16"/>
          <w:shd w:fill="auto" w:val="clear"/>
        </w:rPr>
      </w:pPr>
      <w:r>
        <w:rPr>
          <w:color w:val="158466"/>
          <w:sz w:val="16"/>
          <w:szCs w:val="16"/>
          <w:shd w:fill="auto" w:val="clear"/>
        </w:rPr>
        <w:t xml:space="preserve">                  </w:t>
      </w:r>
      <w:r>
        <w:rPr>
          <w:color w:val="158466"/>
          <w:sz w:val="16"/>
          <w:szCs w:val="16"/>
          <w:shd w:fill="auto" w:val="clear"/>
        </w:rPr>
        <w:t>"actionType": "pick",</w:t>
      </w:r>
    </w:p>
    <w:p>
      <w:pPr>
        <w:pStyle w:val="Normal"/>
        <w:rPr>
          <w:color w:val="158466"/>
          <w:sz w:val="16"/>
          <w:szCs w:val="16"/>
          <w:shd w:fill="auto" w:val="clear"/>
        </w:rPr>
      </w:pPr>
      <w:r>
        <w:rPr>
          <w:color w:val="158466"/>
          <w:sz w:val="16"/>
          <w:szCs w:val="16"/>
          <w:shd w:fill="auto" w:val="clear"/>
        </w:rPr>
        <w:tab/>
        <w:tab/>
        <w:t xml:space="preserve">   “triggerTime”: “start”,</w:t>
      </w:r>
    </w:p>
    <w:p>
      <w:pPr>
        <w:pStyle w:val="Normal"/>
        <w:rPr>
          <w:sz w:val="16"/>
          <w:szCs w:val="16"/>
        </w:rPr>
      </w:pPr>
      <w:r>
        <w:rPr>
          <w:color w:val="158466"/>
          <w:sz w:val="16"/>
          <w:szCs w:val="16"/>
          <w:shd w:fill="auto" w:val="clear"/>
        </w:rPr>
        <w:t xml:space="preserve">                  </w:t>
      </w:r>
      <w:r>
        <w:rPr>
          <w:color w:val="158466"/>
          <w:sz w:val="16"/>
          <w:szCs w:val="16"/>
          <w:shd w:fill="auto" w:val="clear"/>
        </w:rPr>
        <w:t>"blockingType": "HARD",</w:t>
      </w:r>
    </w:p>
    <w:p>
      <w:pPr>
        <w:pStyle w:val="Normal"/>
        <w:rPr>
          <w:sz w:val="16"/>
          <w:szCs w:val="16"/>
        </w:rPr>
      </w:pPr>
      <w:r>
        <w:rPr>
          <w:color w:val="158466"/>
          <w:sz w:val="16"/>
          <w:szCs w:val="16"/>
          <w:shd w:fill="auto" w:val="clear"/>
        </w:rPr>
        <w:t xml:space="preserve">                  </w:t>
      </w:r>
      <w:r>
        <w:rPr>
          <w:color w:val="158466"/>
          <w:sz w:val="16"/>
          <w:szCs w:val="16"/>
          <w:shd w:fill="auto" w:val="clear"/>
        </w:rPr>
        <w:t>"actionParameters": {}</w:t>
      </w:r>
    </w:p>
    <w:p>
      <w:pPr>
        <w:pStyle w:val="Normal"/>
        <w:rPr>
          <w:sz w:val="16"/>
          <w:szCs w:val="16"/>
        </w:rPr>
      </w:pPr>
      <w:r>
        <w:rPr>
          <w:color w:val="158466"/>
          <w:sz w:val="16"/>
          <w:szCs w:val="16"/>
          <w:shd w:fill="auto" w:val="clear"/>
        </w:rPr>
        <w:t xml:space="preserve">              </w:t>
      </w:r>
      <w:r>
        <w:rPr>
          <w:color w:val="158466"/>
          <w:sz w:val="16"/>
          <w:szCs w:val="16"/>
          <w:shd w:fill="auto" w:val="clear"/>
        </w:rPr>
        <w:t>}</w:t>
      </w:r>
    </w:p>
    <w:p>
      <w:pPr>
        <w:pStyle w:val="Normal"/>
        <w:rPr>
          <w:sz w:val="16"/>
          <w:szCs w:val="16"/>
        </w:rPr>
      </w:pPr>
      <w:r>
        <w:rPr>
          <w:color w:val="158466"/>
          <w:sz w:val="16"/>
          <w:szCs w:val="16"/>
          <w:shd w:fill="auto" w:val="clear"/>
        </w:rPr>
        <w:t xml:space="preserve">            </w:t>
      </w:r>
      <w:r>
        <w:rPr>
          <w:color w:val="158466"/>
          <w:sz w:val="16"/>
          <w:szCs w:val="16"/>
          <w:shd w:fill="auto" w:val="clear"/>
        </w:rPr>
        <w:t>],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</w:rPr>
        <w:t>"nodePosition": { "x": 4.0, "y": 2.0, "theta": 0.0, "mapId": "warehouse" 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          </w:t>
      </w:r>
      <w:r>
        <w:rPr>
          <w:sz w:val="16"/>
          <w:szCs w:val="16"/>
        </w:rPr>
        <w:t>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       </w:t>
      </w:r>
      <w:r>
        <w:rPr>
          <w:sz w:val="16"/>
          <w:szCs w:val="16"/>
        </w:rPr>
        <w:t>],</w:t>
      </w:r>
    </w:p>
    <w:p>
      <w:pPr>
        <w:pStyle w:val="Normal"/>
        <w:rPr>
          <w:sz w:val="16"/>
          <w:szCs w:val="16"/>
          <w:highlight w:val="none"/>
          <w:shd w:fill="auto" w:val="clear"/>
        </w:rPr>
      </w:pPr>
      <w:r>
        <w:rPr>
          <w:sz w:val="16"/>
          <w:szCs w:val="16"/>
          <w:shd w:fill="auto" w:val="clear"/>
        </w:rPr>
        <w:tab/>
        <w:t xml:space="preserve">  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"edges": [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"edgeId": "cell_1_2-&gt;cell_4_2",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"sequenceId": 1,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"released": true,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"startNodeId": "cell_1_2",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"endNodeId": "cell_4_2",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"actions": [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auto"/>
          <w:sz w:val="16"/>
          <w:szCs w:val="16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ab/>
        <w:tab/>
        <w:t xml:space="preserve">   </w:t>
      </w:r>
      <w:r>
        <w:rPr>
          <w:rFonts w:ascii="Consolas;Courier New;monospace" w:hAnsi="Consolas;Courier New;monospace"/>
          <w:b w:val="false"/>
          <w:color w:val="158466"/>
          <w:sz w:val="18"/>
          <w:szCs w:val="18"/>
          <w:shd w:fill="auto" w:val="clear"/>
        </w:rPr>
        <w:t>"actionId": "playmusic-1234",</w:t>
      </w:r>
    </w:p>
    <w:p>
      <w:pPr>
        <w:pStyle w:val="Normal"/>
        <w:rPr>
          <w:color w:val="158466"/>
          <w:sz w:val="16"/>
          <w:szCs w:val="16"/>
          <w:shd w:fill="auto" w:val="clear"/>
        </w:rPr>
      </w:pPr>
      <w:r>
        <w:rPr>
          <w:color w:val="158466"/>
          <w:sz w:val="16"/>
          <w:szCs w:val="16"/>
          <w:shd w:fill="auto" w:val="clear"/>
        </w:rPr>
        <w:t xml:space="preserve">                  </w:t>
      </w:r>
      <w:r>
        <w:rPr>
          <w:color w:val="158466"/>
          <w:sz w:val="16"/>
          <w:szCs w:val="16"/>
          <w:shd w:fill="auto" w:val="clear"/>
        </w:rPr>
        <w:t>"actionType": "playmusic",</w:t>
      </w:r>
    </w:p>
    <w:p>
      <w:pPr>
        <w:pStyle w:val="Normal"/>
        <w:rPr>
          <w:color w:val="158466"/>
          <w:sz w:val="16"/>
          <w:szCs w:val="16"/>
          <w:shd w:fill="auto" w:val="clear"/>
        </w:rPr>
      </w:pPr>
      <w:r>
        <w:rPr>
          <w:color w:val="158466"/>
          <w:sz w:val="16"/>
          <w:szCs w:val="16"/>
          <w:shd w:fill="auto" w:val="clear"/>
        </w:rPr>
        <w:tab/>
        <w:tab/>
        <w:t xml:space="preserve">   “triggerTime”: “start”,</w:t>
      </w:r>
    </w:p>
    <w:p>
      <w:pPr>
        <w:pStyle w:val="Normal"/>
        <w:rPr>
          <w:sz w:val="16"/>
          <w:szCs w:val="16"/>
        </w:rPr>
      </w:pPr>
      <w:r>
        <w:rPr>
          <w:color w:val="158466"/>
          <w:sz w:val="16"/>
          <w:szCs w:val="16"/>
          <w:shd w:fill="auto" w:val="clear"/>
        </w:rPr>
        <w:t xml:space="preserve">                  </w:t>
      </w:r>
      <w:r>
        <w:rPr>
          <w:color w:val="158466"/>
          <w:sz w:val="16"/>
          <w:szCs w:val="16"/>
          <w:shd w:fill="auto" w:val="clear"/>
        </w:rPr>
        <w:t>"blockingType": "soft",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auto"/>
          <w:sz w:val="16"/>
          <w:szCs w:val="16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158466"/>
          <w:sz w:val="16"/>
          <w:szCs w:val="16"/>
          <w:shd w:fill="auto" w:val="clear"/>
        </w:rPr>
        <w:t>             </w:t>
      </w:r>
      <w:r>
        <w:rPr>
          <w:rFonts w:ascii="Consolas;Courier New;monospace" w:hAnsi="Consolas;Courier New;monospace"/>
          <w:b w:val="false"/>
          <w:color w:val="158466"/>
          <w:sz w:val="16"/>
          <w:szCs w:val="16"/>
          <w:shd w:fill="auto" w:val="clear"/>
        </w:rPr>
        <w:t>"actionParameters": {musicName:”hello world”, volumn: “high”}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auto"/>
          <w:sz w:val="16"/>
          <w:szCs w:val="16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 xml:space="preserve">         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],</w:t>
        <w:tab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auto"/>
          <w:sz w:val="16"/>
          <w:szCs w:val="16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 xml:space="preserve">         “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maxSpeed” : 2.5,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auto"/>
          <w:sz w:val="16"/>
          <w:szCs w:val="16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 xml:space="preserve">         “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direction”: 1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  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auto"/>
          <w:sz w:val="16"/>
          <w:szCs w:val="16"/>
          <w:highlight w:val="none"/>
          <w:shd w:fill="auto" w:val="clear"/>
        </w:rPr>
      </w:pPr>
      <w:r>
        <w:rPr>
          <w:color w:val="auto"/>
          <w:sz w:val="16"/>
          <w:szCs w:val="16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uto"/>
          <w:sz w:val="16"/>
          <w:szCs w:val="16"/>
          <w:shd w:fill="auto" w:val="clear"/>
        </w:rPr>
        <w:t>}</w:t>
      </w:r>
    </w:p>
    <w:p>
      <w:pPr>
        <w:pStyle w:val="Normal"/>
        <w:rPr/>
      </w:pPr>
      <w:r>
        <w:rPr/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三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下</w:t>
      </w:r>
      <w:r>
        <w:rPr>
          <w:rFonts w:ascii="Times New Roman" w:hAnsi="Times New Roman" w:cs="Times New Roman"/>
          <w:b/>
          <w:bCs/>
          <w:sz w:val="28"/>
          <w:szCs w:val="28"/>
        </w:rPr>
        <w:t>行消息类型：即时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动作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cs="Times New Roman" w:hint="eastAsia" w:ascii="Times New Roman" w:hAnsi="Times New Roman"/>
          <w:b/>
          <w:bCs/>
          <w:sz w:val="28"/>
          <w:szCs w:val="28"/>
          <w:lang w:val="en-US" w:eastAsia="zh-CN"/>
        </w:rPr>
        <w:t>instantActions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Arial" w:hAnsi="Arial" w:eastAsia="Arial"/>
          <w:b/>
          <w:bCs/>
          <w:sz w:val="18"/>
          <w:szCs w:val="18"/>
        </w:rPr>
      </w:pPr>
      <w:r>
        <w:rPr>
          <w:rFonts w:ascii="Arial" w:hAnsi="Arial" w:cs="Times New Roman" w:eastAsia="Arial"/>
          <w:b/>
          <w:bCs/>
          <w:sz w:val="18"/>
          <w:szCs w:val="18"/>
          <w:lang w:val="en-US" w:eastAsia="zh-CN"/>
        </w:rPr>
        <w:t>即时</w:t>
      </w:r>
      <w:r>
        <w:rPr>
          <w:rFonts w:ascii="Arial" w:hAnsi="Arial" w:cs="Times New Roman" w:hint="eastAsia" w:eastAsia="Arial"/>
          <w:b/>
          <w:bCs/>
          <w:sz w:val="18"/>
          <w:szCs w:val="18"/>
          <w:lang w:val="en-US" w:eastAsia="zh-CN"/>
        </w:rPr>
        <w:t>动作</w:t>
      </w:r>
      <w:r>
        <w:rPr>
          <w:rFonts w:ascii="Arial" w:hAnsi="Arial" w:cs="Times New Roman" w:eastAsia="Arial"/>
          <w:b/>
          <w:bCs/>
          <w:sz w:val="18"/>
          <w:szCs w:val="18"/>
        </w:rPr>
        <w:t>由上层控制系统下发给</w:t>
      </w:r>
      <w:r>
        <w:rPr>
          <w:rFonts w:eastAsia="Arial" w:cs="Times New Roman" w:ascii="Arial" w:hAnsi="Arial"/>
          <w:b/>
          <w:bCs/>
          <w:sz w:val="18"/>
          <w:szCs w:val="18"/>
        </w:rPr>
        <w:t>AGV</w:t>
      </w:r>
      <w:r>
        <w:rPr>
          <w:rFonts w:ascii="Arial" w:hAnsi="Arial" w:cs="Times New Roman" w:eastAsia="Arial"/>
          <w:b/>
          <w:bCs/>
          <w:sz w:val="18"/>
          <w:szCs w:val="18"/>
        </w:rPr>
        <w:t>，用于</w:t>
      </w:r>
      <w:r>
        <w:rPr>
          <w:rFonts w:ascii="Arial" w:hAnsi="Arial" w:cs="Times New Roman" w:hint="eastAsia" w:eastAsia="Arial"/>
          <w:b/>
          <w:bCs/>
          <w:sz w:val="18"/>
          <w:szCs w:val="18"/>
          <w:lang w:val="en-US" w:eastAsia="zh-CN"/>
        </w:rPr>
        <w:t>执行多个动作</w:t>
      </w:r>
      <w:r>
        <w:rPr>
          <w:rFonts w:ascii="Arial" w:hAnsi="Arial" w:cs="Times New Roman" w:eastAsia="Arial"/>
          <w:b/>
          <w:bCs/>
          <w:sz w:val="18"/>
          <w:szCs w:val="18"/>
        </w:rPr>
        <w:t>，除通用头部外，额外包含以下字段：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 w:hint="eastAsia"/>
          <w:sz w:val="24"/>
          <w:szCs w:val="24"/>
          <w:lang w:val="en-US" w:eastAsia="zh-CN"/>
        </w:rPr>
      </w:pPr>
      <w:r>
        <w:rPr>
          <w:rFonts w:eastAsia="宋体" w:cs="Times New Roman" w:hint="eastAsia" w:ascii="Times New Roman" w:hAnsi="Times New Roman"/>
          <w:sz w:val="24"/>
          <w:szCs w:val="24"/>
          <w:lang w:val="en-US" w:eastAsia="zh-CN"/>
        </w:rPr>
        <w:t xml:space="preserve">Action </w:t>
      </w:r>
      <w:r>
        <w:rPr>
          <w:rFonts w:ascii="Times New Roman" w:hAnsi="Times New Roman" w:cs="Times New Roman" w:hint="eastAsia"/>
          <w:sz w:val="24"/>
          <w:szCs w:val="24"/>
          <w:lang w:val="en-US" w:eastAsia="zh-CN"/>
        </w:rPr>
        <w:t>动作结构定义：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882"/>
        <w:gridCol w:w="1981"/>
        <w:gridCol w:w="702"/>
        <w:gridCol w:w="3741"/>
      </w:tblGrid>
      <w:tr>
        <w:trPr/>
        <w:tc>
          <w:tcPr>
            <w:tcW w:w="188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98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70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374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188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actionId</w:t>
            </w:r>
          </w:p>
        </w:tc>
        <w:tc>
          <w:tcPr>
            <w:tcW w:w="198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String</w:t>
            </w:r>
          </w:p>
        </w:tc>
        <w:tc>
          <w:tcPr>
            <w:tcW w:w="70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是</w:t>
            </w:r>
          </w:p>
        </w:tc>
        <w:tc>
          <w:tcPr>
            <w:tcW w:w="374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动作唯一标识</w:t>
            </w:r>
          </w:p>
        </w:tc>
      </w:tr>
      <w:tr>
        <w:trPr/>
        <w:tc>
          <w:tcPr>
            <w:tcW w:w="188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actionType</w:t>
            </w:r>
          </w:p>
        </w:tc>
        <w:tc>
          <w:tcPr>
            <w:tcW w:w="198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String</w:t>
            </w:r>
          </w:p>
        </w:tc>
        <w:tc>
          <w:tcPr>
            <w:tcW w:w="70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是</w:t>
            </w:r>
          </w:p>
        </w:tc>
        <w:tc>
          <w:tcPr>
            <w:tcW w:w="374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动作类型，如</w:t>
            </w: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lift</w:t>
            </w: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、</w:t>
            </w: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rotate</w:t>
            </w: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等</w:t>
            </w:r>
          </w:p>
        </w:tc>
      </w:tr>
      <w:tr>
        <w:trPr/>
        <w:tc>
          <w:tcPr>
            <w:tcW w:w="1882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ascii="Calibri Light" w:hAnsi="Calibri Light"/>
                <w:sz w:val="18"/>
                <w:szCs w:val="18"/>
              </w:rPr>
              <w:t>triggerTime</w:t>
            </w:r>
          </w:p>
        </w:tc>
        <w:tc>
          <w:tcPr>
            <w:tcW w:w="1981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ascii="Calibri Light" w:hAnsi="Calibri Light"/>
                <w:sz w:val="18"/>
                <w:szCs w:val="18"/>
              </w:rPr>
              <w:t>String</w:t>
            </w:r>
          </w:p>
        </w:tc>
        <w:tc>
          <w:tcPr>
            <w:tcW w:w="702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color w:val="auto"/>
              </w:rPr>
            </w:pPr>
            <w:r>
              <w:rPr>
                <w:rFonts w:ascii="Calibri Light" w:hAnsi="Calibri Light" w:cs="Times New Roman" w:eastAsia="Calibri Light"/>
                <w:color w:val="auto"/>
                <w:sz w:val="18"/>
                <w:szCs w:val="18"/>
              </w:rPr>
              <w:t>否</w:t>
            </w:r>
          </w:p>
        </w:tc>
        <w:tc>
          <w:tcPr>
            <w:tcW w:w="3741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ascii="Calibri Light" w:hAnsi="Calibri Light"/>
                <w:sz w:val="18"/>
                <w:szCs w:val="18"/>
              </w:rPr>
              <w:t>“</w:t>
            </w:r>
            <w:r>
              <w:rPr>
                <w:rFonts w:eastAsia="Calibri Light" w:ascii="Calibri Light" w:hAnsi="Calibri Light"/>
                <w:sz w:val="18"/>
                <w:szCs w:val="18"/>
              </w:rPr>
              <w:t>start”, “end”, “continue”</w:t>
            </w:r>
          </w:p>
        </w:tc>
      </w:tr>
      <w:tr>
        <w:trPr/>
        <w:tc>
          <w:tcPr>
            <w:tcW w:w="188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blockingType</w:t>
            </w:r>
          </w:p>
        </w:tc>
        <w:tc>
          <w:tcPr>
            <w:tcW w:w="198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String</w:t>
            </w:r>
          </w:p>
        </w:tc>
        <w:tc>
          <w:tcPr>
            <w:tcW w:w="70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color w:val="auto"/>
              </w:rPr>
            </w:pPr>
            <w:r>
              <w:rPr>
                <w:rFonts w:ascii="Calibri Light" w:hAnsi="Calibri Light" w:cs="Times New Roman" w:eastAsia="Calibri Light"/>
                <w:color w:val="auto"/>
                <w:sz w:val="18"/>
                <w:szCs w:val="18"/>
              </w:rPr>
              <w:t>否</w:t>
            </w:r>
          </w:p>
        </w:tc>
        <w:tc>
          <w:tcPr>
            <w:tcW w:w="374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Hard:</w:t>
            </w: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必须完成才能做下个</w:t>
            </w: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Action</w:t>
            </w: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。</w:t>
            </w: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Soft:</w:t>
            </w: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可以做下个</w:t>
            </w: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Action</w:t>
            </w: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。</w:t>
            </w:r>
          </w:p>
        </w:tc>
      </w:tr>
      <w:tr>
        <w:trPr/>
        <w:tc>
          <w:tcPr>
            <w:tcW w:w="1882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actionParameters</w:t>
            </w:r>
          </w:p>
        </w:tc>
        <w:tc>
          <w:tcPr>
            <w:tcW w:w="1981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ascii="Calibri Light" w:hAnsi="Calibri Light"/>
                <w:sz w:val="18"/>
                <w:szCs w:val="18"/>
              </w:rPr>
              <w:t>Array&lt;Parameter&gt;</w:t>
            </w:r>
          </w:p>
        </w:tc>
        <w:tc>
          <w:tcPr>
            <w:tcW w:w="702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否</w:t>
            </w:r>
          </w:p>
        </w:tc>
        <w:tc>
          <w:tcPr>
            <w:tcW w:w="3741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eastAsia="Calibri Light"/>
                <w:sz w:val="18"/>
                <w:szCs w:val="18"/>
              </w:rPr>
              <w:t>动作参数列表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rPr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  <w:lang w:val="en-US" w:eastAsia="zh-CN"/>
        </w:rPr>
        <w:t>动作列表</w:t>
      </w:r>
      <w:r>
        <w:rPr>
          <w:rFonts w:ascii="Times New Roman" w:hAnsi="Times New Roman" w:cs="Times New Roman" w:hint="eastAsia"/>
          <w:sz w:val="18"/>
          <w:szCs w:val="18"/>
          <w:lang w:val="en-US" w:eastAsia="zh-CN"/>
        </w:rPr>
        <w:t>：</w:t>
      </w:r>
    </w:p>
    <w:tbl>
      <w:tblPr>
        <w:tblStyle w:val="10"/>
        <w:tblW w:w="5000" w:type="pct"/>
        <w:jc w:val="center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006"/>
        <w:gridCol w:w="2457"/>
        <w:gridCol w:w="3843"/>
      </w:tblGrid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动作类型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动作参数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动作说明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pick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升起平台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drop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降低平台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jackHeight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height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：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（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mm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升降到指定高度，单位毫米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startCharging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开始充电命令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stopCharging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停止充电命令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initPosition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校准位置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rotate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angle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：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车体旋转到指定角度，单位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: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度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trayRotation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angle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：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托盘旋转到指定角度，单位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: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度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playMusic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musicName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：</w:t>
            </w: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string, volumn: string (low, mid, high)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播放指定音乐</w:t>
            </w:r>
          </w:p>
        </w:tc>
      </w:tr>
      <w:tr>
        <w:trPr/>
        <w:tc>
          <w:tcPr>
            <w:tcW w:w="200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dance</w:t>
            </w:r>
          </w:p>
        </w:tc>
        <w:tc>
          <w:tcPr>
            <w:tcW w:w="2457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string</w:t>
            </w:r>
          </w:p>
        </w:tc>
        <w:tc>
          <w:tcPr>
            <w:tcW w:w="3843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跳舞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pause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机器人暂停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宋体" w:cs="Times New Roman" w:hint="eastAsia" w:ascii="Times New Roman" w:hAnsi="Times New Roman"/>
                <w:sz w:val="18"/>
                <w:szCs w:val="18"/>
                <w:lang w:val="en-US" w:eastAsia="zh-CN"/>
              </w:rPr>
              <w:t>cancelOrder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val="en-US" w:eastAsia="zh-CN"/>
              </w:rPr>
              <w:t>取消当前任务</w:t>
            </w:r>
          </w:p>
        </w:tc>
      </w:tr>
      <w:tr>
        <w:trPr/>
        <w:tc>
          <w:tcPr>
            <w:tcW w:w="200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eastAsia="宋体" w:cs="Times New Roman" w:hint="eastAsia" w:ascii="Times New Roman" w:hAnsi="Times New Roman"/>
                <w:color w:val="FF0000"/>
                <w:sz w:val="18"/>
                <w:szCs w:val="18"/>
                <w:lang w:val="en-US" w:eastAsia="zh-CN"/>
              </w:rPr>
              <w:t>r</w:t>
            </w:r>
            <w:r>
              <w:rPr>
                <w:rFonts w:eastAsia="宋体" w:cs="Times New Roman" w:hint="eastAsia" w:ascii="Times New Roman" w:hAnsi="Times New Roman"/>
                <w:color w:val="FF0000"/>
                <w:sz w:val="18"/>
                <w:szCs w:val="18"/>
                <w:lang w:val="en-US" w:eastAsia="zh-CN"/>
              </w:rPr>
              <w:t>everse</w:t>
            </w:r>
            <w:r>
              <w:rPr>
                <w:rFonts w:eastAsia="宋体" w:cs="Times New Roman" w:hint="eastAsia" w:ascii="Times New Roman" w:hAnsi="Times New Roman"/>
                <w:color w:val="FF0000"/>
                <w:sz w:val="18"/>
                <w:szCs w:val="18"/>
                <w:lang w:val="en-US" w:eastAsia="zh-CN"/>
              </w:rPr>
              <w:t>OnObstacle</w:t>
            </w:r>
          </w:p>
        </w:tc>
        <w:tc>
          <w:tcPr>
            <w:tcW w:w="2457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  <w:sz w:val="18"/>
                <w:szCs w:val="18"/>
                <w:lang w:val="en-US" w:eastAsia="zh-CN"/>
              </w:rPr>
              <w:t>取消当前任务， 倒退到</w:t>
            </w:r>
            <w:r>
              <w:rPr>
                <w:rFonts w:cs="Times New Roman" w:hint="eastAsia" w:ascii="Times New Roman" w:hAnsi="Times New Roman"/>
                <w:color w:val="FF0000"/>
                <w:sz w:val="18"/>
                <w:szCs w:val="18"/>
                <w:lang w:val="en-US" w:eastAsia="zh-CN"/>
              </w:rPr>
              <w:t>QR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en-US" w:eastAsia="zh-CN"/>
              </w:rPr>
              <w:t>如果不在</w:t>
            </w:r>
            <w:r>
              <w:rPr>
                <w:rFonts w:cs="Times New Roman" w:ascii="Times New Roman" w:hAnsi="Times New Roman"/>
                <w:color w:val="FF0000"/>
                <w:sz w:val="18"/>
                <w:szCs w:val="18"/>
                <w:lang w:val="en-US" w:eastAsia="zh-CN"/>
              </w:rPr>
              <w:t>QR</w:t>
            </w:r>
          </w:p>
        </w:tc>
      </w:tr>
      <w:tr>
        <w:trPr/>
        <w:tc>
          <w:tcPr>
            <w:tcW w:w="200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enterLowPower</w:t>
            </w:r>
          </w:p>
        </w:tc>
        <w:tc>
          <w:tcPr>
            <w:tcW w:w="2457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进入省电模式</w:t>
            </w:r>
          </w:p>
        </w:tc>
      </w:tr>
      <w:tr>
        <w:trPr/>
        <w:tc>
          <w:tcPr>
            <w:tcW w:w="200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rPr>
                <w:rFonts w:ascii="Calibri Light" w:hAnsi="Calibri Light" w:eastAsia="Calibri Light"/>
                <w:b w:val="false"/>
                <w:bCs w:val="false"/>
                <w:color w:val="FF0000"/>
                <w:sz w:val="18"/>
                <w:szCs w:val="18"/>
              </w:rPr>
            </w:pPr>
            <w:r>
              <w:rPr>
                <w:rFonts w:eastAsia="Calibri Light" w:ascii="Calibri Light" w:hAnsi="Calibri Light"/>
                <w:b w:val="false"/>
                <w:bCs w:val="false"/>
                <w:color w:val="FF0000"/>
                <w:sz w:val="18"/>
                <w:szCs w:val="18"/>
              </w:rPr>
              <w:t>disableObstacleDection</w:t>
            </w:r>
          </w:p>
        </w:tc>
        <w:tc>
          <w:tcPr>
            <w:tcW w:w="2457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rPr>
                <w:rFonts w:ascii="Calibri Light" w:hAnsi="Calibri Light" w:eastAsia="Calibri Light"/>
                <w:b w:val="false"/>
                <w:bCs w:val="false"/>
                <w:color w:val="FF0000"/>
                <w:sz w:val="18"/>
                <w:szCs w:val="18"/>
              </w:rPr>
            </w:pPr>
            <w:r>
              <w:rPr>
                <w:rFonts w:ascii="Calibri Light" w:hAnsi="Calibri Light" w:eastAsia="Calibri Light"/>
                <w:b w:val="false"/>
                <w:bCs w:val="false"/>
                <w:color w:val="FF0000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843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rPr>
                <w:rFonts w:ascii="Calibri Light" w:hAnsi="Calibri Light" w:eastAsia="Calibri Light"/>
                <w:b w:val="false"/>
                <w:bCs w:val="false"/>
                <w:color w:val="FF0000"/>
                <w:sz w:val="18"/>
                <w:szCs w:val="18"/>
              </w:rPr>
            </w:pPr>
            <w:r>
              <w:rPr>
                <w:rFonts w:ascii="Calibri Light" w:hAnsi="Calibri Light" w:eastAsia="Calibri Light"/>
                <w:b w:val="false"/>
                <w:bCs w:val="false"/>
                <w:color w:val="FF0000"/>
                <w:sz w:val="18"/>
                <w:szCs w:val="18"/>
                <w:lang w:val="en-US" w:eastAsia="zh-CN"/>
              </w:rPr>
              <w:t>取消障碍物监测 （有的是塑料</w:t>
            </w:r>
            <w:r>
              <w:rPr>
                <w:rFonts w:ascii="Calibri Light" w:hAnsi="Calibri Light" w:eastAsia="Calibri Light"/>
                <w:b w:val="false"/>
                <w:bCs w:val="false"/>
                <w:color w:val="FF0000"/>
                <w:sz w:val="18"/>
                <w:szCs w:val="18"/>
                <w:lang w:val="en-US" w:eastAsia="zh-CN"/>
              </w:rPr>
              <w:t>纸）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"instant_drop": {</w:t>
      </w:r>
    </w:p>
    <w:p>
      <w:pPr>
        <w:pStyle w:val="Normal"/>
        <w:rPr/>
      </w:pPr>
      <w:r>
        <w:rPr/>
        <w:t xml:space="preserve">      </w:t>
      </w:r>
      <w:r>
        <w:rPr/>
        <w:t>"topic": "uagv/v2/acme/slam-07/instantActions",</w:t>
      </w:r>
    </w:p>
    <w:p>
      <w:pPr>
        <w:pStyle w:val="Normal"/>
        <w:rPr/>
      </w:pPr>
      <w:r>
        <w:rPr/>
        <w:t xml:space="preserve">      </w:t>
      </w:r>
      <w:r>
        <w:rPr/>
        <w:t>"direction": "master → AGV",</w:t>
      </w:r>
    </w:p>
    <w:p>
      <w:pPr>
        <w:pStyle w:val="Normal"/>
        <w:rPr/>
      </w:pPr>
      <w:r>
        <w:rPr/>
        <w:t xml:space="preserve">      </w:t>
      </w:r>
      <w:r>
        <w:rPr/>
        <w:t>"payload": {</w:t>
      </w:r>
    </w:p>
    <w:p>
      <w:pPr>
        <w:pStyle w:val="Normal"/>
        <w:rPr/>
      </w:pPr>
      <w:r>
        <w:rPr/>
        <w:t xml:space="preserve">        </w:t>
      </w:r>
      <w:r>
        <w:rPr/>
        <w:t>"headerId": 11,</w:t>
      </w:r>
    </w:p>
    <w:p>
      <w:pPr>
        <w:pStyle w:val="Normal"/>
        <w:rPr/>
      </w:pPr>
      <w:r>
        <w:rPr/>
        <w:t xml:space="preserve">        </w:t>
      </w:r>
      <w:r>
        <w:rPr/>
        <w:t>"timestamp": "2026-10-02T05:20:21.000Z",</w:t>
      </w:r>
    </w:p>
    <w:p>
      <w:pPr>
        <w:pStyle w:val="Normal"/>
        <w:rPr/>
      </w:pPr>
      <w:r>
        <w:rPr/>
        <w:t xml:space="preserve">        </w:t>
      </w:r>
      <w:r>
        <w:rPr/>
        <w:t>"version": "2.0.0",</w:t>
      </w:r>
    </w:p>
    <w:p>
      <w:pPr>
        <w:pStyle w:val="Normal"/>
        <w:rPr/>
      </w:pPr>
      <w:r>
        <w:rPr/>
        <w:t xml:space="preserve">        </w:t>
      </w:r>
      <w:r>
        <w:rPr/>
        <w:t>"manufacturer": "acme",</w:t>
      </w:r>
    </w:p>
    <w:p>
      <w:pPr>
        <w:pStyle w:val="Normal"/>
        <w:rPr/>
      </w:pPr>
      <w:r>
        <w:rPr/>
        <w:t xml:space="preserve">        </w:t>
      </w:r>
      <w:r>
        <w:rPr/>
        <w:t>"serialNumber": "slam-07",</w:t>
      </w:r>
    </w:p>
    <w:p>
      <w:pPr>
        <w:pStyle w:val="Normal"/>
        <w:rPr/>
      </w:pPr>
      <w:r>
        <w:rPr/>
        <w:t xml:space="preserve">        </w:t>
      </w:r>
      <w:r>
        <w:rPr/>
        <w:t>"actions": [</w:t>
      </w:r>
    </w:p>
    <w:p>
      <w:pPr>
        <w:pStyle w:val="Normal"/>
        <w:rPr/>
      </w:pPr>
      <w:r>
        <w:rPr/>
        <w:t xml:space="preserve">          </w:t>
      </w:r>
      <w:r>
        <w:rPr/>
        <w:t>{</w:t>
      </w:r>
    </w:p>
    <w:p>
      <w:pPr>
        <w:pStyle w:val="Normal"/>
        <w:rPr/>
      </w:pPr>
      <w:r>
        <w:rPr/>
        <w:t xml:space="preserve">            </w:t>
      </w:r>
      <w:r>
        <w:rPr/>
        <w:t>"actionId": "drop-1",   //</w:t>
        <w:tab/>
        <w:t>next will be “drop-2”, can we simplify it with an integer?</w:t>
      </w:r>
    </w:p>
    <w:p>
      <w:pPr>
        <w:pStyle w:val="Normal"/>
        <w:rPr/>
      </w:pPr>
      <w:r>
        <w:rPr/>
        <w:t xml:space="preserve">            </w:t>
      </w:r>
      <w:r>
        <w:rPr/>
        <w:t>"actionType": "drop",</w:t>
      </w:r>
    </w:p>
    <w:p>
      <w:pPr>
        <w:pStyle w:val="Normal"/>
        <w:rPr/>
      </w:pPr>
      <w:r>
        <w:rPr/>
        <w:tab/>
        <w:tab/>
        <w:t xml:space="preserve"> “triggerTime”: “start”</w:t>
      </w:r>
    </w:p>
    <w:p>
      <w:pPr>
        <w:pStyle w:val="Normal"/>
        <w:rPr/>
      </w:pPr>
      <w:r>
        <w:rPr/>
        <w:t xml:space="preserve">            </w:t>
      </w:r>
      <w:r>
        <w:rPr/>
        <w:t>"blockingType": "HARD",</w:t>
      </w:r>
    </w:p>
    <w:p>
      <w:pPr>
        <w:pStyle w:val="Normal"/>
        <w:rPr/>
      </w:pPr>
      <w:r>
        <w:rPr/>
        <w:t xml:space="preserve">            </w:t>
      </w:r>
      <w:r>
        <w:rPr/>
        <w:t>"actionParameters": []</w:t>
      </w:r>
    </w:p>
    <w:p>
      <w:pPr>
        <w:pStyle w:val="Normal"/>
        <w:rPr/>
      </w:pPr>
      <w:r>
        <w:rPr/>
        <w:t xml:space="preserve">          </w:t>
      </w:r>
      <w:r>
        <w:rPr/>
        <w:t>}</w:t>
      </w:r>
    </w:p>
    <w:p>
      <w:pPr>
        <w:pStyle w:val="Normal"/>
        <w:rPr/>
      </w:pPr>
      <w:r>
        <w:rPr/>
        <w:t xml:space="preserve">        </w:t>
      </w:r>
      <w:r>
        <w:rPr/>
        <w:t>]</w:t>
      </w:r>
    </w:p>
    <w:p>
      <w:pPr>
        <w:pStyle w:val="Normal"/>
        <w:rPr/>
      </w:pPr>
      <w:r>
        <w:rPr/>
        <w:t xml:space="preserve">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},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</w:rPr>
      </w:pPr>
      <w:r>
        <w:rPr>
          <w:rFonts w:eastAsia="黑体"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numPr>
          <w:ilvl w:val="0"/>
          <w:numId w:val="2"/>
        </w:numPr>
        <w:spacing w:beforeAutospacing="0" w:before="120" w:afterAutospacing="0" w:after="60"/>
        <w:ind w:hanging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上行消息类型：状态（</w:t>
      </w:r>
      <w:r>
        <w:rPr>
          <w:rFonts w:eastAsia="黑体" w:cs="Times New Roman" w:ascii="Times New Roman" w:hAnsi="Times New Roman"/>
          <w:b/>
          <w:bCs/>
          <w:sz w:val="28"/>
          <w:szCs w:val="28"/>
        </w:rPr>
        <w:t>state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>
      <w:pPr>
        <w:pStyle w:val="Normal"/>
        <w:numPr>
          <w:ilvl w:val="0"/>
          <w:numId w:val="0"/>
        </w:numPr>
        <w:ind w:firstLine="420" w:start="0"/>
        <w:rPr>
          <w:sz w:val="22"/>
          <w:szCs w:val="22"/>
        </w:rPr>
      </w:pPr>
      <w:r>
        <w:rPr>
          <w:rFonts w:hint="eastAsia"/>
          <w:color w:val="auto"/>
          <w:sz w:val="22"/>
          <w:szCs w:val="22"/>
          <w:lang w:val="en-US" w:eastAsia="zh-CN"/>
        </w:rPr>
        <w:t>状态没有发生改变，不主动向外发布更新状态</w:t>
      </w:r>
      <w:r>
        <w:rPr>
          <w:rFonts w:hint="eastAsia"/>
          <w:color w:val="auto"/>
          <w:sz w:val="22"/>
          <w:szCs w:val="22"/>
          <w:lang w:val="en-US" w:eastAsia="zh-CN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状态消息由</w:t>
      </w:r>
      <w:r>
        <w:rPr>
          <w:rFonts w:eastAsia="宋体" w:cs="Times New Roman" w:ascii="Times New Roman" w:hAnsi="Times New Roman"/>
          <w:sz w:val="22"/>
          <w:szCs w:val="22"/>
        </w:rPr>
        <w:t>AGV</w:t>
      </w:r>
      <w:r>
        <w:rPr>
          <w:rFonts w:ascii="Times New Roman" w:hAnsi="Times New Roman" w:cs="Times New Roman"/>
          <w:sz w:val="22"/>
          <w:szCs w:val="22"/>
        </w:rPr>
        <w:t>定时上报给上层控制系统，用于反馈当前执行状态，除通用头部外，根对象额外包含以下核心字段：</w:t>
      </w:r>
    </w:p>
    <w:tbl>
      <w:tblPr>
        <w:tblStyle w:val="10"/>
        <w:tblW w:w="8198" w:type="dxa"/>
        <w:jc w:val="start"/>
        <w:tblInd w:w="108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071"/>
        <w:gridCol w:w="985"/>
        <w:gridCol w:w="656"/>
        <w:gridCol w:w="4486"/>
      </w:tblGrid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trHeight w:val="90" w:hRule="atLeast"/>
        </w:trPr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x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 xml:space="preserve">机器人的 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 xml:space="preserve">x </w:t>
            </w: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坐标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 xml:space="preserve">, </w:t>
            </w: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 xml:space="preserve">单位 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 xml:space="preserve">cm  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(10003)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y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  <w:lang w:val="en-US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 xml:space="preserve">机器人的 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 xml:space="preserve">y </w:t>
            </w: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坐标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 xml:space="preserve">, </w:t>
            </w: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 xml:space="preserve">单位 </w:t>
            </w: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cm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 xml:space="preserve">  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(20005)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angle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机器人的当前角度，单位 度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confidence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 xml:space="preserve">机器人的置信度 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rPr>
                <w:color w:val="FF0000"/>
              </w:rPr>
            </w:pPr>
            <w:r>
              <w:rPr>
                <w:rFonts w:eastAsia="Calibri Light" w:ascii="Calibri Light" w:hAnsi="Calibri Light"/>
                <w:color w:val="FF0000"/>
                <w:sz w:val="16"/>
                <w:szCs w:val="16"/>
              </w:rPr>
              <w:t>intented</w:t>
            </w:r>
            <w:r>
              <w:rPr>
                <w:rFonts w:eastAsia="Calibri Light" w:ascii="Calibri Light" w:hAnsi="Calibri Light"/>
                <w:color w:val="FF0000"/>
                <w:sz w:val="16"/>
                <w:szCs w:val="16"/>
              </w:rPr>
              <w:t>_position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eastAsia="Calibri Light" w:cs="Times New Roman" w:hint="eastAsia" w:ascii="Calibri Light" w:hAnsi="Calibri Light"/>
                <w:color w:val="FF0000"/>
                <w:sz w:val="16"/>
                <w:szCs w:val="16"/>
                <w:lang w:val="en-US" w:eastAsia="zh-CN"/>
              </w:rPr>
              <w:t>String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ascii="Calibri Light" w:hAnsi="Calibri Light" w:cs="Times New Roman" w:hint="eastAsia" w:eastAsia="Calibri Light"/>
                <w:color w:val="FF0000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ascii="Calibri Light" w:hAnsi="Calibri Light" w:cs="Times New Roman" w:hint="eastAsia" w:eastAsia="Calibri Light"/>
                <w:color w:val="FF0000"/>
                <w:sz w:val="16"/>
                <w:szCs w:val="16"/>
                <w:lang w:val="en-US" w:eastAsia="zh-CN"/>
              </w:rPr>
              <w:t xml:space="preserve">机器人当前位置 </w:t>
            </w:r>
            <w:r>
              <w:rPr>
                <w:rFonts w:eastAsia="Calibri Light" w:cs="Times New Roman" w:hint="eastAsia" w:ascii="Calibri Light" w:hAnsi="Calibri Light"/>
                <w:color w:val="FF0000"/>
                <w:sz w:val="16"/>
                <w:szCs w:val="16"/>
                <w:lang w:val="en-US" w:eastAsia="zh-CN"/>
              </w:rPr>
              <w:t>(1000020000)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eastAsia="Calibri Light" w:cs="Times New Roman" w:ascii="Calibri Light" w:hAnsi="Calibri Light"/>
                <w:color w:val="FF0000"/>
                <w:sz w:val="16"/>
                <w:szCs w:val="16"/>
                <w:lang w:val="en-US" w:eastAsia="zh-CN"/>
              </w:rPr>
              <w:t>lastKnownPosition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eastAsia="Calibri Light" w:cs="Times New Roman" w:hint="eastAsia" w:ascii="Calibri Light" w:hAnsi="Calibri Light"/>
                <w:color w:val="FF0000"/>
                <w:sz w:val="16"/>
                <w:szCs w:val="16"/>
                <w:lang w:val="en-US" w:eastAsia="zh-CN"/>
              </w:rPr>
              <w:t>String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ascii="Calibri Light" w:hAnsi="Calibri Light" w:cs="Times New Roman" w:hint="eastAsia" w:eastAsia="Calibri Light"/>
                <w:color w:val="FF0000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ascii="Calibri Light" w:hAnsi="Calibri Light" w:cs="Times New Roman" w:hint="eastAsia" w:eastAsia="Calibri Light"/>
                <w:color w:val="FF0000"/>
                <w:sz w:val="16"/>
                <w:szCs w:val="16"/>
                <w:lang w:val="en-US" w:eastAsia="zh-CN"/>
              </w:rPr>
              <w:t xml:space="preserve">机器人的上一个可靠位置 </w:t>
            </w:r>
            <w:r>
              <w:rPr>
                <w:rFonts w:eastAsia="Calibri Light" w:cs="Times New Roman" w:hint="eastAsia" w:ascii="Calibri Light" w:hAnsi="Calibri Light"/>
                <w:color w:val="FF0000"/>
                <w:sz w:val="16"/>
                <w:szCs w:val="16"/>
                <w:lang w:val="en-US" w:eastAsia="zh-CN"/>
              </w:rPr>
              <w:t>(1000010000)</w:t>
            </w:r>
          </w:p>
        </w:tc>
      </w:tr>
      <w:tr>
        <w:trPr/>
        <w:tc>
          <w:tcPr>
            <w:tcW w:w="2071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auto"/>
              </w:rPr>
            </w:pPr>
            <w:r>
              <w:rPr>
                <w:rFonts w:eastAsia="Calibri Light" w:ascii="Calibri Light" w:hAnsi="Calibri Light"/>
                <w:color w:val="auto"/>
                <w:sz w:val="16"/>
                <w:szCs w:val="16"/>
              </w:rPr>
              <w:t>lastReceivedHeaderId</w:t>
            </w:r>
          </w:p>
        </w:tc>
        <w:tc>
          <w:tcPr>
            <w:tcW w:w="985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auto"/>
              </w:rPr>
            </w:pPr>
            <w:r>
              <w:rPr>
                <w:rFonts w:eastAsia="Calibri Light" w:ascii="Calibri Light" w:hAnsi="Calibri Light"/>
                <w:color w:val="auto"/>
                <w:sz w:val="16"/>
                <w:szCs w:val="16"/>
              </w:rPr>
              <w:t>Integer</w:t>
            </w:r>
          </w:p>
        </w:tc>
        <w:tc>
          <w:tcPr>
            <w:tcW w:w="65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auto"/>
              </w:rPr>
            </w:pPr>
            <w:r>
              <w:rPr>
                <w:rFonts w:ascii="Calibri Light" w:hAnsi="Calibri Light" w:cs="Times New Roman" w:hint="eastAsia" w:eastAsia="Calibri Light"/>
                <w:color w:val="auto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color w:val="auto"/>
              </w:rPr>
            </w:pPr>
            <w:r>
              <w:rPr>
                <w:rFonts w:ascii="Calibri Light" w:hAnsi="Calibri Light" w:eastAsia="Calibri Light"/>
                <w:color w:val="auto"/>
                <w:sz w:val="16"/>
                <w:szCs w:val="16"/>
              </w:rPr>
              <w:t>接受到的最后的</w:t>
            </w:r>
            <w:r>
              <w:rPr>
                <w:rFonts w:ascii="Calibri Light" w:hAnsi="Calibri Light" w:cs="Times New Roman" w:eastAsia="Calibri Light"/>
                <w:color w:val="auto"/>
                <w:sz w:val="16"/>
                <w:szCs w:val="16"/>
              </w:rPr>
              <w:t xml:space="preserve">上层控制系统 </w:t>
            </w:r>
            <w:r>
              <w:rPr>
                <w:rFonts w:eastAsia="Calibri Light" w:cs="Times New Roman" w:ascii="Calibri Light" w:hAnsi="Calibri Light"/>
                <w:color w:val="auto"/>
                <w:sz w:val="16"/>
                <w:szCs w:val="16"/>
              </w:rPr>
              <w:t>(1530)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spin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机器人的托盘角度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blocked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Boolean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机器人是否阻挡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block_reason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 w:cs="Times New Roman" w:hint="eastAsia"/>
                <w:sz w:val="16"/>
                <w:szCs w:val="16"/>
                <w:lang w:val="en-US" w:eastAsia="zh-CN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被阻挡的原因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, 0 = Ultrasonic (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超声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), 1 = Laser (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激光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), 2 = Fallingdown (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防跌落传感器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), 3 = Collision (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碰撞传感器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), 4 = Infrared (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红外传感器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), 5 = Lock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（锁车开关），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 xml:space="preserve">6 = 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 xml:space="preserve">动态障碍物， 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 xml:space="preserve">7 = 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虚拟激光点，</w:t>
            </w: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 xml:space="preserve">8 = 3D </w:t>
            </w:r>
            <w:r>
              <w:rPr>
                <w:rFonts w:ascii="Calibri Light" w:hAnsi="Calibri Light" w:cs="Times New Roman" w:eastAsia="Calibri Light"/>
                <w:sz w:val="16"/>
                <w:szCs w:val="16"/>
                <w:lang w:val="en-US" w:eastAsia="zh-CN"/>
              </w:rPr>
              <w:t>相机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battery_level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机器人的电量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charging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Boolean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机器人是否充电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voltage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机器人的电压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current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机器人的电流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jackHeight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 w:cs="Times New Roman" w:hint="eastAsia"/>
                <w:sz w:val="16"/>
                <w:szCs w:val="16"/>
                <w:lang w:val="en-US" w:eastAsia="zh-CN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机器人当前的顶升高度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ascii="Calibri Light" w:hAnsi="Calibri Light"/>
                <w:sz w:val="16"/>
                <w:szCs w:val="16"/>
                <w:lang w:val="en-US" w:eastAsia="zh-CN"/>
              </w:rPr>
              <w:t>state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eastAsia="Calibri Light" w:cs="Times New Roman" w:hint="eastAsia" w:ascii="Calibri Light" w:hAnsi="Calibri Light"/>
                <w:sz w:val="16"/>
                <w:szCs w:val="16"/>
                <w:lang w:val="en-US" w:eastAsia="zh-CN"/>
              </w:rPr>
              <w:t>Number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6"/>
                <w:szCs w:val="16"/>
              </w:rPr>
            </w:pPr>
            <w:r>
              <w:rPr>
                <w:rFonts w:ascii="Calibri Light" w:hAnsi="Calibri Light" w:cs="Times New Roman" w:hint="eastAsia" w:eastAsia="Calibri Light"/>
                <w:sz w:val="16"/>
                <w:szCs w:val="16"/>
                <w:lang w:val="en-US" w:eastAsia="zh-CN"/>
              </w:rPr>
              <w:t>机器人的状态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Name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hint="eastAsia" w:eastAsia="Calibri Light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hint="eastAsia" w:eastAsia="Calibri Light"/>
                <w:sz w:val="18"/>
                <w:szCs w:val="18"/>
                <w:lang w:val="en-US" w:eastAsia="zh-CN"/>
              </w:rPr>
              <w:t>机器人的名称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faults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Array&lt;int&gt;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hint="eastAsia" w:eastAsia="Calibri Light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报警码 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Fatal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的数组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, </w:t>
            </w: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所有出现的 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Fatal </w:t>
            </w: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报警都会出现在数据</w:t>
            </w:r>
          </w:p>
        </w:tc>
      </w:tr>
      <w:tr>
        <w:trPr/>
        <w:tc>
          <w:tcPr>
            <w:tcW w:w="2071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errors</w:t>
            </w:r>
          </w:p>
        </w:tc>
        <w:tc>
          <w:tcPr>
            <w:tcW w:w="985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Array&lt;int&gt;</w:t>
            </w:r>
          </w:p>
        </w:tc>
        <w:tc>
          <w:tcPr>
            <w:tcW w:w="65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hint="eastAsia" w:eastAsia="Calibri Light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pBdr/>
              <w:jc w:val="start"/>
              <w:textAlignment w:val="top"/>
              <w:rPr>
                <w:rFonts w:ascii="Calibri Light" w:hAnsi="Calibri Light" w:eastAsia="Calibri Light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报警码 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Error</w:t>
            </w: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的数组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, </w:t>
            </w: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所有出现的 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Error</w:t>
            </w:r>
          </w:p>
          <w:p>
            <w:pPr>
              <w:pStyle w:val="Normal"/>
              <w:widowControl/>
              <w:suppressLineNumbers w:val="0"/>
              <w:pBdr/>
              <w:jc w:val="start"/>
              <w:textAlignment w:val="top"/>
              <w:rPr>
                <w:rFonts w:ascii="Calibri Light" w:hAnsi="Calibri Light" w:eastAsia="Calibri Light" w:cs="宋体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报警都会出现在数据</w:t>
            </w:r>
          </w:p>
        </w:tc>
      </w:tr>
      <w:tr>
        <w:trPr/>
        <w:tc>
          <w:tcPr>
            <w:tcW w:w="2071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warning</w:t>
            </w:r>
          </w:p>
        </w:tc>
        <w:tc>
          <w:tcPr>
            <w:tcW w:w="98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eastAsia="Calibri Light" w:cs="Times New Roman" w:hint="eastAsia" w:ascii="Calibri Light" w:hAnsi="Calibri Light"/>
                <w:sz w:val="18"/>
                <w:szCs w:val="18"/>
                <w:lang w:val="en-US" w:eastAsia="zh-CN"/>
              </w:rPr>
              <w:t>Array&lt;int&gt;</w:t>
            </w:r>
          </w:p>
        </w:tc>
        <w:tc>
          <w:tcPr>
            <w:tcW w:w="65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Times New Roman" w:hint="eastAsia" w:eastAsia="Calibri Light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4486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报警码 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Warning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Calibri Light" w:hAnsi="Calibri Light" w:eastAsia="Calibri Light"/>
                <w:sz w:val="18"/>
                <w:szCs w:val="18"/>
              </w:rPr>
            </w:pP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的数组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, </w:t>
            </w: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所有出现的 </w:t>
            </w:r>
            <w:r>
              <w:rPr>
                <w:rFonts w:eastAsia="Calibri Light" w:cs="宋体" w:ascii="Calibri Light" w:hAnsi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 xml:space="preserve">Warning </w:t>
            </w:r>
            <w:r>
              <w:rPr>
                <w:rFonts w:ascii="Calibri Light" w:hAnsi="Calibri Light" w:cs="宋体" w:eastAsia="Calibri Light"/>
                <w:color w:val="auto"/>
                <w:kern w:val="0"/>
                <w:sz w:val="18"/>
                <w:szCs w:val="18"/>
                <w:lang w:val="en-US" w:eastAsia="zh-CN" w:bidi="ar-SA"/>
              </w:rPr>
              <w:t>报警都会出现在数据中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</w:r>
    </w:p>
    <w:p>
      <w:pPr>
        <w:pStyle w:val="Heading2"/>
        <w:numPr>
          <w:ilvl w:val="0"/>
          <w:numId w:val="2"/>
        </w:numPr>
        <w:spacing w:beforeAutospacing="0" w:before="120" w:afterAutospacing="0" w:after="60"/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心跳连接消息（</w:t>
      </w:r>
      <w:r>
        <w:rPr>
          <w:rFonts w:eastAsia="黑体" w:cs="Times New Roman" w:ascii="Times New Roman" w:hAnsi="Times New Roman"/>
          <w:b/>
          <w:bCs/>
          <w:sz w:val="28"/>
          <w:szCs w:val="28"/>
        </w:rPr>
        <w:t>connection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>
      <w:pPr>
        <w:pStyle w:val="Normal"/>
        <w:numPr>
          <w:ilvl w:val="0"/>
          <w:numId w:val="0"/>
        </w:numPr>
        <w:ind w:firstLine="420" w:start="0"/>
        <w:rPr>
          <w:color w:val="auto"/>
          <w:sz w:val="18"/>
          <w:szCs w:val="18"/>
        </w:rPr>
      </w:pPr>
      <w:bookmarkStart w:id="0" w:name="_GoBack"/>
      <w:r>
        <w:rPr>
          <w:rFonts w:hint="eastAsia"/>
          <w:color w:val="auto"/>
          <w:sz w:val="18"/>
          <w:szCs w:val="18"/>
          <w:lang w:val="en-US" w:eastAsia="zh-CN"/>
        </w:rPr>
        <w:t>频率保持在</w:t>
      </w:r>
      <w:r>
        <w:rPr>
          <w:rFonts w:hint="eastAsia"/>
          <w:color w:val="auto"/>
          <w:sz w:val="18"/>
          <w:szCs w:val="18"/>
          <w:lang w:val="en-US" w:eastAsia="zh-CN"/>
        </w:rPr>
        <w:t>5</w:t>
      </w:r>
      <w:r>
        <w:rPr>
          <w:rFonts w:hint="eastAsia"/>
          <w:color w:val="auto"/>
          <w:sz w:val="18"/>
          <w:szCs w:val="18"/>
          <w:lang w:val="en-US" w:eastAsia="zh-CN"/>
        </w:rPr>
        <w:t>秒一次</w:t>
      </w:r>
      <w:bookmarkEnd w:id="0"/>
      <w:r>
        <w:rPr>
          <w:rFonts w:eastAsia="" w:eastAsiaTheme="minorEastAsia"/>
          <w:color w:val="auto"/>
          <w:sz w:val="18"/>
          <w:szCs w:val="18"/>
          <w:lang w:val="en-US" w:eastAsia="zh-CN"/>
        </w:rPr>
        <w:t xml:space="preserve">. </w:t>
      </w:r>
      <w:r>
        <w:rPr>
          <w:rFonts w:ascii="Times New Roman" w:hAnsi="Times New Roman" w:cs="Times New Roman"/>
          <w:color w:val="auto"/>
          <w:sz w:val="18"/>
          <w:szCs w:val="18"/>
        </w:rPr>
        <w:t>连接消息用于</w:t>
      </w:r>
      <w:r>
        <w:rPr>
          <w:rFonts w:eastAsia="宋体" w:cs="Times New Roman" w:ascii="Times New Roman" w:hAnsi="Times New Roman"/>
          <w:color w:val="auto"/>
          <w:sz w:val="18"/>
          <w:szCs w:val="18"/>
        </w:rPr>
        <w:t>AGV</w:t>
      </w:r>
      <w:r>
        <w:rPr>
          <w:rFonts w:ascii="Times New Roman" w:hAnsi="Times New Roman" w:cs="Times New Roman"/>
          <w:color w:val="auto"/>
          <w:sz w:val="18"/>
          <w:szCs w:val="18"/>
        </w:rPr>
        <w:t>和上层系统保持心跳，确认连接状态，结构包含：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093"/>
        <w:gridCol w:w="984"/>
        <w:gridCol w:w="855"/>
        <w:gridCol w:w="4374"/>
      </w:tblGrid>
      <w:tr>
        <w:trPr/>
        <w:tc>
          <w:tcPr>
            <w:tcW w:w="209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98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85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37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093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connectionState</w:t>
            </w:r>
          </w:p>
        </w:tc>
        <w:tc>
          <w:tcPr>
            <w:tcW w:w="98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855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37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连接状态：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`ONLINE`/`OFFLINE`</w:t>
            </w:r>
          </w:p>
        </w:tc>
      </w:tr>
    </w:tbl>
    <w:p>
      <w:pPr>
        <w:pStyle w:val="Heading1"/>
        <w:spacing w:beforeAutospacing="0" w:before="240" w:afterAutospacing="0" w:after="120"/>
        <w:ind w:hanging="0"/>
        <w:rPr>
          <w:sz w:val="20"/>
          <w:szCs w:val="20"/>
        </w:rPr>
      </w:pPr>
      <w:r>
        <w:rPr>
          <w:rFonts w:ascii="Times New Roman" w:hAnsi="Times New Roman" w:cs="Times New Roman" w:eastAsia="黑体"/>
          <w:b/>
          <w:bCs/>
          <w:sz w:val="20"/>
          <w:szCs w:val="20"/>
        </w:rPr>
        <w:t>四、交互流程规范</w:t>
      </w:r>
    </w:p>
    <w:p>
      <w:pPr>
        <w:pStyle w:val="Normal"/>
        <w:spacing w:lineRule="auto" w:line="360" w:beforeAutospacing="0" w:before="60" w:afterAutospacing="0" w:after="60"/>
        <w:ind w:hanging="360" w:start="720"/>
        <w:rPr>
          <w:sz w:val="20"/>
          <w:szCs w:val="20"/>
        </w:rPr>
      </w:pPr>
      <w:r>
        <w:rPr>
          <w:rFonts w:ascii="Times New Roman" w:hAnsi="Times New Roman" w:cs="Times New Roman" w:eastAsia="黑体"/>
          <w:sz w:val="20"/>
          <w:szCs w:val="20"/>
        </w:rPr>
        <w:t xml:space="preserve">步骤 </w:t>
      </w:r>
      <w:r>
        <w:rPr>
          <w:rFonts w:eastAsia="黑体" w:cs="Times New Roman" w:ascii="Times New Roman" w:hAnsi="Times New Roman"/>
          <w:sz w:val="20"/>
          <w:szCs w:val="20"/>
        </w:rPr>
        <w:t>1</w:t>
      </w:r>
      <w:r>
        <w:rPr>
          <w:rFonts w:ascii="Times New Roman" w:hAnsi="Times New Roman" w:cs="Times New Roman" w:eastAsia="黑体"/>
          <w:sz w:val="20"/>
          <w:szCs w:val="20"/>
        </w:rPr>
        <w:t>：连接建立。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作为</w:t>
      </w:r>
      <w:r>
        <w:rPr>
          <w:rFonts w:eastAsia="黑体" w:cs="Times New Roman" w:ascii="Times New Roman" w:hAnsi="Times New Roman"/>
          <w:sz w:val="20"/>
          <w:szCs w:val="20"/>
        </w:rPr>
        <w:t>MQTT</w:t>
      </w:r>
      <w:r>
        <w:rPr>
          <w:rFonts w:ascii="Times New Roman" w:hAnsi="Times New Roman" w:cs="Times New Roman" w:eastAsia="黑体"/>
          <w:sz w:val="20"/>
          <w:szCs w:val="20"/>
        </w:rPr>
        <w:t>客户端连接到</w:t>
      </w:r>
      <w:r>
        <w:rPr>
          <w:rFonts w:eastAsia="黑体" w:cs="Times New Roman" w:ascii="Times New Roman" w:hAnsi="Times New Roman"/>
          <w:sz w:val="20"/>
          <w:szCs w:val="20"/>
        </w:rPr>
        <w:t>Broker</w:t>
      </w:r>
      <w:r>
        <w:rPr>
          <w:rFonts w:ascii="Times New Roman" w:hAnsi="Times New Roman" w:cs="Times New Roman" w:eastAsia="黑体"/>
          <w:sz w:val="20"/>
          <w:szCs w:val="20"/>
        </w:rPr>
        <w:t>，订阅对应控制主题，发布</w:t>
      </w:r>
      <w:r>
        <w:rPr>
          <w:rFonts w:eastAsia="黑体" w:cs="Times New Roman" w:ascii="Times New Roman" w:hAnsi="Times New Roman"/>
          <w:sz w:val="20"/>
          <w:szCs w:val="20"/>
        </w:rPr>
        <w:t>`connection:ONLINE`</w:t>
      </w:r>
      <w:r>
        <w:rPr>
          <w:rFonts w:ascii="Times New Roman" w:hAnsi="Times New Roman" w:cs="Times New Roman" w:eastAsia="黑体"/>
          <w:sz w:val="20"/>
          <w:szCs w:val="20"/>
        </w:rPr>
        <w:t>消息上线，上层系统收到后确认连接状态。</w:t>
      </w:r>
    </w:p>
    <w:p>
      <w:pPr>
        <w:pStyle w:val="Normal"/>
        <w:spacing w:lineRule="auto" w:line="360" w:beforeAutospacing="0" w:before="60" w:afterAutospacing="0" w:after="60"/>
        <w:ind w:hanging="360" w:start="720"/>
        <w:rPr>
          <w:sz w:val="20"/>
          <w:szCs w:val="20"/>
        </w:rPr>
      </w:pPr>
      <w:r>
        <w:rPr>
          <w:rFonts w:ascii="Times New Roman" w:hAnsi="Times New Roman" w:cs="Times New Roman" w:eastAsia="黑体"/>
          <w:sz w:val="20"/>
          <w:szCs w:val="20"/>
        </w:rPr>
        <w:t xml:space="preserve">步骤 </w:t>
      </w:r>
      <w:r>
        <w:rPr>
          <w:rFonts w:eastAsia="黑体" w:cs="Times New Roman" w:ascii="Times New Roman" w:hAnsi="Times New Roman"/>
          <w:sz w:val="20"/>
          <w:szCs w:val="20"/>
        </w:rPr>
        <w:t>2</w:t>
      </w:r>
      <w:r>
        <w:rPr>
          <w:rFonts w:ascii="Times New Roman" w:hAnsi="Times New Roman" w:cs="Times New Roman" w:eastAsia="黑体"/>
          <w:sz w:val="20"/>
          <w:szCs w:val="20"/>
        </w:rPr>
        <w:t>：订单下发。上层系统生成订单消息，下发到对应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的</w:t>
      </w:r>
      <w:r>
        <w:rPr>
          <w:rFonts w:eastAsia="黑体" w:cs="Times New Roman" w:ascii="Times New Roman" w:hAnsi="Times New Roman"/>
          <w:sz w:val="20"/>
          <w:szCs w:val="20"/>
        </w:rPr>
        <w:t>order</w:t>
      </w:r>
      <w:r>
        <w:rPr>
          <w:rFonts w:ascii="Times New Roman" w:hAnsi="Times New Roman" w:cs="Times New Roman" w:eastAsia="黑体"/>
          <w:sz w:val="20"/>
          <w:szCs w:val="20"/>
        </w:rPr>
        <w:t>主题，包含任务节点与路径信息。</w:t>
      </w:r>
    </w:p>
    <w:p>
      <w:pPr>
        <w:pStyle w:val="Normal"/>
        <w:spacing w:lineRule="auto" w:line="360" w:beforeAutospacing="0" w:before="60" w:afterAutospacing="0" w:after="60"/>
        <w:ind w:hanging="360" w:start="720"/>
        <w:rPr>
          <w:sz w:val="20"/>
          <w:szCs w:val="20"/>
        </w:rPr>
      </w:pPr>
      <w:r>
        <w:rPr>
          <w:rFonts w:ascii="Times New Roman" w:hAnsi="Times New Roman" w:cs="Times New Roman" w:eastAsia="黑体"/>
          <w:sz w:val="20"/>
          <w:szCs w:val="20"/>
        </w:rPr>
        <w:t xml:space="preserve">步骤 </w:t>
      </w:r>
      <w:r>
        <w:rPr>
          <w:rFonts w:eastAsia="黑体" w:cs="Times New Roman" w:ascii="Times New Roman" w:hAnsi="Times New Roman"/>
          <w:sz w:val="20"/>
          <w:szCs w:val="20"/>
        </w:rPr>
        <w:t>3</w:t>
      </w:r>
      <w:r>
        <w:rPr>
          <w:rFonts w:ascii="Times New Roman" w:hAnsi="Times New Roman" w:cs="Times New Roman" w:eastAsia="黑体"/>
          <w:sz w:val="20"/>
          <w:szCs w:val="20"/>
        </w:rPr>
        <w:t>：状态上报。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按约定周期（默认建议</w:t>
      </w:r>
      <w:r>
        <w:rPr>
          <w:rFonts w:eastAsia="黑体" w:cs="Times New Roman" w:ascii="Times New Roman" w:hAnsi="Times New Roman"/>
          <w:sz w:val="20"/>
          <w:szCs w:val="20"/>
        </w:rPr>
        <w:t>1~5Hz</w:t>
      </w:r>
      <w:r>
        <w:rPr>
          <w:rFonts w:ascii="Times New Roman" w:hAnsi="Times New Roman" w:cs="Times New Roman" w:eastAsia="黑体"/>
          <w:sz w:val="20"/>
          <w:szCs w:val="20"/>
        </w:rPr>
        <w:t>）上报</w:t>
      </w:r>
      <w:r>
        <w:rPr>
          <w:rFonts w:eastAsia="黑体" w:cs="Times New Roman" w:ascii="Times New Roman" w:hAnsi="Times New Roman"/>
          <w:sz w:val="20"/>
          <w:szCs w:val="20"/>
        </w:rPr>
        <w:t>state</w:t>
      </w:r>
      <w:r>
        <w:rPr>
          <w:rFonts w:ascii="Times New Roman" w:hAnsi="Times New Roman" w:cs="Times New Roman" w:eastAsia="黑体"/>
          <w:sz w:val="20"/>
          <w:szCs w:val="20"/>
        </w:rPr>
        <w:t>消息，反馈当前任务执行进度、位置、电量、故障等信息。</w:t>
      </w:r>
    </w:p>
    <w:p>
      <w:pPr>
        <w:pStyle w:val="Normal"/>
        <w:spacing w:lineRule="auto" w:line="360" w:beforeAutospacing="0" w:before="60" w:afterAutospacing="0" w:after="60"/>
        <w:ind w:hanging="360" w:start="720"/>
        <w:rPr>
          <w:sz w:val="20"/>
          <w:szCs w:val="20"/>
        </w:rPr>
      </w:pPr>
      <w:r>
        <w:rPr>
          <w:rFonts w:ascii="Times New Roman" w:hAnsi="Times New Roman" w:cs="Times New Roman" w:eastAsia="黑体"/>
          <w:sz w:val="20"/>
          <w:szCs w:val="20"/>
        </w:rPr>
        <w:t xml:space="preserve">步骤 </w:t>
      </w:r>
      <w:r>
        <w:rPr>
          <w:rFonts w:eastAsia="黑体" w:cs="Times New Roman" w:ascii="Times New Roman" w:hAnsi="Times New Roman"/>
          <w:sz w:val="20"/>
          <w:szCs w:val="20"/>
        </w:rPr>
        <w:t>4</w:t>
      </w:r>
      <w:r>
        <w:rPr>
          <w:rFonts w:ascii="Times New Roman" w:hAnsi="Times New Roman" w:cs="Times New Roman" w:eastAsia="黑体"/>
          <w:sz w:val="20"/>
          <w:szCs w:val="20"/>
        </w:rPr>
        <w:t>：订单更新。上层系统需修改订单时，下发同</w:t>
      </w:r>
      <w:r>
        <w:rPr>
          <w:rFonts w:eastAsia="黑体" w:cs="Times New Roman" w:ascii="Times New Roman" w:hAnsi="Times New Roman"/>
          <w:sz w:val="20"/>
          <w:szCs w:val="20"/>
        </w:rPr>
        <w:t>orderId</w:t>
      </w:r>
      <w:r>
        <w:rPr>
          <w:rFonts w:ascii="Times New Roman" w:hAnsi="Times New Roman" w:cs="Times New Roman" w:eastAsia="黑体"/>
          <w:sz w:val="20"/>
          <w:szCs w:val="20"/>
        </w:rPr>
        <w:t>、递增</w:t>
      </w:r>
      <w:r>
        <w:rPr>
          <w:rFonts w:eastAsia="黑体" w:cs="Times New Roman" w:ascii="Times New Roman" w:hAnsi="Times New Roman"/>
          <w:sz w:val="20"/>
          <w:szCs w:val="20"/>
        </w:rPr>
        <w:t>orderUpdateId</w:t>
      </w:r>
      <w:r>
        <w:rPr>
          <w:rFonts w:ascii="Times New Roman" w:hAnsi="Times New Roman" w:cs="Times New Roman" w:eastAsia="黑体"/>
          <w:sz w:val="20"/>
          <w:szCs w:val="20"/>
        </w:rPr>
        <w:t>的新订单，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识别更新后替换原有任务。</w:t>
      </w:r>
    </w:p>
    <w:p>
      <w:pPr>
        <w:pStyle w:val="Normal"/>
        <w:spacing w:lineRule="auto" w:line="360" w:beforeAutospacing="0" w:before="60" w:afterAutospacing="0" w:after="60"/>
        <w:ind w:hanging="360" w:start="720"/>
        <w:rPr>
          <w:sz w:val="20"/>
          <w:szCs w:val="20"/>
        </w:rPr>
      </w:pPr>
      <w:r>
        <w:rPr>
          <w:rFonts w:ascii="Times New Roman" w:hAnsi="Times New Roman" w:cs="Times New Roman" w:eastAsia="黑体"/>
          <w:sz w:val="20"/>
          <w:szCs w:val="20"/>
        </w:rPr>
        <w:t xml:space="preserve">步骤 </w:t>
      </w:r>
      <w:r>
        <w:rPr>
          <w:rFonts w:eastAsia="黑体" w:cs="Times New Roman" w:ascii="Times New Roman" w:hAnsi="Times New Roman"/>
          <w:sz w:val="20"/>
          <w:szCs w:val="20"/>
        </w:rPr>
        <w:t>5</w:t>
      </w:r>
      <w:r>
        <w:rPr>
          <w:rFonts w:ascii="Times New Roman" w:hAnsi="Times New Roman" w:cs="Times New Roman" w:eastAsia="黑体"/>
          <w:sz w:val="20"/>
          <w:szCs w:val="20"/>
        </w:rPr>
        <w:t>：订单取消。需要取消当前订单时，下发空节点与边的订单，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停止当前任务并反馈状态。</w:t>
      </w:r>
    </w:p>
    <w:p>
      <w:pPr>
        <w:pStyle w:val="Normal"/>
        <w:spacing w:lineRule="auto" w:line="360" w:beforeAutospacing="0" w:before="60" w:afterAutospacing="0" w:after="60"/>
        <w:ind w:hanging="360" w:start="720"/>
        <w:rPr>
          <w:sz w:val="20"/>
          <w:szCs w:val="20"/>
        </w:rPr>
      </w:pPr>
      <w:r>
        <w:rPr>
          <w:rFonts w:ascii="Times New Roman" w:hAnsi="Times New Roman" w:cs="Times New Roman" w:eastAsia="黑体"/>
          <w:sz w:val="20"/>
          <w:szCs w:val="20"/>
        </w:rPr>
        <w:t xml:space="preserve">步骤 </w:t>
      </w:r>
      <w:r>
        <w:rPr>
          <w:rFonts w:eastAsia="黑体" w:cs="Times New Roman" w:ascii="Times New Roman" w:hAnsi="Times New Roman"/>
          <w:sz w:val="20"/>
          <w:szCs w:val="20"/>
        </w:rPr>
        <w:t>6</w:t>
      </w:r>
      <w:r>
        <w:rPr>
          <w:rFonts w:ascii="Times New Roman" w:hAnsi="Times New Roman" w:cs="Times New Roman" w:eastAsia="黑体"/>
          <w:sz w:val="20"/>
          <w:szCs w:val="20"/>
        </w:rPr>
        <w:t>：断开连接。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下线前发布</w:t>
      </w:r>
      <w:r>
        <w:rPr>
          <w:rFonts w:eastAsia="黑体" w:cs="Times New Roman" w:ascii="Times New Roman" w:hAnsi="Times New Roman"/>
          <w:sz w:val="20"/>
          <w:szCs w:val="20"/>
        </w:rPr>
        <w:t>`connection:OFFLINE`</w:t>
      </w:r>
      <w:r>
        <w:rPr>
          <w:rFonts w:ascii="Times New Roman" w:hAnsi="Times New Roman" w:cs="Times New Roman" w:eastAsia="黑体"/>
          <w:sz w:val="20"/>
          <w:szCs w:val="20"/>
        </w:rPr>
        <w:t>消息，断开</w:t>
      </w:r>
      <w:r>
        <w:rPr>
          <w:rFonts w:eastAsia="黑体" w:cs="Times New Roman" w:ascii="Times New Roman" w:hAnsi="Times New Roman"/>
          <w:sz w:val="20"/>
          <w:szCs w:val="20"/>
        </w:rPr>
        <w:t>MQTT</w:t>
      </w:r>
      <w:r>
        <w:rPr>
          <w:rFonts w:ascii="Times New Roman" w:hAnsi="Times New Roman" w:cs="Times New Roman" w:eastAsia="黑体"/>
          <w:sz w:val="20"/>
          <w:szCs w:val="20"/>
        </w:rPr>
        <w:t>连接，上层系统标记</w:t>
      </w:r>
      <w:r>
        <w:rPr>
          <w:rFonts w:eastAsia="黑体" w:cs="Times New Roman" w:ascii="Times New Roman" w:hAnsi="Times New Roman"/>
          <w:sz w:val="20"/>
          <w:szCs w:val="20"/>
        </w:rPr>
        <w:t>AGV</w:t>
      </w:r>
      <w:r>
        <w:rPr>
          <w:rFonts w:ascii="Times New Roman" w:hAnsi="Times New Roman" w:cs="Times New Roman" w:eastAsia="黑体"/>
          <w:sz w:val="20"/>
          <w:szCs w:val="20"/>
        </w:rPr>
        <w:t>离线。</w:t>
      </w:r>
    </w:p>
    <w:p>
      <w:pPr>
        <w:pStyle w:val="Heading1"/>
        <w:spacing w:beforeAutospacing="0" w:before="240" w:afterAutospacing="0" w:after="120"/>
        <w:ind w:hanging="0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eastAsia="黑体"/>
          <w:b/>
          <w:bCs/>
          <w:sz w:val="36"/>
          <w:szCs w:val="36"/>
        </w:rPr>
        <w:t>五、错误与信息编码规范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AGV</w:t>
      </w:r>
      <w:r>
        <w:rPr>
          <w:rFonts w:ascii="Times New Roman" w:hAnsi="Times New Roman" w:cs="Times New Roman"/>
          <w:sz w:val="24"/>
          <w:szCs w:val="24"/>
        </w:rPr>
        <w:t>上报的错误与信息应包含统一编码，便于上层系统识别处理，结构要求：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392"/>
        <w:gridCol w:w="940"/>
        <w:gridCol w:w="824"/>
        <w:gridCol w:w="4150"/>
      </w:tblGrid>
      <w:tr>
        <w:trPr/>
        <w:tc>
          <w:tcPr>
            <w:tcW w:w="239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94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82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15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39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errorType/infoType</w:t>
            </w:r>
          </w:p>
        </w:tc>
        <w:tc>
          <w:tcPr>
            <w:tcW w:w="94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82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是</w:t>
            </w:r>
          </w:p>
        </w:tc>
        <w:tc>
          <w:tcPr>
            <w:tcW w:w="415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错误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信息类型编码</w:t>
            </w:r>
          </w:p>
        </w:tc>
      </w:tr>
      <w:tr>
        <w:trPr/>
        <w:tc>
          <w:tcPr>
            <w:tcW w:w="239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94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82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15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错误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信息描述</w:t>
            </w:r>
          </w:p>
        </w:tc>
      </w:tr>
      <w:tr>
        <w:trPr/>
        <w:tc>
          <w:tcPr>
            <w:tcW w:w="2392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level</w:t>
            </w:r>
          </w:p>
        </w:tc>
        <w:tc>
          <w:tcPr>
            <w:tcW w:w="94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String</w:t>
            </w:r>
          </w:p>
        </w:tc>
        <w:tc>
          <w:tcPr>
            <w:tcW w:w="824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</w:p>
        </w:tc>
        <w:tc>
          <w:tcPr>
            <w:tcW w:w="4150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错误等级：</w:t>
            </w: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`WARNING`/`FATAL`</w:t>
            </w:r>
          </w:p>
        </w:tc>
      </w:tr>
    </w:tbl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通用错误编码示例：</w:t>
      </w:r>
    </w:p>
    <w:tbl>
      <w:tblPr>
        <w:tblStyle w:val="10"/>
        <w:tblW w:w="5000" w:type="pct"/>
        <w:jc w:val="start"/>
        <w:tblInd w:w="0" w:type="dxa"/>
        <w:tblLayout w:type="fixed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656"/>
        <w:gridCol w:w="5466"/>
        <w:gridCol w:w="2184"/>
      </w:tblGrid>
      <w:tr>
        <w:trPr/>
        <w:tc>
          <w:tcPr>
            <w:tcW w:w="656" w:type="dxa"/>
            <w:tcBorders>
              <w:top w:val="single" w:sz="8" w:space="0" w:color="000000"/>
              <w:bottom w:val="single" w:sz="8" w:space="0" w:color="000000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编码</w:t>
            </w:r>
          </w:p>
        </w:tc>
        <w:tc>
          <w:tcPr>
            <w:tcW w:w="5466" w:type="dxa"/>
            <w:tcBorders>
              <w:top w:val="single" w:sz="8" w:space="0" w:color="000000"/>
              <w:bottom w:val="single" w:sz="8" w:space="0" w:color="000000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2184" w:type="dxa"/>
            <w:tcBorders>
              <w:top w:val="single" w:sz="8" w:space="0" w:color="000000"/>
              <w:bottom w:val="single" w:sz="8" w:space="0" w:color="000000"/>
            </w:tcBorders>
            <w:shd w:color="auto" w:fill="D9E2F3" w:val="clear"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等级</w:t>
            </w:r>
          </w:p>
        </w:tc>
      </w:tr>
      <w:tr>
        <w:trPr/>
        <w:tc>
          <w:tcPr>
            <w:tcW w:w="65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546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路径规划失败</w:t>
            </w:r>
          </w:p>
        </w:tc>
        <w:tc>
          <w:tcPr>
            <w:tcW w:w="2184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FATAL</w:t>
            </w:r>
          </w:p>
        </w:tc>
      </w:tr>
      <w:tr>
        <w:trPr/>
        <w:tc>
          <w:tcPr>
            <w:tcW w:w="65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20</w:t>
            </w:r>
          </w:p>
        </w:tc>
        <w:tc>
          <w:tcPr>
            <w:tcW w:w="546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定位丢失</w:t>
            </w:r>
          </w:p>
        </w:tc>
        <w:tc>
          <w:tcPr>
            <w:tcW w:w="2184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FATAL</w:t>
            </w:r>
          </w:p>
        </w:tc>
      </w:tr>
      <w:tr>
        <w:trPr/>
        <w:tc>
          <w:tcPr>
            <w:tcW w:w="65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546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低电量警告</w:t>
            </w:r>
          </w:p>
        </w:tc>
        <w:tc>
          <w:tcPr>
            <w:tcW w:w="2184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WARNING</w:t>
            </w:r>
          </w:p>
        </w:tc>
      </w:tr>
      <w:tr>
        <w:trPr/>
        <w:tc>
          <w:tcPr>
            <w:tcW w:w="65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40</w:t>
            </w:r>
          </w:p>
        </w:tc>
        <w:tc>
          <w:tcPr>
            <w:tcW w:w="5466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障碍物阻挡停车</w:t>
            </w:r>
          </w:p>
        </w:tc>
        <w:tc>
          <w:tcPr>
            <w:tcW w:w="2184" w:type="dxa"/>
            <w:tcBorders>
              <w:bottom w:val="single" w:sz="8" w:space="0" w:color="BFBFBF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eastAsia="宋体" w:cs="Times New Roman" w:ascii="Times New Roman" w:hAnsi="Times New Roman"/>
                <w:sz w:val="21"/>
                <w:szCs w:val="21"/>
              </w:rPr>
              <w:t>WARNING</w:t>
            </w:r>
          </w:p>
        </w:tc>
      </w:tr>
    </w:tbl>
    <w:p>
      <w:pPr>
        <w:pStyle w:val="Heading1"/>
        <w:spacing w:beforeAutospacing="0" w:before="240" w:afterAutospacing="0" w:after="120"/>
        <w:ind w:hanging="0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eastAsia="黑体"/>
          <w:b/>
          <w:bCs/>
          <w:sz w:val="36"/>
          <w:szCs w:val="36"/>
        </w:rPr>
        <w:t>六、兼容性要求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协议实现应保留向后兼容性，低版本协议设备可接入高版本控制系统，高版本设备可兼容低版本控制系统的基础消息格式。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厂商自定义扩展字段应添加前缀标识，不得占用</w:t>
      </w:r>
      <w:r>
        <w:rPr>
          <w:rFonts w:eastAsia="宋体" w:cs="Times New Roman" w:ascii="Times New Roman" w:hAnsi="Times New Roman"/>
          <w:sz w:val="24"/>
          <w:szCs w:val="24"/>
        </w:rPr>
        <w:t>VDA5050</w:t>
      </w:r>
      <w:r>
        <w:rPr>
          <w:rFonts w:ascii="Times New Roman" w:hAnsi="Times New Roman" w:cs="Times New Roman"/>
          <w:sz w:val="24"/>
          <w:szCs w:val="24"/>
        </w:rPr>
        <w:t>标准定义的字段名，避免字段冲突。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新增消息类型不得修改原有标准消息的结构，应通过新增根字段实现扩展。</w:t>
      </w:r>
    </w:p>
    <w:p>
      <w:pPr>
        <w:pStyle w:val="Heading1"/>
        <w:spacing w:beforeAutospacing="0" w:before="240" w:afterAutospacing="0" w:after="120"/>
        <w:ind w:hanging="0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ascii="Times New Roman" w:hAnsi="Times New Roman" w:cs="Times New Roman" w:eastAsia="黑体"/>
          <w:b/>
          <w:bCs/>
          <w:sz w:val="36"/>
          <w:szCs w:val="36"/>
        </w:rPr>
        <w:t>七、验收要求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所有消息必须符合</w:t>
      </w:r>
      <w:r>
        <w:rPr>
          <w:rFonts w:eastAsia="宋体" w:cs="Times New Roman" w:ascii="Times New Roman" w:hAnsi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</w:rPr>
        <w:t>语法规范，非法格式报文应判定为不达标。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必填字段不得缺失，缺少必填字段的报文应判定为不达标。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主题命名必须符合本规范要求，命名不规范的应判定为不达标。</w:t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交互流程必须满足流程规范要求，流程逻辑错误的应判定为不达标。</w:t>
      </w:r>
    </w:p>
    <w:p>
      <w:pPr>
        <w:pStyle w:val="Normal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numPr>
          <w:ilvl w:val="0"/>
          <w:numId w:val="3"/>
        </w:numPr>
        <w:spacing w:beforeAutospacing="0" w:before="240" w:afterAutospacing="0" w:after="120"/>
        <w:ind w:hanging="0"/>
        <w:rPr>
          <w:rFonts w:ascii="Times New Roman" w:hAnsi="Times New Roman" w:eastAsia="黑体" w:cs="Times New Roman" w:hint="eastAsia"/>
          <w:b/>
          <w:bCs/>
          <w:sz w:val="36"/>
          <w:szCs w:val="36"/>
          <w:lang w:val="en-US" w:eastAsia="zh-CN"/>
        </w:rPr>
      </w:pPr>
      <w:r>
        <w:rPr>
          <w:rFonts w:ascii="Times New Roman" w:hAnsi="Times New Roman" w:cs="Times New Roman" w:hint="eastAsia" w:eastAsia="黑体"/>
          <w:b/>
          <w:bCs/>
          <w:sz w:val="36"/>
          <w:szCs w:val="36"/>
          <w:lang w:val="en-US" w:eastAsia="zh-CN"/>
        </w:rPr>
        <w:t>错误码定义</w:t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（一）</w:t>
      </w:r>
      <w:r>
        <w:rPr>
          <w:rFonts w:cs="Times New Roman" w:hint="eastAsia" w:ascii="Times New Roman" w:hAnsi="Times New Roman"/>
          <w:b/>
          <w:bCs/>
          <w:sz w:val="28"/>
          <w:szCs w:val="28"/>
          <w:lang w:val="en-US" w:eastAsia="zh-CN"/>
        </w:rPr>
        <w:t>faults</w:t>
      </w:r>
    </w:p>
    <w:tbl>
      <w:tblPr>
        <w:tblStyle w:val="18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0"/>
        <w:gridCol w:w="3037"/>
        <w:gridCol w:w="4319"/>
      </w:tblGrid>
      <w:tr>
        <w:trPr/>
        <w:tc>
          <w:tcPr>
            <w:tcW w:w="950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位序</w:t>
            </w:r>
          </w:p>
        </w:tc>
        <w:tc>
          <w:tcPr>
            <w:tcW w:w="3037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4319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rPr>
          <w:trHeight w:val="90" w:hRule="atLeast"/>
        </w:trPr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Fault_CAN_COM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/>
              <w:t>CAN</w:t>
            </w:r>
            <w:r>
              <w:rPr/>
              <w:t>通信异常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Fault_MotorL_COM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左电机通信异常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Fault_MotorR_COM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右电机通信异常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Fault_MotorU_COM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顶升电机通信异常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Fault_MotorT_COM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旋转电机通信异常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Fault_CameraNavi_COM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导航相机通信异常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Fault_CameraGoods_COM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货架相机通信异常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Fault_Avoiding_COM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避障通信异常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Fault_IMU_COM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/>
              <w:t>IMU</w:t>
            </w:r>
            <w:r>
              <w:rPr/>
              <w:t>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Fault_BMS_COM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/>
              <w:t>BMS</w:t>
            </w:r>
            <w:r>
              <w:rPr/>
              <w:t>通信异常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Fault_FRAM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铁电读写异常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Fault_ETH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网口初始化异常（网线没插好）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Fault_JACKING_RESET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顶盘复位超时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Fault_Rotating_RESET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旋盘复位超时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Fault_Memory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内存故障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Fault_IMU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陀螺仪初始化失败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Fanlt_FRAM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铁电参数初始化失败</w:t>
            </w:r>
          </w:p>
        </w:tc>
      </w:tr>
    </w:tbl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二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  <w:r>
        <w:rPr>
          <w:rFonts w:cs="Times New Roman" w:hint="eastAsia" w:ascii="Times New Roman" w:hAnsi="Times New Roman"/>
          <w:b/>
          <w:bCs/>
          <w:sz w:val="28"/>
          <w:szCs w:val="28"/>
          <w:lang w:val="en-US" w:eastAsia="zh-CN"/>
        </w:rPr>
        <w:t>errors</w:t>
      </w:r>
    </w:p>
    <w:tbl>
      <w:tblPr>
        <w:tblStyle w:val="18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0"/>
        <w:gridCol w:w="3037"/>
        <w:gridCol w:w="4319"/>
      </w:tblGrid>
      <w:tr>
        <w:trPr/>
        <w:tc>
          <w:tcPr>
            <w:tcW w:w="950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位序</w:t>
            </w:r>
          </w:p>
        </w:tc>
        <w:tc>
          <w:tcPr>
            <w:tcW w:w="3037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4319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Error_MotorAll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电机报警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33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Error_RCS_COM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调度系统通信中断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34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Error_LimitUp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上限位触发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rFonts w:eastAsia="等线"/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35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Error_Course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航向角突变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36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Error_LostNaviQR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丢失导航码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37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Error_LostGoodsQR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无货架码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38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Error_WrongNaviQR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导航码错误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39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Error_AvoidingLong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长时间避障触发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40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Error_Strip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防撞条触发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41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Error_BatteryRunsOut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电量耗尽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42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Error_StopSwitch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急停开关触发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43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Error_Charge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充电任务异常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44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Error_Calibration_G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地面校准失败，连续旋转三次后都不能对准二维码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45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Error_Calibration_D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货架校准失败，连续旋转三次后都不能对准二维码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46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Error_JACKING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顶升失败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达到限位高度或者上限位开关触发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47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Error_ROTATING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旋盘旋转失败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超时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48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Error_SPIN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旋转失败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超时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49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Error_WrongTargetQR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接收到错误目标点，即目标点和当前点的</w:t>
            </w:r>
            <w:r>
              <w:rPr>
                <w:rFonts w:hint="eastAsia"/>
              </w:rPr>
              <w:t>XY</w:t>
            </w:r>
            <w:r>
              <w:rPr>
                <w:rFonts w:hint="eastAsia"/>
              </w:rPr>
              <w:t>坐标都不一致</w:t>
            </w:r>
            <w:r>
              <w:rPr>
                <w:rFonts w:hint="eastAsia"/>
              </w:rPr>
              <w:t>*</w:t>
            </w:r>
          </w:p>
        </w:tc>
      </w:tr>
    </w:tbl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Heading2"/>
        <w:spacing w:beforeAutospacing="0" w:before="120" w:afterAutospacing="0" w:after="60"/>
        <w:ind w:hanging="0"/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 w:eastAsia="zh-CN"/>
        </w:rPr>
        <w:t>三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  <w:r>
        <w:rPr>
          <w:rFonts w:cs="Times New Roman" w:hint="eastAsia" w:ascii="Times New Roman" w:hAnsi="Times New Roman"/>
          <w:b/>
          <w:bCs/>
          <w:sz w:val="28"/>
          <w:szCs w:val="28"/>
          <w:lang w:val="en-US" w:eastAsia="zh-CN"/>
        </w:rPr>
        <w:t>warning</w:t>
      </w:r>
    </w:p>
    <w:tbl>
      <w:tblPr>
        <w:tblStyle w:val="18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0"/>
        <w:gridCol w:w="3037"/>
        <w:gridCol w:w="4319"/>
      </w:tblGrid>
      <w:tr>
        <w:trPr/>
        <w:tc>
          <w:tcPr>
            <w:tcW w:w="950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位序</w:t>
            </w:r>
          </w:p>
        </w:tc>
        <w:tc>
          <w:tcPr>
            <w:tcW w:w="3037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含义</w:t>
            </w:r>
          </w:p>
        </w:tc>
        <w:tc>
          <w:tcPr>
            <w:tcW w:w="4319" w:type="dxa"/>
            <w:tcBorders>
              <w:bottom w:val="single" w:sz="12" w:space="0" w:color="666666"/>
            </w:tcBorders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64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Warn_Avoiding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避障触发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65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Warn_WrongNaviQR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导航二维码码异常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66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Warn_LowBattery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低电量警告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67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Warn_UndefinedCmd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未定义的指令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Warn_ErrorCmd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错误指令</w:t>
            </w:r>
            <w:r>
              <w:rPr/>
              <w:t>,</w:t>
            </w:r>
            <w:r>
              <w:rPr/>
              <w:t>指令参数不正确</w:t>
            </w:r>
          </w:p>
        </w:tc>
      </w:tr>
      <w:tr>
        <w:trPr>
          <w:trHeight w:val="275" w:hRule="atLeast"/>
        </w:trPr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69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Warn_InvalidCmd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无效指令</w:t>
            </w:r>
            <w:r>
              <w:rPr/>
              <w:t>,</w:t>
            </w:r>
            <w:r>
              <w:rPr/>
              <w:t>指令与当前状态不符合</w:t>
            </w:r>
          </w:p>
        </w:tc>
      </w:tr>
      <w:tr>
        <w:trPr>
          <w:trHeight w:val="263" w:hRule="atLeast"/>
        </w:trPr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eastAsia="等线" w:hint="eastAsia" w:ascii="等线" w:hAnsi="等线"/>
                <w:b/>
                <w:b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/>
              <w:t>Warn_TooMuchCmd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指令太多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71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Warn_Calibration_G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地面校准失败，没读到码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72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Warn_Calibration_D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货架校准失败，没读到码</w:t>
            </w:r>
            <w:r>
              <w:rPr>
                <w:rFonts w:hint="eastAsia"/>
              </w:rPr>
              <w:t>*</w:t>
            </w:r>
          </w:p>
        </w:tc>
      </w:tr>
      <w:tr>
        <w:trPr/>
        <w:tc>
          <w:tcPr>
            <w:tcW w:w="950" w:type="dxa"/>
            <w:tcBorders/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hint="eastAsia"/>
                <w:b/>
                <w:bCs/>
              </w:rPr>
              <w:t>73</w:t>
            </w:r>
          </w:p>
        </w:tc>
        <w:tc>
          <w:tcPr>
            <w:tcW w:w="3037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Warn_LostNaviQR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</w:rPr>
              <w:t>起步脱码警告</w:t>
            </w:r>
            <w:r>
              <w:rPr>
                <w:rFonts w:hint="eastAsia"/>
              </w:rPr>
              <w:t>*</w:t>
            </w:r>
          </w:p>
        </w:tc>
      </w:tr>
    </w:tbl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</w:p>
    <w:p>
      <w:pPr>
        <w:pStyle w:val="Normal"/>
        <w:numPr>
          <w:ilvl w:val="0"/>
          <w:numId w:val="0"/>
        </w:numPr>
        <w:ind w:hanging="0" w:start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" w:cs="Times New Roman" w:eastAsiaTheme="minorEastAsia"/>
          <w:sz w:val="24"/>
          <w:szCs w:val="24"/>
          <w:lang w:val="en-US" w:eastAsia="zh-CN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spacing w:lineRule="auto" w:line="360" w:beforeAutospacing="0" w:before="0" w:afterAutospacing="0" w:after="0"/>
        <w:ind w:firstLineChars="200"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szCs w:val="24"/>
          <w:lang w:val="en-US" w:eastAsia="zh-C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宋体"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Calibri Light">
    <w:charset w:val="01"/>
    <w:family w:val="swiss"/>
    <w:pitch w:val="variable"/>
  </w:font>
  <w:font w:name="等线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00" w:beforeAutospacing="0" w:before="60" w:afterAutospacing="0" w:after="60"/>
      <w:ind w:hanging="0"/>
      <w:jc w:val="center"/>
      <w:rPr>
        <w:rFonts w:ascii="Times New Roman" w:hAnsi="Times New Roman" w:eastAsia="宋体" w:cs="Times New Roman"/>
        <w:sz w:val="21"/>
        <w:szCs w:val="21"/>
      </w:rPr>
    </w:pPr>
    <w:r>
      <w:rPr>
        <w:rFonts w:eastAsia="宋体" w:cs="Times New Roman" w:ascii="Times New Roman" w:hAnsi="Times New Roman"/>
        <w:sz w:val="21"/>
        <w:szCs w:val="21"/>
      </w:rPr>
      <w:fldChar w:fldCharType="begin"/>
    </w:r>
    <w:r>
      <w:rPr>
        <w:rFonts w:eastAsia="宋体" w:cs="Times New Roman" w:ascii="Times New Roman" w:hAnsi="Times New Roman"/>
        <w:sz w:val="21"/>
        <w:szCs w:val="21"/>
      </w:rPr>
      <w:instrText xml:space="preserve"> PAGE </w:instrText>
    </w:r>
    <w:r>
      <w:rPr>
        <w:rFonts w:eastAsia="宋体" w:cs="Times New Roman" w:ascii="Times New Roman" w:hAnsi="Times New Roman"/>
        <w:sz w:val="21"/>
        <w:szCs w:val="21"/>
      </w:rPr>
      <w:fldChar w:fldCharType="separate"/>
    </w:r>
    <w:r>
      <w:rPr>
        <w:rFonts w:eastAsia="宋体" w:cs="Times New Roman" w:ascii="Times New Roman" w:hAnsi="Times New Roman"/>
        <w:sz w:val="21"/>
        <w:szCs w:val="21"/>
      </w:rPr>
      <w:t>11</w:t>
    </w:r>
    <w:r>
      <w:rPr>
        <w:rFonts w:eastAsia="宋体" w:cs="Times New Roman" w:ascii="Times New Roman" w:hAnsi="Times New Roman"/>
        <w:sz w:val="21"/>
        <w:szCs w:val="21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00" w:beforeAutospacing="0" w:before="60" w:afterAutospacing="0" w:after="60"/>
      <w:ind w:hanging="0"/>
      <w:jc w:val="center"/>
      <w:rPr>
        <w:rFonts w:ascii="Times New Roman" w:hAnsi="Times New Roman" w:eastAsia="宋体" w:cs="Times New Roman"/>
        <w:sz w:val="21"/>
        <w:szCs w:val="21"/>
      </w:rPr>
    </w:pPr>
    <w:r>
      <w:rPr>
        <w:rFonts w:eastAsia="宋体" w:cs="Times New Roman" w:ascii="Times New Roman" w:hAnsi="Times New Roman"/>
        <w:sz w:val="21"/>
        <w:szCs w:val="21"/>
      </w:rPr>
      <w:fldChar w:fldCharType="begin"/>
    </w:r>
    <w:r>
      <w:rPr>
        <w:rFonts w:eastAsia="宋体" w:cs="Times New Roman" w:ascii="Times New Roman" w:hAnsi="Times New Roman"/>
        <w:sz w:val="21"/>
        <w:szCs w:val="21"/>
      </w:rPr>
      <w:instrText xml:space="preserve"> PAGE </w:instrText>
    </w:r>
    <w:r>
      <w:rPr>
        <w:rFonts w:eastAsia="宋体" w:cs="Times New Roman" w:ascii="Times New Roman" w:hAnsi="Times New Roman"/>
        <w:sz w:val="21"/>
        <w:szCs w:val="21"/>
      </w:rPr>
      <w:fldChar w:fldCharType="separate"/>
    </w:r>
    <w:r>
      <w:rPr>
        <w:rFonts w:eastAsia="宋体" w:cs="Times New Roman" w:ascii="Times New Roman" w:hAnsi="Times New Roman"/>
        <w:sz w:val="21"/>
        <w:szCs w:val="21"/>
      </w:rPr>
      <w:t>11</w:t>
    </w:r>
    <w:r>
      <w:rPr>
        <w:rFonts w:eastAsia="宋体" w:cs="Times New Roman" w:ascii="Times New Roman" w:hAnsi="Times New Roman"/>
        <w:sz w:val="21"/>
        <w:szCs w:val="21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360"/>
      </w:pPr>
      <w:rPr>
        <w:rFonts w:ascii="宋体" w:hAnsi="宋体" w:eastAsia="宋体" w:cs="宋体"/>
        <w:sz w:val="24"/>
        <w:szCs w:val="24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8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6" w:beforeAutospacing="0" w:before="340" w:afterAutospacing="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uiPriority w:val="0"/>
    <w:semiHidden/>
    <w:unhideWhenUsed/>
    <w:qFormat/>
    <w:pPr>
      <w:keepNext w:val="true"/>
      <w:keepLines/>
      <w:spacing w:lineRule="auto" w:line="413" w:beforeAutospacing="0" w:before="260" w:afterAutospacing="0" w:after="260"/>
      <w:outlineLvl w:val="1"/>
    </w:pPr>
    <w:rPr>
      <w:rFonts w:ascii="Arial" w:hAnsi="Arial" w:eastAsia="黑体"/>
      <w:b/>
      <w:sz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/>
      <w:sz w:val="20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uiPriority w:val="0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uiPriority w:val="0"/>
    <w:pPr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Preformatted">
    <w:name w:val="HTML Preformatted"/>
    <w:basedOn w:val="Normal"/>
    <w:uiPriority w:val="0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table" w:default="1" w:styleId="10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网格表 1 浅色1"/>
    <w:basedOn w:val="10"/>
    <w:uiPriority w:val="46"/>
    <w:qFormat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LibreOffice/25.8.5.2$Windows_X86_64 LibreOffice_project/9c8b85f387cc00a89945a79c9e6239f32e450ac2</Application>
  <AppVersion>15.0000</AppVersion>
  <Pages>11</Pages>
  <Words>3201</Words>
  <Characters>6901</Characters>
  <CharactersWithSpaces>7833</CharactersWithSpaces>
  <Paragraphs>588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2026-10-09T04:30:00Z</dcterms:created>
  <dc:creator>18218468394</dc:creator>
  <dc:description/>
  <dc:language>en-US</dc:language>
  <cp:lastModifiedBy/>
  <dcterms:modified xsi:type="dcterms:W3CDTF">2026-10-11T22:36:02Z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C32D17A71ADA49F9AAB2E8D2440E9FA4_13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eyJoZGlkIjoiY2RlODc5ZGYxZjkzOWVmMTBkOTM3OTY0MjMxNGY3OTgiLCJ1c2VySWQiOiIzMjIwMTIzOTUifQ==</vt:lpwstr>
  </property>
</Properties>
</file>