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DCFCBB">
      <w:pPr>
        <w:spacing w:after="240"/>
        <w:jc w:val="center"/>
      </w:pPr>
      <w:r>
        <w:rPr>
          <w:rFonts w:ascii="宋体" w:hAnsi="宋体" w:eastAsia="宋体" w:cs="宋体"/>
          <w:b/>
          <w:bCs/>
          <w:sz w:val="32"/>
          <w:szCs w:val="32"/>
        </w:rPr>
        <w:t>出差报告</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35"/>
        <w:gridCol w:w="1436"/>
        <w:gridCol w:w="1026"/>
        <w:gridCol w:w="1949"/>
        <w:gridCol w:w="1436"/>
        <w:gridCol w:w="2318"/>
      </w:tblGrid>
      <w:tr w14:paraId="1539A53E">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54055E7">
            <w:pPr>
              <w:jc w:val="center"/>
            </w:pPr>
            <w:r>
              <w:rPr>
                <w:rFonts w:ascii="宋体" w:hAnsi="宋体" w:eastAsia="宋体" w:cs="宋体"/>
                <w:b/>
                <w:bCs/>
                <w:sz w:val="21"/>
                <w:szCs w:val="24"/>
              </w:rPr>
              <w:t>报告人</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1E9734F">
            <w:pPr>
              <w:spacing w:after="0" w:line="276" w:lineRule="auto"/>
            </w:pPr>
            <w:r>
              <w:rPr>
                <w:rFonts w:ascii="宋体" w:hAnsi="宋体" w:eastAsia="宋体"/>
                <w:sz w:val="21"/>
              </w:rPr>
              <w:t>周颖超</w:t>
            </w:r>
          </w:p>
        </w:tc>
        <w:tc>
          <w:tcPr>
            <w:tcW w:w="1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7809397">
            <w:pPr>
              <w:jc w:val="center"/>
            </w:pPr>
            <w:r>
              <w:rPr>
                <w:rFonts w:ascii="宋体" w:hAnsi="宋体" w:eastAsia="宋体" w:cs="宋体"/>
                <w:b/>
                <w:bCs/>
                <w:sz w:val="24"/>
                <w:szCs w:val="24"/>
              </w:rPr>
              <w:t>部门</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62216F8">
            <w:pPr>
              <w:spacing w:after="0" w:line="276" w:lineRule="auto"/>
            </w:pPr>
            <w:r>
              <w:rPr>
                <w:rFonts w:ascii="宋体" w:hAnsi="宋体" w:eastAsia="宋体"/>
                <w:sz w:val="21"/>
              </w:rPr>
              <w:t>场景研究院</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233AE53">
            <w:pPr>
              <w:jc w:val="center"/>
            </w:pPr>
            <w:r>
              <w:rPr>
                <w:rFonts w:ascii="宋体" w:hAnsi="宋体" w:eastAsia="宋体" w:cs="宋体"/>
                <w:b/>
                <w:bCs/>
                <w:sz w:val="24"/>
                <w:szCs w:val="24"/>
              </w:rPr>
              <w:t>出差地点</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1838E39">
            <w:pPr>
              <w:spacing w:after="0" w:line="276" w:lineRule="auto"/>
            </w:pPr>
            <w:r>
              <w:rPr>
                <w:rFonts w:ascii="宋体" w:hAnsi="宋体" w:eastAsia="宋体"/>
                <w:sz w:val="21"/>
              </w:rPr>
              <w:t>青岛</w:t>
            </w:r>
          </w:p>
        </w:tc>
      </w:tr>
      <w:tr w14:paraId="77038025">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D48AED0">
            <w:pPr>
              <w:jc w:val="center"/>
            </w:pPr>
            <w:r>
              <w:rPr>
                <w:rFonts w:ascii="宋体" w:hAnsi="宋体" w:eastAsia="宋体" w:cs="宋体"/>
                <w:b/>
                <w:bCs/>
                <w:sz w:val="21"/>
                <w:szCs w:val="24"/>
              </w:rPr>
              <w:t>出差时间</w:t>
            </w:r>
          </w:p>
        </w:tc>
        <w:tc>
          <w:tcPr>
            <w:tcW w:w="7960" w:type="dxa"/>
            <w:gridSpan w:val="5"/>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402D69A">
            <w:pPr>
              <w:spacing w:after="0" w:line="276" w:lineRule="auto"/>
            </w:pPr>
            <w:r>
              <w:rPr>
                <w:rFonts w:ascii="宋体" w:hAnsi="宋体" w:eastAsia="宋体"/>
                <w:sz w:val="21"/>
              </w:rPr>
              <w:t>2026年04月15日至2026年04月17日</w:t>
            </w:r>
          </w:p>
        </w:tc>
      </w:tr>
      <w:tr w14:paraId="46F5EB16">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top"/>
          </w:tcPr>
          <w:p w14:paraId="76CB2407">
            <w:pPr>
              <w:jc w:val="center"/>
            </w:pPr>
            <w:r>
              <w:rPr>
                <w:rFonts w:ascii="宋体" w:hAnsi="宋体" w:eastAsia="宋体" w:cs="宋体"/>
                <w:b/>
                <w:bCs/>
                <w:sz w:val="21"/>
                <w:szCs w:val="24"/>
              </w:rPr>
              <w:t>出差目的</w:t>
            </w:r>
          </w:p>
        </w:tc>
        <w:tc>
          <w:tcPr>
            <w:tcW w:w="7960" w:type="dxa"/>
            <w:gridSpan w:val="5"/>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top"/>
          </w:tcPr>
          <w:p w14:paraId="551B60B6">
            <w:pPr>
              <w:spacing w:after="0" w:line="276" w:lineRule="auto"/>
            </w:pPr>
            <w:r>
              <w:rPr>
                <w:rFonts w:ascii="宋体" w:hAnsi="宋体" w:eastAsia="宋体"/>
                <w:sz w:val="21"/>
              </w:rPr>
              <w:t>拜访青岛轨道运营相关部门，调研运营管理、物资采购、合同管理、计划修及车辆智能运维等业务痛点需求；参观青岛地铁车辆智能运维系统，了解AI在车辆状态监测、故障预警、运维辅助决策等场景中的应用情况；参加城市轨道交通人工智能共研体2026年度工作会议，了解行业人工智能应用方向、标准体系建设和共研体年度重点任务。</w:t>
            </w:r>
          </w:p>
        </w:tc>
      </w:tr>
      <w:tr w14:paraId="118E4548">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top"/>
          </w:tcPr>
          <w:p w14:paraId="296337FC">
            <w:pPr>
              <w:jc w:val="center"/>
            </w:pPr>
            <w:r>
              <w:rPr>
                <w:rFonts w:ascii="宋体" w:hAnsi="宋体" w:eastAsia="宋体" w:cs="宋体"/>
                <w:b/>
                <w:bCs/>
                <w:sz w:val="21"/>
                <w:szCs w:val="24"/>
              </w:rPr>
              <w:t>行程概览</w:t>
            </w:r>
          </w:p>
        </w:tc>
        <w:tc>
          <w:tcPr>
            <w:tcW w:w="7960" w:type="dxa"/>
            <w:gridSpan w:val="5"/>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top"/>
          </w:tcPr>
          <w:p w14:paraId="04EDB33F">
            <w:pPr>
              <w:spacing w:after="0" w:line="276" w:lineRule="auto"/>
            </w:pPr>
            <w:r>
              <w:rPr>
                <w:rFonts w:ascii="宋体" w:hAnsi="宋体" w:eastAsia="宋体"/>
                <w:sz w:val="21"/>
              </w:rPr>
              <w:t>4月15日11点从长沙出发前往青岛；4月1</w:t>
            </w:r>
            <w:r>
              <w:rPr>
                <w:rFonts w:hint="eastAsia"/>
                <w:sz w:val="21"/>
                <w:lang w:val="en-US" w:eastAsia="zh-CN"/>
              </w:rPr>
              <w:t>5</w:t>
            </w:r>
            <w:r>
              <w:rPr>
                <w:rFonts w:ascii="宋体" w:hAnsi="宋体" w:eastAsia="宋体"/>
                <w:sz w:val="21"/>
              </w:rPr>
              <w:t>日至4月1</w:t>
            </w:r>
            <w:r>
              <w:rPr>
                <w:rFonts w:hint="eastAsia"/>
                <w:sz w:val="21"/>
                <w:lang w:val="en-US" w:eastAsia="zh-CN"/>
              </w:rPr>
              <w:t>6</w:t>
            </w:r>
            <w:r>
              <w:rPr>
                <w:rFonts w:ascii="宋体" w:hAnsi="宋体" w:eastAsia="宋体"/>
                <w:sz w:val="21"/>
              </w:rPr>
              <w:t>日期间，拜访青岛轨道运营相关部门，围绕OA系统数据分析报表、合同及物资管理、计划修需求汇总、额定物资管理分析等场景开展需求交流，并参观车辆智能运维系统；4月17日参加城市轨道交通人工智能共研体2026年度工作会议，会议结束后于当晚10点从青岛出发返回长沙。</w:t>
            </w:r>
          </w:p>
        </w:tc>
      </w:tr>
      <w:tr w14:paraId="2C35B2A3">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top"/>
          </w:tcPr>
          <w:p w14:paraId="012B0E02">
            <w:pPr>
              <w:jc w:val="center"/>
            </w:pPr>
            <w:r>
              <w:rPr>
                <w:rFonts w:ascii="宋体" w:hAnsi="宋体" w:eastAsia="宋体" w:cs="宋体"/>
                <w:b/>
                <w:bCs/>
                <w:sz w:val="21"/>
                <w:szCs w:val="24"/>
              </w:rPr>
              <w:t>工作详情</w:t>
            </w:r>
          </w:p>
        </w:tc>
        <w:tc>
          <w:tcPr>
            <w:tcW w:w="7960" w:type="dxa"/>
            <w:gridSpan w:val="5"/>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top"/>
          </w:tcPr>
          <w:p w14:paraId="1A8EC979">
            <w:pPr>
              <w:spacing w:after="0" w:line="276" w:lineRule="auto"/>
            </w:pPr>
            <w:r>
              <w:rPr>
                <w:rFonts w:ascii="宋体" w:hAnsi="宋体" w:eastAsia="宋体"/>
                <w:sz w:val="21"/>
              </w:rPr>
              <w:t>本次出差主要围绕青岛轨道运营业务场景调研、车辆智能运维系统参观交流及行业人工智能共研体会议学习三项工作展开，具体工作内容如下：</w:t>
            </w:r>
          </w:p>
          <w:p w14:paraId="451B2ED9">
            <w:pPr>
              <w:spacing w:after="0" w:line="276" w:lineRule="auto"/>
            </w:pPr>
            <w:r>
              <w:rPr>
                <w:rFonts w:ascii="宋体" w:hAnsi="宋体" w:eastAsia="宋体"/>
                <w:sz w:val="21"/>
              </w:rPr>
              <w:t>1.  拜访青岛轨道运营相关部门，收集运营管理痛点需求。交流中重点关注集团层面OA系统及相关业务系统的数据分析报表能力。现有系统更多偏向集团层面流程流转和数据留痕，对底层业务人员日常管理、统计分析和辅助决策的使用需求考虑不足，存在业务数据分散、报表汇总不便、查询分析能力不足等问题。</w:t>
            </w:r>
          </w:p>
          <w:p w14:paraId="1CDA059C">
            <w:pPr>
              <w:spacing w:after="0" w:line="276" w:lineRule="auto"/>
            </w:pPr>
            <w:r>
              <w:rPr>
                <w:rFonts w:ascii="宋体" w:hAnsi="宋体" w:eastAsia="宋体"/>
                <w:sz w:val="21"/>
              </w:rPr>
              <w:t>2.  调研合同及物资采购管理场景。青岛方面提出希望围绕合同、采购、入库、出库、工程结算等数据建立统一分析视图，能够快速导出物资采购清单，全面汇总全线网未通合同、入库清单、导入清单、出库清单、工程结算清单等信息，实现对合同数量、入库物资数量、已花费金额、剩余金额、库存可用情况及后续可用周期的直观掌握和预测分析。</w:t>
            </w:r>
          </w:p>
          <w:p w14:paraId="53EF45B4">
            <w:pPr>
              <w:spacing w:after="0" w:line="276" w:lineRule="auto"/>
            </w:pPr>
            <w:r>
              <w:rPr>
                <w:rFonts w:ascii="宋体" w:hAnsi="宋体" w:eastAsia="宋体"/>
                <w:sz w:val="21"/>
              </w:rPr>
              <w:t>3.  调研计划修及专业需求汇总场景。运营单位希望能够对各线路、各专业的计划修需求进行统一汇总和分析，减少人工收集、表格比对和重复核对工作，提升计划修管理效率。该场景适合通过数据治理、流程梳理和智能报表方式，形成跨线路、跨专业的需求池、计划池和执行跟踪视图。</w:t>
            </w:r>
          </w:p>
          <w:p w14:paraId="36FEEE13">
            <w:pPr>
              <w:spacing w:after="0" w:line="276" w:lineRule="auto"/>
            </w:pPr>
            <w:r>
              <w:rPr>
                <w:rFonts w:ascii="宋体" w:hAnsi="宋体" w:eastAsia="宋体"/>
                <w:sz w:val="21"/>
              </w:rPr>
              <w:t>4.  调研额定物资管理分析场景。针对不同线路、专业、设备和维修任务，需进一步梳理额定物资配置、实际消耗、库存余量和采购计划之间的关系，形成物资定额、库存预警、消耗趋势、采购建议等分析能力，为运营单位实现精细化物资管理提供支撑。</w:t>
            </w:r>
          </w:p>
          <w:p w14:paraId="528737D4">
            <w:pPr>
              <w:spacing w:after="0" w:line="276" w:lineRule="auto"/>
            </w:pPr>
            <w:r>
              <w:rPr>
                <w:rFonts w:ascii="宋体" w:hAnsi="宋体" w:eastAsia="宋体"/>
                <w:sz w:val="21"/>
              </w:rPr>
              <w:t>5.  参观车辆智能运维系统。该系统已实现车辆基础运行信息实时回传，包括车辆速度等实时数据，并通过实时看板进行展示；同时每日定期导入车辆详细日志信息，系统对日志进行解析，并结合车辆专业手册构建专业模型，对车辆各部件和功能状态进行一定程度的预警分析。</w:t>
            </w:r>
          </w:p>
          <w:p w14:paraId="70384802">
            <w:pPr>
              <w:spacing w:after="0" w:line="276" w:lineRule="auto"/>
            </w:pPr>
            <w:r>
              <w:rPr>
                <w:rFonts w:ascii="宋体" w:hAnsi="宋体" w:eastAsia="宋体"/>
                <w:sz w:val="21"/>
              </w:rPr>
              <w:t>6.  交流车辆智能运维系统后续优化方向。当前系统主要存在三方面问题：一是根据车辆专业手册人工构建专业模型流程繁琐，导致模型上线速度较慢、覆盖范围有限，如能通过AI自动读取手册并生成模型，可批量提升模型建设效率；二是车辆详细数据每日仍需人工导入，数据接入过程繁琐，需推动自动传输和自动入库；三是青岛方面已积累一年多车辆运行数据，具备开展AI全量分析、挖掘故障规律和形成预判算法的基础。</w:t>
            </w:r>
          </w:p>
          <w:p w14:paraId="6935710F">
            <w:pPr>
              <w:spacing w:after="0" w:line="276" w:lineRule="auto"/>
            </w:pPr>
            <w:r>
              <w:rPr>
                <w:rFonts w:ascii="宋体" w:hAnsi="宋体" w:eastAsia="宋体"/>
                <w:sz w:val="21"/>
              </w:rPr>
              <w:t>7.  参加城市轨道交通人工智能共研体2026年度工作会议。会议围绕智慧城轨发展纲要2.0、城市轨道交通人工智能应用指南、共研体2025年工作总结及2026年工作计划、行业大模型共同训练、数据安全、标准体系、智能体应用等内容展开。会议提出城轨人工智能应用正从零星试点向规模化推进转型，行业仍面临标准缺失、场景适配不足、数据壁垒、应用规范不足、重复建设等问题，需要通过共研体平台推进标准共建、数据治理、行业大模型、智能体平台和典型场景落地。</w:t>
            </w:r>
          </w:p>
          <w:p w14:paraId="004C4903">
            <w:pPr>
              <w:spacing w:after="0" w:line="276" w:lineRule="auto"/>
            </w:pPr>
            <w:r>
              <w:rPr>
                <w:rFonts w:ascii="宋体" w:hAnsi="宋体" w:eastAsia="宋体"/>
                <w:sz w:val="21"/>
              </w:rPr>
              <w:t>8.  学习青岛地铁智能化应用实践。会议及现场演示中，青岛地铁介绍了多类智能体应用，包括工程建设资料审核、培训考试自动出题、车辆检修排程、设备温度趋势预测与故障处置辅助等。相关案例体现出AI在流程再造、业务重构、辅助决策和一线执行降本增效方面的应用价值，尤其是在将传统复杂流程压缩为标准化、智能化处理步骤方面具有较强借鉴意义。</w:t>
            </w:r>
          </w:p>
        </w:tc>
      </w:tr>
      <w:tr w14:paraId="22B86BF5">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top"/>
          </w:tcPr>
          <w:p w14:paraId="59C46B45">
            <w:pPr>
              <w:jc w:val="center"/>
            </w:pPr>
            <w:r>
              <w:rPr>
                <w:rFonts w:ascii="宋体" w:hAnsi="宋体" w:eastAsia="宋体" w:cs="宋体"/>
                <w:b/>
                <w:bCs/>
                <w:sz w:val="21"/>
                <w:szCs w:val="24"/>
              </w:rPr>
              <w:t>问题与反馈</w:t>
            </w:r>
          </w:p>
        </w:tc>
        <w:tc>
          <w:tcPr>
            <w:tcW w:w="7960" w:type="dxa"/>
            <w:gridSpan w:val="5"/>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top"/>
          </w:tcPr>
          <w:p w14:paraId="7636033A">
            <w:pPr>
              <w:spacing w:after="0" w:line="276" w:lineRule="auto"/>
            </w:pPr>
            <w:r>
              <w:rPr>
                <w:rFonts w:ascii="宋体" w:hAnsi="宋体" w:eastAsia="宋体"/>
                <w:sz w:val="21"/>
              </w:rPr>
              <w:t>1.  青岛轨道运营侧存在较明显的数据分散和报表能力不足问题。合同、采购、入库、出库、结算、库存、计划修等数据之间缺少统一汇总和穿透分析能力，基层业务人员难以快速掌握全局情况。</w:t>
            </w:r>
          </w:p>
          <w:p w14:paraId="2E9AB50A">
            <w:pPr>
              <w:spacing w:after="0" w:line="276" w:lineRule="auto"/>
            </w:pPr>
            <w:r>
              <w:rPr>
                <w:rFonts w:ascii="宋体" w:hAnsi="宋体" w:eastAsia="宋体"/>
                <w:sz w:val="21"/>
              </w:rPr>
              <w:t>2.  OA系统及集团层面信息化建设更关注流程管理和数据汇总，对一线人员实际使用场景、业务查询效率、预测分析和辅助决策能力支撑不足，后续方案需从基层真实业务痛点出发。</w:t>
            </w:r>
          </w:p>
          <w:p w14:paraId="41969B2E">
            <w:pPr>
              <w:spacing w:after="0" w:line="276" w:lineRule="auto"/>
            </w:pPr>
            <w:r>
              <w:rPr>
                <w:rFonts w:ascii="宋体" w:hAnsi="宋体" w:eastAsia="宋体"/>
                <w:sz w:val="21"/>
              </w:rPr>
              <w:t>3.  车辆智能运维系统已具备实时看板、日志解析和专业模型预警基础，但模型建设依赖人工理解手册和规则配置，批量复制效率低；车辆详细日志仍需人工导入，自动化数据链路尚未完全打通。</w:t>
            </w:r>
          </w:p>
          <w:p w14:paraId="78B90AB9">
            <w:pPr>
              <w:spacing w:after="0" w:line="276" w:lineRule="auto"/>
            </w:pPr>
            <w:r>
              <w:rPr>
                <w:rFonts w:ascii="宋体" w:hAnsi="宋体" w:eastAsia="宋体"/>
                <w:sz w:val="21"/>
              </w:rPr>
              <w:t>4.  已积累的一年多车辆运行数据具有较高价值，但目前尚未形成系统性的AI全量分析和故障预判算法，需要结合数据质量、标签体系、故障记录和专业知识进一步建模。</w:t>
            </w:r>
          </w:p>
          <w:p w14:paraId="006D901E">
            <w:pPr>
              <w:spacing w:after="0" w:line="276" w:lineRule="auto"/>
            </w:pPr>
            <w:r>
              <w:rPr>
                <w:rFonts w:ascii="宋体" w:hAnsi="宋体" w:eastAsia="宋体"/>
                <w:sz w:val="21"/>
              </w:rPr>
              <w:t>5.  行业层面人工智能应用仍处于从示范应用向规模化落地过渡阶段，普遍存在数据标准不统一、系统接口不统一、安全合规要求高、场景价值评估不足等问题，项目推进中需兼顾技术实现、业务闭环和安全合规。</w:t>
            </w:r>
          </w:p>
        </w:tc>
      </w:tr>
      <w:tr w14:paraId="45556B4D">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top"/>
          </w:tcPr>
          <w:p w14:paraId="6234B7D4">
            <w:pPr>
              <w:jc w:val="center"/>
            </w:pPr>
            <w:r>
              <w:rPr>
                <w:rFonts w:ascii="宋体" w:hAnsi="宋体" w:eastAsia="宋体" w:cs="宋体"/>
                <w:b/>
                <w:bCs/>
                <w:sz w:val="21"/>
                <w:szCs w:val="24"/>
              </w:rPr>
              <w:t>总结与建议</w:t>
            </w:r>
          </w:p>
        </w:tc>
        <w:tc>
          <w:tcPr>
            <w:tcW w:w="7960" w:type="dxa"/>
            <w:gridSpan w:val="5"/>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top"/>
          </w:tcPr>
          <w:p w14:paraId="6112CA79">
            <w:pPr>
              <w:spacing w:after="0" w:line="276" w:lineRule="auto"/>
            </w:pPr>
            <w:r>
              <w:rPr>
                <w:rFonts w:ascii="宋体" w:hAnsi="宋体" w:eastAsia="宋体"/>
                <w:sz w:val="21"/>
              </w:rPr>
              <w:t>1.  建议将青岛运营需求优先梳理为“运营数据分析报表平台”方向，围绕合同管理、物资采购、库存入出库、工程结算、计划修和额定物资分析等场景，先形成统一指标体系和数据看板原型，</w:t>
            </w:r>
            <w:r>
              <w:rPr>
                <w:rFonts w:hint="eastAsia"/>
                <w:sz w:val="21"/>
                <w:lang w:val="en-US" w:eastAsia="zh-CN"/>
              </w:rPr>
              <w:t>快速感知我们动作与合作意愿</w:t>
            </w:r>
            <w:r>
              <w:rPr>
                <w:rFonts w:ascii="宋体" w:hAnsi="宋体" w:eastAsia="宋体"/>
                <w:sz w:val="21"/>
              </w:rPr>
              <w:t>。</w:t>
            </w:r>
          </w:p>
          <w:p w14:paraId="202C70FF">
            <w:pPr>
              <w:spacing w:after="0" w:line="276" w:lineRule="auto"/>
            </w:pPr>
            <w:r>
              <w:rPr>
                <w:rFonts w:ascii="宋体" w:hAnsi="宋体" w:eastAsia="宋体"/>
                <w:sz w:val="21"/>
              </w:rPr>
              <w:t>2.  建议以物资和合同场景作为切入点，优先建设可落地的Demo：实现合同数量、物资采购清单、入库数量、出库数量、已用金额、剩余金额、库存余量、可用周期预测等核心指标展示，并支持按线路、专业、物资类别、合同维度进行筛选分析。</w:t>
            </w:r>
          </w:p>
          <w:p w14:paraId="6C455E18">
            <w:pPr>
              <w:spacing w:after="0" w:line="276" w:lineRule="auto"/>
            </w:pPr>
            <w:r>
              <w:rPr>
                <w:rFonts w:ascii="宋体" w:hAnsi="宋体" w:eastAsia="宋体"/>
                <w:sz w:val="21"/>
              </w:rPr>
              <w:t>3.  车辆智能运维方向</w:t>
            </w:r>
            <w:r>
              <w:rPr>
                <w:rFonts w:hint="eastAsia"/>
                <w:sz w:val="21"/>
                <w:lang w:val="en-US" w:eastAsia="zh-CN"/>
              </w:rPr>
              <w:t>假如需要嵌入青岛目前系统</w:t>
            </w:r>
            <w:r>
              <w:rPr>
                <w:rFonts w:ascii="宋体" w:hAnsi="宋体" w:eastAsia="宋体"/>
                <w:sz w:val="21"/>
              </w:rPr>
              <w:t>建议重点推进三项能力：一是车辆手册AI解析与专业模型自动生成，降低人工建模成本；二是车辆日志数据自动接入，打通每日数据传输、解析、入库、分析链路；三是基于历史车辆数据开展全量分析，形成故障预警、状态评估和维修建议算法。</w:t>
            </w:r>
          </w:p>
          <w:p w14:paraId="776F6104">
            <w:pPr>
              <w:spacing w:after="0" w:line="276" w:lineRule="auto"/>
            </w:pPr>
            <w:r>
              <w:rPr>
                <w:rFonts w:ascii="宋体" w:hAnsi="宋体" w:eastAsia="宋体"/>
                <w:sz w:val="21"/>
              </w:rPr>
              <w:t>4.  可结合共研体会议提出的行业方向，</w:t>
            </w:r>
            <w:r>
              <w:rPr>
                <w:rFonts w:hint="eastAsia"/>
                <w:sz w:val="21"/>
                <w:lang w:val="en-US" w:eastAsia="zh-CN"/>
              </w:rPr>
              <w:t>反思轨交</w:t>
            </w:r>
            <w:r>
              <w:rPr>
                <w:rFonts w:ascii="宋体" w:hAnsi="宋体" w:eastAsia="宋体"/>
                <w:sz w:val="21"/>
              </w:rPr>
              <w:t>“行业大模型+专业智能体+业务系统数据”的技术路线，</w:t>
            </w:r>
            <w:r>
              <w:rPr>
                <w:rFonts w:hint="eastAsia"/>
                <w:sz w:val="21"/>
                <w:lang w:val="en-US" w:eastAsia="zh-CN"/>
              </w:rPr>
              <w:t>深入一线</w:t>
            </w:r>
            <w:r>
              <w:rPr>
                <w:rFonts w:ascii="宋体" w:hAnsi="宋体" w:eastAsia="宋体"/>
                <w:sz w:val="21"/>
              </w:rPr>
              <w:t>将智能体能力嵌入合同分析、物资管理、计划修、车辆运维等具体业务流程中。</w:t>
            </w:r>
            <w:bookmarkStart w:id="0" w:name="_GoBack"/>
            <w:bookmarkEnd w:id="0"/>
          </w:p>
        </w:tc>
      </w:tr>
    </w:tbl>
    <w:p w14:paraId="29B309FA"/>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isplayBackgroundShape w:val="1"/>
  <w:documentProtection w:enforcement="0"/>
  <w:compat>
    <w:useFELayout/>
    <w:compatSetting w:name="compatibilityMode" w:uri="http://schemas.microsoft.com/office/word" w:val="15"/>
  </w:compat>
  <w:rsids>
    <w:rsidRoot w:val="00000000"/>
    <w:rsid w:val="17FFE95A"/>
    <w:rsid w:val="3ECF058C"/>
    <w:rsid w:val="5F3FFA7D"/>
    <w:rsid w:val="F9BB95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rPr>
      <w:rFonts w:ascii="宋体" w:hAnsi="宋体" w:eastAsia="宋体" w:cs="宋体"/>
      <w:color w:val="2E74B5"/>
      <w:sz w:val="32"/>
      <w:szCs w:val="32"/>
    </w:rPr>
  </w:style>
  <w:style w:type="paragraph" w:styleId="3">
    <w:name w:val="heading 2"/>
    <w:next w:val="1"/>
    <w:qFormat/>
    <w:uiPriority w:val="0"/>
    <w:rPr>
      <w:rFonts w:ascii="宋体" w:hAnsi="宋体" w:eastAsia="宋体" w:cs="宋体"/>
      <w:color w:val="2E74B5"/>
      <w:sz w:val="26"/>
      <w:szCs w:val="26"/>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rFonts w:ascii="宋体" w:hAnsi="宋体" w:eastAsia="宋体" w:cs="宋体"/>
      <w:sz w:val="20"/>
      <w:szCs w:val="20"/>
    </w:rPr>
  </w:style>
  <w:style w:type="paragraph" w:styleId="9">
    <w:name w:val="Title"/>
    <w:qFormat/>
    <w:uiPriority w:val="0"/>
    <w:rPr>
      <w:rFonts w:ascii="宋体" w:hAnsi="宋体" w:eastAsia="宋体" w:cs="宋体"/>
      <w:sz w:val="56"/>
      <w:szCs w:val="56"/>
    </w:rPr>
  </w:style>
  <w:style w:type="character" w:styleId="12">
    <w:name w:val="Hyperlink"/>
    <w:unhideWhenUsed/>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rPr>
      <w:rFonts w:ascii="宋体" w:hAnsi="宋体" w:eastAsia="宋体" w:cs="宋体"/>
      <w:sz w:val="24"/>
      <w:szCs w:val="24"/>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12</TotalTime>
  <ScaleCrop>false</ScaleCrop>
  <LinksUpToDate>false</LinksUpToDate>
  <Application>WPS Office_7.4.1.8983_F1E327BC-269C-435d-A152-05C5408002CA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2026-04-20T10:41:21Z</dcterms:created>
  <dc:creator>Un-named</dc:creator>
  <cp:lastModifiedBy>周颖超</cp:lastModifiedBy>
  <dcterms:modified xsi:type="dcterms:W3CDTF">2026-04-20T10:51:45Z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E89883D5EC92A5F572477C69B9893374_42</vt:lpwstr>
  </property>
</Properties>
</file>