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91"/>
        <w:jc w:val="center"/>
      </w:pPr>
      <w:r>
        <w:drawing>
          <wp:inline xmlns:a="http://schemas.openxmlformats.org/drawingml/2006/main" xmlns:pic="http://schemas.openxmlformats.org/drawingml/2006/picture">
            <wp:extent cx="2340000" cy="1361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6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74" w:after="200"/>
        <w:jc w:val="center"/>
      </w:pPr>
      <w:r>
        <w:rPr>
          <w:rFonts w:ascii="Arial" w:hAnsi="Arial" w:eastAsia="宋体"/>
          <w:b/>
          <w:color w:val="1F4E79"/>
          <w:sz w:val="52"/>
        </w:rPr>
        <w:t>轨交智能客流识别平台</w:t>
      </w:r>
    </w:p>
    <w:p>
      <w:pPr>
        <w:spacing w:after="2835"/>
        <w:jc w:val="center"/>
      </w:pPr>
      <w:r>
        <w:rPr>
          <w:rFonts w:ascii="Arial" w:hAnsi="Arial" w:eastAsia="宋体"/>
          <w:b/>
          <w:color w:val="1F4E79"/>
          <w:sz w:val="44"/>
        </w:rPr>
        <w:t>产品说明书</w:t>
      </w:r>
    </w:p>
    <w:p>
      <w:pPr>
        <w:jc w:val="center"/>
      </w:pPr>
      <w:r>
        <w:rPr>
          <w:rFonts w:ascii="Arial" w:hAnsi="Arial" w:eastAsia="宋体"/>
          <w:b/>
          <w:sz w:val="36"/>
        </w:rPr>
        <w:t>2026年8月</w:t>
      </w:r>
    </w:p>
    <w:p>
      <w:pPr>
        <w:spacing w:before="624"/>
        <w:jc w:val="center"/>
      </w:pPr>
      <w:r>
        <w:rPr>
          <w:rFonts w:ascii="Arial" w:hAnsi="Arial" w:eastAsia="宋体"/>
          <w:b/>
          <w:sz w:val="32"/>
        </w:rPr>
        <w:t>湖南承希科技有限公司</w:t>
      </w:r>
    </w:p>
    <w:p>
      <w:r>
        <w:br w:type="page"/>
      </w:r>
    </w:p>
    <w:p>
      <w:pPr>
        <w:spacing w:before="850" w:after="567"/>
        <w:jc w:val="center"/>
      </w:pPr>
      <w:r>
        <w:rPr>
          <w:rFonts w:ascii="Arial" w:hAnsi="Arial" w:eastAsia="宋体"/>
          <w:b/>
          <w:color w:val="1F4E79"/>
          <w:sz w:val="44"/>
        </w:rPr>
        <w:t>目录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1. 产品概述</w:t>
        <w:tab/>
        <w:t>3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2. 技术架构</w:t>
        <w:tab/>
        <w:t>3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3. 核心功能模块</w:t>
        <w:tab/>
        <w:t>4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4. 系统特性</w:t>
        <w:tab/>
        <w:t>5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5. 应用场景</w:t>
        <w:tab/>
        <w:t>6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6. 预期成果与价值</w:t>
        <w:tab/>
        <w:t>7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7. 实施方案</w:t>
        <w:tab/>
        <w:t>7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8. 发展规划</w:t>
        <w:tab/>
        <w:t>8</w:t>
      </w:r>
    </w:p>
    <w:p>
      <w:pPr>
        <w:tabs>
          <w:tab w:pos="8107" w:val="right" w:leader="dot"/>
        </w:tabs>
        <w:spacing w:after="140"/>
        <w:ind w:left="227"/>
      </w:pPr>
      <w:r>
        <w:rPr>
          <w:rFonts w:ascii="Arial" w:hAnsi="Arial" w:eastAsia="宋体"/>
          <w:sz w:val="24"/>
        </w:rPr>
        <w:t>结语</w:t>
        <w:tab/>
        <w:t>9</w:t>
      </w:r>
    </w:p>
    <w:p>
      <w:r>
        <w:br w:type="page"/>
      </w:r>
    </w:p>
    <w:p>
      <w:pPr>
        <w:pStyle w:val="2"/>
      </w:pPr>
      <w:r>
        <w:rPr>
          <w:rFonts w:ascii="Arial" w:hAnsi="Arial" w:eastAsia="宋体"/>
        </w:rPr>
        <w:t>1. 产品概述</w:t>
      </w:r>
    </w:p>
    <w:p>
      <w:pPr/>
      <w:r>
        <w:rPr>
          <w:rFonts w:ascii="Arial" w:hAnsi="Arial" w:eastAsia="宋体"/>
        </w:rPr>
        <w:t>轨交智能客流识别平台面向地铁、轻轨、城际铁路及综合交通枢纽场景，融合视频直播转发、定时抽帧、AI客流识别、结果告警与资源管理能力，为运营单位提供客流实时感知、重点区域监测和运营辅助决策支撑。平台可对接既有摄像机与视频平台，在昇腾AI算力环境中部署多实例客流识别服务。</w:t>
      </w:r>
    </w:p>
    <w:p>
      <w:pPr>
        <w:pStyle w:val="3"/>
      </w:pPr>
      <w:r>
        <w:rPr>
          <w:rFonts w:ascii="Arial" w:hAnsi="Arial" w:eastAsia="宋体"/>
        </w:rPr>
        <w:t>产品定位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行业定位：面向轨道交通站厅、站台、闸机口、出入口、换乘通道等视频智能分析场景。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目标用户：轨交运营调度人员、车站值班人员、安防管理人员、运维及算法管理人员。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核心价值：将视频流转化为可查询、可统计、可告警的客流数据，提升运营感知效率。</w:t>
      </w:r>
    </w:p>
    <w:p>
      <w:pPr>
        <w:pStyle w:val="3"/>
      </w:pPr>
      <w:r>
        <w:rPr>
          <w:rFonts w:ascii="Arial" w:hAnsi="Arial" w:eastAsia="宋体"/>
        </w:rPr>
        <w:t>核心优势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边缘智能：基于昇腾NPU部署客流识别模型，减少视频回传压力并满足现场实时分析需求。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多实例调度：支持多张昇腾卡与多算法实例统一管理，可按站点、摄像机和任务量灵活扩展。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开放兼容：支持RTSP直播流接入、HTTP算法服务注册、MinIO图片存储与标准化接口集成。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可视化运维：提供直播管理、抽帧任务、算法实例、资源状态、日志与告警结果管理。</w:t>
      </w:r>
    </w:p>
    <w:p>
      <w:pPr>
        <w:pStyle w:val="2"/>
      </w:pPr>
      <w:r>
        <w:rPr>
          <w:rFonts w:ascii="Arial" w:hAnsi="Arial" w:eastAsia="宋体"/>
        </w:rPr>
        <w:t>2. 技术架构</w:t>
      </w:r>
    </w:p>
    <w:p>
      <w:pPr>
        <w:pStyle w:val="3"/>
      </w:pPr>
      <w:r>
        <w:rPr>
          <w:rFonts w:ascii="Arial" w:hAnsi="Arial" w:eastAsia="宋体"/>
        </w:rPr>
        <w:t>轨交智能客流识别平台昇腾应用解决方案整体架构</w:t>
      </w:r>
    </w:p>
    <w:p>
      <w:pPr/>
      <w:r>
        <w:rPr>
          <w:rFonts w:ascii="Arial" w:hAnsi="Arial" w:eastAsia="宋体"/>
        </w:rPr>
        <w:t>平台采用“视频接入—数据处理—AI推理—业务应用—运维管理”五层架构，实现从现场视频到客流结果的闭环处理。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750"/>
        <w:gridCol w:w="5830"/>
      </w:tblGrid>
      <w:tr>
        <w:tc>
          <w:tcPr>
            <w:tcW w:type="dxa" w:w="175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架构层级</w:t>
            </w:r>
          </w:p>
        </w:tc>
        <w:tc>
          <w:tcPr>
            <w:tcW w:type="dxa" w:w="583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主要组成与职责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业务应用层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客流看板、站点任务管理、实时画面、告警结果、历史统计与运维管理。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平台服务层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直播流管理、RTSP转发、抽帧服务、算法服务注册、负载调度、任务配置与日志管理。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AI推理层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YOLO人头/客流识别模型、绊线人数统计模型、多实例推理服务与健康检查。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数据存储层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MinIO图片对象存储、任务配置、告警图片与推理结果数据。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基础设施层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摄像机与既有视频平台、昇腾310P3 NPU、Linux服务器、Docker容器与网络环境。</w:t>
            </w:r>
          </w:p>
        </w:tc>
      </w:tr>
    </w:tbl>
    <w:p>
      <w:pPr>
        <w:spacing w:after="20"/>
      </w:pPr>
    </w:p>
    <w:p>
      <w:pPr>
        <w:pStyle w:val="3"/>
      </w:pPr>
      <w:r>
        <w:rPr>
          <w:rFonts w:ascii="Arial" w:hAnsi="Arial" w:eastAsia="宋体"/>
        </w:rPr>
        <w:t>处理流程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现场摄像机或既有视频平台通过RTSP提供视频流。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直播服务统一拉流、转发，并向抽帧任务提供标准RTSP地址。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抽帧服务按配置间隔生成图片，写入对象存储并触发AI分析任务。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算法调度服务选择健康的客流识别实例，完成推理并回传人数、目标框、置信度等结果。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平台按任务配置展示结果；有目标时可保存告警图片并供后续查询。</w:t>
      </w:r>
    </w:p>
    <w:p>
      <w:pPr>
        <w:pStyle w:val="2"/>
      </w:pPr>
      <w:r>
        <w:rPr>
          <w:rFonts w:ascii="Arial" w:hAnsi="Arial" w:eastAsia="宋体"/>
        </w:rPr>
        <w:t>3. 核心功能模块</w:t>
      </w:r>
    </w:p>
    <w:p>
      <w:pPr>
        <w:pStyle w:val="3"/>
      </w:pPr>
      <w:r>
        <w:rPr>
          <w:rFonts w:ascii="Arial" w:hAnsi="Arial" w:eastAsia="宋体"/>
        </w:rPr>
        <w:t>3.1 直播流管理模块</w:t>
      </w:r>
    </w:p>
    <w:p>
      <w:pPr/>
      <w:r>
        <w:rPr>
          <w:rFonts w:ascii="Arial" w:hAnsi="Arial" w:eastAsia="宋体"/>
        </w:rPr>
        <w:t>用于统一接入、维护和转发轨交现场视频流，降低下游算法直接访问摄像机的复杂度。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支持创建拉流直播任务、查看状态、启停控制及播放地址获取。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支持RTSP转发地址统一管理，便于算法与业务系统复用。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支持直播快照、详情查看与异常状态定位。</w:t>
      </w:r>
    </w:p>
    <w:p>
      <w:pPr>
        <w:pStyle w:val="3"/>
      </w:pPr>
      <w:r>
        <w:rPr>
          <w:rFonts w:ascii="Arial" w:hAnsi="Arial" w:eastAsia="宋体"/>
        </w:rPr>
        <w:t>3.2 抽帧任务管理模块</w:t>
      </w:r>
    </w:p>
    <w:p>
      <w:pPr/>
      <w:r>
        <w:rPr>
          <w:rFonts w:ascii="Arial" w:hAnsi="Arial" w:eastAsia="宋体"/>
        </w:rPr>
        <w:t>用于将连续视频流按设定周期转换为结构化图片数据，是视频分析任务的统一入口。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支持按任务ID、任务类型、RTSP地址、抽帧间隔及输出路径创建任务。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支持批量启动、停止、编辑、查看抽帧结果及算法配置状态。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支持告警图片保存策略配置，兼顾业务追溯与存储成本。</w:t>
      </w:r>
    </w:p>
    <w:p>
      <w:pPr>
        <w:pStyle w:val="3"/>
      </w:pPr>
      <w:r>
        <w:rPr>
          <w:rFonts w:ascii="Arial" w:hAnsi="Arial" w:eastAsia="宋体"/>
        </w:rPr>
        <w:t>3.3 智能客流识别模块</w:t>
      </w:r>
    </w:p>
    <w:p>
      <w:pPr/>
      <w:r>
        <w:rPr>
          <w:rFonts w:ascii="Arial" w:hAnsi="Arial" w:eastAsia="宋体"/>
        </w:rPr>
        <w:t>基于人头检测模型对抽帧图片进行人数统计，为客流监测和区域态势分析提供基础数据。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支持人数统计、人头检测和客流分析等任务类型。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输出人员数量、目标位置、置信度、推理耗时等结构化结果。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支持按任务配置算法端点，适配不同站点与不同摄像机视角。</w:t>
      </w:r>
    </w:p>
    <w:p>
      <w:pPr>
        <w:pStyle w:val="3"/>
      </w:pPr>
      <w:r>
        <w:rPr>
          <w:rFonts w:ascii="Arial" w:hAnsi="Arial" w:eastAsia="宋体"/>
        </w:rPr>
        <w:t>3.4 绊线人数统计模块</w:t>
      </w:r>
    </w:p>
    <w:p>
      <w:pPr/>
      <w:r>
        <w:rPr>
          <w:rFonts w:ascii="Arial" w:hAnsi="Arial" w:eastAsia="宋体"/>
        </w:rPr>
        <w:t>面向闸机口、通道、出入口等方向性场景，通过虚拟绊线实现进出人数统计。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支持配置绊线算法实例、设备ID、模型路径与视频保存参数。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可用于进出站客流、通道单向流量及重点区域穿越事件统计。</w:t>
      </w:r>
    </w:p>
    <w:p>
      <w:pPr>
        <w:pStyle w:val="3"/>
      </w:pPr>
      <w:r>
        <w:rPr>
          <w:rFonts w:ascii="Arial" w:hAnsi="Arial" w:eastAsia="宋体"/>
        </w:rPr>
        <w:t>3.5 算法实例与昇腾资源管理模块</w:t>
      </w:r>
    </w:p>
    <w:p>
      <w:pPr/>
      <w:r>
        <w:rPr>
          <w:rFonts w:ascii="Arial" w:hAnsi="Arial" w:eastAsia="宋体"/>
        </w:rPr>
        <w:t>用于统一管理算法服务实例、端口、设备分配、运行状态和健康信息。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支持多实例批量创建、停止与健康检查，避免端口冲突和失效实例误显示。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支持按昇腾NPU device_id 分配算法实例，实现算力资源可视化管理。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支持服务注册、心跳检测、调用统计与日志查看。</w:t>
      </w:r>
    </w:p>
    <w:p>
      <w:pPr>
        <w:pStyle w:val="3"/>
      </w:pPr>
      <w:r>
        <w:rPr>
          <w:rFonts w:ascii="Arial" w:hAnsi="Arial" w:eastAsia="宋体"/>
        </w:rPr>
        <w:t>3.6 告警与结果管理模块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支持按任务查看检测结果、告警图片、对象数量、置信度与推理时间。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支持无检测结果图片自动清理策略，减少无效存储。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支持结果查询与后续业务系统对接。</w:t>
      </w:r>
    </w:p>
    <w:p>
      <w:pPr>
        <w:pStyle w:val="2"/>
      </w:pPr>
      <w:r>
        <w:rPr>
          <w:rFonts w:ascii="Arial" w:hAnsi="Arial" w:eastAsia="宋体"/>
        </w:rPr>
        <w:t>4. 系统特性</w:t>
      </w:r>
    </w:p>
    <w:p>
      <w:pPr>
        <w:pStyle w:val="3"/>
      </w:pPr>
      <w:r>
        <w:rPr>
          <w:rFonts w:ascii="Arial" w:hAnsi="Arial" w:eastAsia="宋体"/>
        </w:rPr>
        <w:t>4.1 实时性与稳定性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通过直播转发与异步抽帧解耦视频接入和算法推理，提升系统稳定性。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算法服务使用健康检查、心跳注册与实例状态管理，自动识别异常服务。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推理任务采用队列化调度和并发控制，避免请求过载导致误判离线。</w:t>
      </w:r>
    </w:p>
    <w:p>
      <w:pPr>
        <w:pStyle w:val="3"/>
      </w:pPr>
      <w:r>
        <w:rPr>
          <w:rFonts w:ascii="Arial" w:hAnsi="Arial" w:eastAsia="宋体"/>
        </w:rPr>
        <w:t>4.2 可扩展性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支持通过增加昇腾NPU、算法实例和抽帧任务横向扩展。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支持新增客流、绊线、区域入侵、人员跌倒等视频算法能力。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支持与既有安防平台、告警平台、客流分析系统进行接口集成。</w:t>
      </w:r>
    </w:p>
    <w:p>
      <w:pPr>
        <w:pStyle w:val="3"/>
      </w:pPr>
      <w:r>
        <w:rPr>
          <w:rFonts w:ascii="Arial" w:hAnsi="Arial" w:eastAsia="宋体"/>
        </w:rPr>
        <w:t>4.3 安全与可靠性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支持按网络边界部署，算法和存储服务可在专网或边缘环境运行。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支持服务日志、任务操作记录和运行状态追踪，便于审计与故障定位。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通过对象存储管理图片与告警结果，降低文件系统管理复杂度。</w:t>
      </w:r>
    </w:p>
    <w:p>
      <w:pPr>
        <w:pStyle w:val="3"/>
      </w:pPr>
      <w:r>
        <w:rPr>
          <w:rFonts w:ascii="Arial" w:hAnsi="Arial" w:eastAsia="宋体"/>
        </w:rPr>
        <w:t>4.4 运维可视化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统一展示算法实例数量、端口、设备分配、运行状态和调用统计。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提供直播、抽帧、服务、日志等多页面导航，减少人工运维成本。</w:t>
      </w:r>
    </w:p>
    <w:p>
      <w:pPr>
        <w:pStyle w:val="2"/>
      </w:pPr>
      <w:r>
        <w:rPr>
          <w:rFonts w:ascii="Arial" w:hAnsi="Arial" w:eastAsia="宋体"/>
        </w:rPr>
        <w:t>5. 应用场景</w:t>
      </w:r>
    </w:p>
    <w:p>
      <w:pPr>
        <w:pStyle w:val="3"/>
      </w:pPr>
      <w:r>
        <w:rPr>
          <w:rFonts w:ascii="Arial" w:hAnsi="Arial" w:eastAsia="宋体"/>
        </w:rPr>
        <w:t>5.1 站厅客流监测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实时统计站厅人员数量，辅助值班人员掌握客流密度变化。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识别售票区、安检区、闸机前等区域的排队与聚集趋势。</w:t>
      </w:r>
    </w:p>
    <w:p>
      <w:pPr>
        <w:pStyle w:val="3"/>
      </w:pPr>
      <w:r>
        <w:rPr>
          <w:rFonts w:ascii="Arial" w:hAnsi="Arial" w:eastAsia="宋体"/>
        </w:rPr>
        <w:t>5.2 站台安全管控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监测站台候车区域人流量，为客流组织与安全广播提供数据依据。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结合阈值策略，可对高密度或异常聚集场景进行重点关注。</w:t>
      </w:r>
    </w:p>
    <w:p>
      <w:pPr>
        <w:pStyle w:val="3"/>
      </w:pPr>
      <w:r>
        <w:rPr>
          <w:rFonts w:ascii="Arial" w:hAnsi="Arial" w:eastAsia="宋体"/>
        </w:rPr>
        <w:t>5.3 出入口与换乘通道统计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基于绊线人数统计识别进出方向客流，为站点客流画像提供输入。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支持换乘通道、扶梯口、闸机口等高频通行区域的持续统计。</w:t>
      </w:r>
    </w:p>
    <w:p>
      <w:pPr>
        <w:pStyle w:val="3"/>
      </w:pPr>
      <w:r>
        <w:rPr>
          <w:rFonts w:ascii="Arial" w:hAnsi="Arial" w:eastAsia="宋体"/>
        </w:rPr>
        <w:t>5.4 节假日与大型活动保障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针对节假日、演唱会、体育赛事等高客流时段，快速扩容算法实例并统一监控。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为客流疏导、限流组织和应急预案提供实时数据支撑。</w:t>
      </w:r>
    </w:p>
    <w:p>
      <w:pPr>
        <w:pStyle w:val="2"/>
      </w:pPr>
      <w:r>
        <w:rPr>
          <w:rFonts w:ascii="Arial" w:hAnsi="Arial" w:eastAsia="宋体"/>
        </w:rPr>
        <w:t>6. 预期成果与价值</w:t>
      </w:r>
    </w:p>
    <w:p>
      <w:pPr>
        <w:pStyle w:val="3"/>
      </w:pPr>
      <w:r>
        <w:rPr>
          <w:rFonts w:ascii="Arial" w:hAnsi="Arial" w:eastAsia="宋体"/>
        </w:rPr>
        <w:t>6.1 运营管理价值</w:t>
      </w:r>
    </w:p>
    <w:p>
      <w:pPr/>
      <w:r>
        <w:rPr>
          <w:rFonts w:ascii="Arial" w:hAnsi="Arial" w:eastAsia="宋体"/>
        </w:rPr>
        <w:t>将原始视频转换为持续可用的客流数据，使车站管理由“人工巡查”逐步向“实时感知、主动处置”升级。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建议目标：重点区域客流状态分钟级可视，异常情况可快速定位至对应任务和画面。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建议目标：降低人工视频巡查频次，提高高峰时段现场处置效率。</w:t>
      </w:r>
    </w:p>
    <w:p>
      <w:pPr>
        <w:pStyle w:val="3"/>
      </w:pPr>
      <w:r>
        <w:rPr>
          <w:rFonts w:ascii="Arial" w:hAnsi="Arial" w:eastAsia="宋体"/>
        </w:rPr>
        <w:t>6.2 技术建设价值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形成可复制的昇腾AI视频分析平台架构，可快速推广到多个站点与线路。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沉淀直播、抽帧、算法注册、对象存储和结果回传的标准化集成能力。</w:t>
      </w:r>
    </w:p>
    <w:p>
      <w:pPr>
        <w:pStyle w:val="3"/>
      </w:pPr>
      <w:r>
        <w:rPr>
          <w:rFonts w:ascii="Arial" w:hAnsi="Arial" w:eastAsia="宋体"/>
        </w:rPr>
        <w:t>6.3 成本与交付价值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利用既有摄像机与视频网络，减少重复建设成本。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通过多实例调度和按需扩容，提高昇腾算力资源利用率。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通过容器化部署与集中运维，缩短站点上线和问题排查周期。</w:t>
      </w:r>
    </w:p>
    <w:p>
      <w:pPr>
        <w:spacing w:after="200"/>
      </w:pPr>
      <w:r>
        <w:rPr>
          <w:rFonts w:ascii="Arial" w:hAnsi="Arial" w:eastAsia="宋体"/>
        </w:rPr>
        <w:t>注：实际识别准确率、时延和并发能力受摄像机视角、光照、遮挡、网络与模型版本等因素影响，应在项目验收阶段以现场测试结果为准。</w:t>
      </w:r>
    </w:p>
    <w:p>
      <w:pPr>
        <w:pStyle w:val="2"/>
      </w:pPr>
      <w:r>
        <w:rPr>
          <w:rFonts w:ascii="Arial" w:hAnsi="Arial" w:eastAsia="宋体"/>
        </w:rPr>
        <w:t>7. 实施方案</w:t>
      </w:r>
    </w:p>
    <w:p>
      <w:pPr>
        <w:pStyle w:val="3"/>
      </w:pPr>
      <w:r>
        <w:rPr>
          <w:rFonts w:ascii="Arial" w:hAnsi="Arial" w:eastAsia="宋体"/>
        </w:rPr>
        <w:t>7.1 建设内容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750"/>
        <w:gridCol w:w="5830"/>
      </w:tblGrid>
      <w:tr>
        <w:tc>
          <w:tcPr>
            <w:tcW w:type="dxa" w:w="175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工作项</w:t>
            </w:r>
          </w:p>
        </w:tc>
        <w:tc>
          <w:tcPr>
            <w:tcW w:type="dxa" w:w="583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现场调研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梳理站点摄像机、网络、重点区域、统计口径与现有平台接口。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平台部署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部署直播服务、抽帧服务、对象存储、算法管理平台与昇腾推理服务。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算法配置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完成客流识别、绊线统计等算法实例部署、注册和健康检查。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任务配置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按站点与场景配置RTSP流、抽帧频率、任务类型、输出路径和告警策略。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联调验收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开展视频拉流、抽帧、推理、结果回传、告警展示和性能测试。</w:t>
            </w:r>
          </w:p>
        </w:tc>
      </w:tr>
    </w:tbl>
    <w:p>
      <w:pPr>
        <w:spacing w:after="20"/>
      </w:pPr>
    </w:p>
    <w:p>
      <w:pPr>
        <w:pStyle w:val="3"/>
      </w:pPr>
      <w:r>
        <w:rPr>
          <w:rFonts w:ascii="Arial" w:hAnsi="Arial" w:eastAsia="宋体"/>
        </w:rPr>
        <w:t>7.2 实施计划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第一阶段：现场资源梳理与方案设计。明确摄像机清单、网络连通性、统计点位和业务指标。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第二阶段：基础平台部署与服务联调。完成直播、存储、抽帧、算法管理及昇腾实例部署。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第三阶段：模型配置与场景优化。完成重点区域任务配置、阈值调优和识别效果验证。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第四阶段：试运行与验收。开展高峰时段稳定性测试、用户培训和运维交接。</w:t>
      </w:r>
    </w:p>
    <w:p>
      <w:pPr>
        <w:pStyle w:val="3"/>
      </w:pPr>
      <w:r>
        <w:rPr>
          <w:rFonts w:ascii="Arial" w:hAnsi="Arial" w:eastAsia="宋体"/>
        </w:rPr>
        <w:t>7.3 推荐部署配置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750"/>
        <w:gridCol w:w="5830"/>
      </w:tblGrid>
      <w:tr>
        <w:tc>
          <w:tcPr>
            <w:tcW w:type="dxa" w:w="175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830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推荐配置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AI推理节点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昇腾310P3或同等级昇腾NPU，按摄像机数量、分辨率和抽帧频率核算。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服务器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Linux操作系统，建议配置企业级CPU、128GB及以上内存、SSD存储与千兆网络。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容器环境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Docker，支持平台服务、算法服务、消息与对象存储组件独立部署。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视频接入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支持RTSP；建议摄像机编码、码率和网络质量满足稳定拉流要求。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对象存储</w:t>
            </w:r>
          </w:p>
        </w:tc>
        <w:tc>
          <w:tcPr>
            <w:tcW w:type="dxa" w:w="58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宋体"/>
                <w:sz w:val="19"/>
              </w:rPr>
              <w:t>MinIO或兼容S3协议的对象存储，用于抽帧图片、告警图片与结果文件管理。</w:t>
            </w:r>
          </w:p>
        </w:tc>
      </w:tr>
    </w:tbl>
    <w:p>
      <w:pPr>
        <w:spacing w:after="20"/>
      </w:pPr>
    </w:p>
    <w:p>
      <w:pPr>
        <w:pStyle w:val="2"/>
      </w:pPr>
      <w:r>
        <w:rPr>
          <w:rFonts w:ascii="Arial" w:hAnsi="Arial" w:eastAsia="宋体"/>
        </w:rPr>
        <w:t>8. 发展规划</w:t>
      </w:r>
    </w:p>
    <w:p>
      <w:pPr>
        <w:pStyle w:val="3"/>
      </w:pPr>
      <w:r>
        <w:rPr>
          <w:rFonts w:ascii="Arial" w:hAnsi="Arial" w:eastAsia="宋体"/>
        </w:rPr>
        <w:t>8.1 一期能力（当前平台能力）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直播流接入与统一RTSP转发。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抽帧任务配置、图片对象存储与任务状态管理。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多实例客流识别、绊线人数统计与昇腾资源管理。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算法服务注册、健康检查、日志管理和推理结果回传。</w:t>
      </w:r>
    </w:p>
    <w:p>
      <w:pPr>
        <w:pStyle w:val="3"/>
      </w:pPr>
      <w:r>
        <w:rPr>
          <w:rFonts w:ascii="Arial" w:hAnsi="Arial" w:eastAsia="宋体"/>
        </w:rPr>
        <w:t>8.2 二期能力（后续规划）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按站点、线路、时段的客流趋势分析与可视化报表。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客流阈值告警、分级处置与与调度/安防系统联动。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区域客流热力图、排队长度估算和拥挤度评估。</w:t>
      </w:r>
    </w:p>
    <w:p>
      <w:pPr>
        <w:spacing w:after="60"/>
        <w:ind w:left="420" w:hanging="255"/>
      </w:pPr>
      <w:r>
        <w:rPr>
          <w:rFonts w:ascii="Arial" w:hAnsi="Arial" w:eastAsia="宋体"/>
        </w:rPr>
        <w:t>•  多算法统一编排，扩展安全帽、跌倒、区域入侵、遗留物等场景。</w:t>
      </w:r>
    </w:p>
    <w:p>
      <w:pPr>
        <w:pStyle w:val="3"/>
      </w:pPr>
      <w:r>
        <w:rPr>
          <w:rFonts w:ascii="Arial" w:hAnsi="Arial" w:eastAsia="宋体"/>
        </w:rPr>
        <w:t>8.3 长期愿景</w:t>
      </w:r>
    </w:p>
    <w:p>
      <w:pPr/>
      <w:r>
        <w:rPr>
          <w:rFonts w:ascii="Arial" w:hAnsi="Arial" w:eastAsia="宋体"/>
        </w:rPr>
        <w:t>平台将逐步建设为面向轨道交通全场景的视频智能分析底座，以客流识别为核心，持续扩展安全运营、应急保障、设备巡检与数据决策能力，为轨道交通智慧运营提供可靠、可扩展的AI支撑。</w:t>
      </w:r>
    </w:p>
    <w:p>
      <w:pPr>
        <w:pStyle w:val="2"/>
      </w:pPr>
      <w:r>
        <w:rPr>
          <w:rFonts w:ascii="Arial" w:hAnsi="Arial" w:eastAsia="宋体"/>
        </w:rPr>
        <w:t>结语</w:t>
      </w:r>
    </w:p>
    <w:p>
      <w:pPr/>
      <w:r>
        <w:rPr>
          <w:rFonts w:ascii="Arial" w:hAnsi="Arial" w:eastAsia="宋体"/>
        </w:rPr>
        <w:t>轨交智能客流识别平台以昇腾AI算力与视频智能分析技术为基础，建立从视频接入、图片抽取、算法推理到结果应用的完整闭环。通过标准化部署、可视化运维和多实例调度能力，平台可为轨道交通运营单位提供稳定、可扩展的客流感知与管理服务。</w:t>
      </w:r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9E0DB"/>
    <w:multiLevelType w:val="multilevel"/>
    <w:tmpl w:val="8F39E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4EB5F2"/>
    <w:multiLevelType w:val="multilevel"/>
    <w:tmpl w:val="974EB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E9E9C5"/>
    <w:multiLevelType w:val="multilevel"/>
    <w:tmpl w:val="9FE9E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F3CEE1"/>
    <w:multiLevelType w:val="multilevel"/>
    <w:tmpl w:val="ACF3C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FDFE11"/>
    <w:multiLevelType w:val="multilevel"/>
    <w:tmpl w:val="AFFDF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04ABFF"/>
    <w:multiLevelType w:val="multilevel"/>
    <w:tmpl w:val="B704A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BEFCBC"/>
    <w:multiLevelType w:val="multilevel"/>
    <w:tmpl w:val="B7BEF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BDC4FE"/>
    <w:multiLevelType w:val="multilevel"/>
    <w:tmpl w:val="BEBDC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9AF7428"/>
    <w:multiLevelType w:val="multilevel"/>
    <w:tmpl w:val="C9AF7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FEFAC1"/>
    <w:multiLevelType w:val="multilevel"/>
    <w:tmpl w:val="CBFEF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85F821"/>
    <w:multiLevelType w:val="multilevel"/>
    <w:tmpl w:val="D685F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6DCA44D"/>
    <w:multiLevelType w:val="multilevel"/>
    <w:tmpl w:val="D6DCA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77EE183"/>
    <w:multiLevelType w:val="multilevel"/>
    <w:tmpl w:val="D77EE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77F1E1F"/>
    <w:multiLevelType w:val="multilevel"/>
    <w:tmpl w:val="D77F1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9F71E40"/>
    <w:multiLevelType w:val="multilevel"/>
    <w:tmpl w:val="D9F71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EFF6C5F"/>
    <w:multiLevelType w:val="multilevel"/>
    <w:tmpl w:val="DEFF6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FAF7634"/>
    <w:multiLevelType w:val="multilevel"/>
    <w:tmpl w:val="DFAF7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7DF17DB"/>
    <w:multiLevelType w:val="multilevel"/>
    <w:tmpl w:val="E7DF1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819A277"/>
    <w:multiLevelType w:val="multilevel"/>
    <w:tmpl w:val="E819A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B177A3D"/>
    <w:multiLevelType w:val="multilevel"/>
    <w:tmpl w:val="EB177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3D3985"/>
    <w:multiLevelType w:val="multilevel"/>
    <w:tmpl w:val="EF3D3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FAE8DD6"/>
    <w:multiLevelType w:val="multilevel"/>
    <w:tmpl w:val="EFAE8D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FE62222"/>
    <w:multiLevelType w:val="multilevel"/>
    <w:tmpl w:val="EFE62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5F38638"/>
    <w:multiLevelType w:val="multilevel"/>
    <w:tmpl w:val="F5F38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5FFF97A"/>
    <w:multiLevelType w:val="multilevel"/>
    <w:tmpl w:val="F5FFF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6BFCBAA"/>
    <w:multiLevelType w:val="multilevel"/>
    <w:tmpl w:val="F6BFC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6EF3332"/>
    <w:multiLevelType w:val="multilevel"/>
    <w:tmpl w:val="F6EF3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79AEDB8"/>
    <w:multiLevelType w:val="multilevel"/>
    <w:tmpl w:val="F79AE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ACA8F2E"/>
    <w:multiLevelType w:val="multilevel"/>
    <w:tmpl w:val="FACA8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AE7D579"/>
    <w:multiLevelType w:val="multilevel"/>
    <w:tmpl w:val="FAE7D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B6EB096"/>
    <w:multiLevelType w:val="multilevel"/>
    <w:tmpl w:val="FB6EB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B6F97B7"/>
    <w:multiLevelType w:val="multilevel"/>
    <w:tmpl w:val="FB6F9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EBF011A"/>
    <w:multiLevelType w:val="multilevel"/>
    <w:tmpl w:val="FEBF0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ECE269D"/>
    <w:multiLevelType w:val="multilevel"/>
    <w:tmpl w:val="FECE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F79D2BE"/>
    <w:multiLevelType w:val="multilevel"/>
    <w:tmpl w:val="FF79D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F924408"/>
    <w:multiLevelType w:val="multilevel"/>
    <w:tmpl w:val="FF924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FAF411A"/>
    <w:multiLevelType w:val="multilevel"/>
    <w:tmpl w:val="FFAF4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FFC1E0B"/>
    <w:multiLevelType w:val="multilevel"/>
    <w:tmpl w:val="FFFC1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3374DE1"/>
    <w:multiLevelType w:val="multilevel"/>
    <w:tmpl w:val="23374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FBDD1D0"/>
    <w:multiLevelType w:val="multilevel"/>
    <w:tmpl w:val="2FBDD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D7ECC06"/>
    <w:multiLevelType w:val="multilevel"/>
    <w:tmpl w:val="6D7EC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BFE55B4"/>
    <w:multiLevelType w:val="multilevel"/>
    <w:tmpl w:val="7BFE5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EF74276"/>
    <w:multiLevelType w:val="multilevel"/>
    <w:tmpl w:val="7EF74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EFF9240"/>
    <w:multiLevelType w:val="multilevel"/>
    <w:tmpl w:val="7EFF9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FAD065E"/>
    <w:multiLevelType w:val="multilevel"/>
    <w:tmpl w:val="7FAD0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37"/>
  </w:num>
  <w:num w:numId="3">
    <w:abstractNumId w:val="34"/>
  </w:num>
  <w:num w:numId="4">
    <w:abstractNumId w:val="0"/>
  </w:num>
  <w:num w:numId="5">
    <w:abstractNumId w:val="8"/>
  </w:num>
  <w:num w:numId="6">
    <w:abstractNumId w:val="44"/>
  </w:num>
  <w:num w:numId="7">
    <w:abstractNumId w:val="26"/>
  </w:num>
  <w:num w:numId="8">
    <w:abstractNumId w:val="35"/>
  </w:num>
  <w:num w:numId="9">
    <w:abstractNumId w:val="42"/>
  </w:num>
  <w:num w:numId="10">
    <w:abstractNumId w:val="15"/>
  </w:num>
  <w:num w:numId="11">
    <w:abstractNumId w:val="16"/>
  </w:num>
  <w:num w:numId="12">
    <w:abstractNumId w:val="1"/>
  </w:num>
  <w:num w:numId="13">
    <w:abstractNumId w:val="22"/>
  </w:num>
  <w:num w:numId="14">
    <w:abstractNumId w:val="29"/>
  </w:num>
  <w:num w:numId="15">
    <w:abstractNumId w:val="6"/>
  </w:num>
  <w:num w:numId="16">
    <w:abstractNumId w:val="9"/>
  </w:num>
  <w:num w:numId="17">
    <w:abstractNumId w:val="3"/>
  </w:num>
  <w:num w:numId="18">
    <w:abstractNumId w:val="4"/>
  </w:num>
  <w:num w:numId="19">
    <w:abstractNumId w:val="5"/>
  </w:num>
  <w:num w:numId="20">
    <w:abstractNumId w:val="28"/>
  </w:num>
  <w:num w:numId="21">
    <w:abstractNumId w:val="12"/>
  </w:num>
  <w:num w:numId="22">
    <w:abstractNumId w:val="18"/>
  </w:num>
  <w:num w:numId="23">
    <w:abstractNumId w:val="23"/>
  </w:num>
  <w:num w:numId="24">
    <w:abstractNumId w:val="31"/>
  </w:num>
  <w:num w:numId="25">
    <w:abstractNumId w:val="32"/>
  </w:num>
  <w:num w:numId="26">
    <w:abstractNumId w:val="25"/>
  </w:num>
  <w:num w:numId="27">
    <w:abstractNumId w:val="7"/>
  </w:num>
  <w:num w:numId="28">
    <w:abstractNumId w:val="39"/>
  </w:num>
  <w:num w:numId="29">
    <w:abstractNumId w:val="11"/>
  </w:num>
  <w:num w:numId="30">
    <w:abstractNumId w:val="10"/>
  </w:num>
  <w:num w:numId="31">
    <w:abstractNumId w:val="19"/>
  </w:num>
  <w:num w:numId="32">
    <w:abstractNumId w:val="38"/>
  </w:num>
  <w:num w:numId="33">
    <w:abstractNumId w:val="17"/>
  </w:num>
  <w:num w:numId="34">
    <w:abstractNumId w:val="41"/>
  </w:num>
  <w:num w:numId="35">
    <w:abstractNumId w:val="24"/>
  </w:num>
  <w:num w:numId="36">
    <w:abstractNumId w:val="21"/>
  </w:num>
  <w:num w:numId="37">
    <w:abstractNumId w:val="2"/>
  </w:num>
  <w:num w:numId="38">
    <w:abstractNumId w:val="43"/>
  </w:num>
  <w:num w:numId="39">
    <w:abstractNumId w:val="40"/>
  </w:num>
  <w:num w:numId="40">
    <w:abstractNumId w:val="27"/>
  </w:num>
  <w:num w:numId="41">
    <w:abstractNumId w:val="14"/>
  </w:num>
  <w:num w:numId="42">
    <w:abstractNumId w:val="13"/>
  </w:num>
  <w:num w:numId="43">
    <w:abstractNumId w:val="33"/>
  </w:num>
  <w:num w:numId="44">
    <w:abstractNumId w:val="20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9FDAC"/>
    <w:rsid w:val="1F3F21BD"/>
    <w:rsid w:val="6AE509A9"/>
    <w:rsid w:val="6C9F36ED"/>
    <w:rsid w:val="6F598831"/>
    <w:rsid w:val="76F9FDAC"/>
    <w:rsid w:val="776D53C8"/>
    <w:rsid w:val="77F7111B"/>
    <w:rsid w:val="B6FFF8B3"/>
    <w:rsid w:val="B78DD8CA"/>
    <w:rsid w:val="D747B75B"/>
    <w:rsid w:val="DD2E4897"/>
    <w:rsid w:val="DFEFDDC9"/>
    <w:rsid w:val="E90F341B"/>
    <w:rsid w:val="F763336A"/>
    <w:rsid w:val="FDDF5D8D"/>
    <w:rsid w:val="FF9BB9C3"/>
    <w:rsid w:val="FFFDA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48" w:lineRule="auto" w:after="10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360" w:beforeAutospacing="1" w:after="180" w:afterAutospacing="1"/>
      <w:jc w:val="left"/>
    </w:pPr>
    <w:rPr>
      <w:rFonts w:hint="eastAsia" w:ascii="宋体" w:hAnsi="宋体" w:eastAsia="宋体" w:cs="宋体"/>
      <w:b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beforeAutospacing="1" w:after="12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180" w:beforeAutospacing="1" w:after="80" w:afterAutospacing="1"/>
      <w:jc w:val="left"/>
    </w:pPr>
    <w:rPr>
      <w:rFonts w:hint="eastAsia" w:ascii="宋体" w:hAnsi="宋体" w:eastAsia="宋体" w:cs="宋体"/>
      <w:b/>
      <w:bCs/>
      <w:kern w:val="0"/>
      <w:sz w:val="22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140" w:beforeAutospacing="1" w:after="60" w:afterAutospacing="1"/>
      <w:jc w:val="left"/>
    </w:pPr>
    <w:rPr>
      <w:rFonts w:hint="eastAsia" w:ascii="宋体" w:hAnsi="宋体" w:eastAsia="宋体" w:cs="宋体"/>
      <w:b/>
      <w:bCs/>
      <w:kern w:val="0"/>
      <w:sz w:val="21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customStyle="1" w:styleId="1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2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3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2025-07-01T14:09:00Z</dcterms:created>
  <dc:creator>风逝</dc:creator>
  <cp:lastModifiedBy>风逝</cp:lastModifiedBy>
  <dcterms:modified xsi:type="dcterms:W3CDTF">2025-07-01T15:10:30Z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8A9DAA4A6171C448817B63680D398C5C_41</vt:lpwstr>
  </property>
</Properties>
</file>