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60F04">
      <w:pPr>
        <w:pStyle w:val="3"/>
        <w:spacing w:line="360" w:lineRule="auto"/>
        <w:jc w:val="center"/>
        <w:rPr>
          <w:color w:val="auto"/>
          <w:lang w:eastAsia="zh-CN"/>
        </w:rPr>
      </w:pPr>
      <w:r>
        <w:rPr>
          <w:rFonts w:ascii="Times New Roman" w:hAnsi="Times New Roman" w:eastAsia="宋体"/>
          <w:color w:val="auto"/>
          <w:sz w:val="32"/>
          <w:lang w:eastAsia="zh-CN"/>
        </w:rPr>
        <w:t>小菜蛾神经系统相关药理靶标概述：作用机制、抗性位点与靶标发现前景</w:t>
      </w:r>
    </w:p>
    <w:p w14:paraId="47D451E9">
      <w:pPr>
        <w:pStyle w:val="4"/>
        <w:spacing w:line="360" w:lineRule="auto"/>
        <w:rPr>
          <w:rFonts w:hint="eastAsia" w:ascii="宋体" w:hAnsi="宋体" w:cs="Times New Roman"/>
          <w:szCs w:val="24"/>
          <w:lang w:eastAsia="zh-CN"/>
        </w:rPr>
      </w:pPr>
      <w:r>
        <w:rPr>
          <w:rFonts w:ascii="Times New Roman" w:hAnsi="Times New Roman" w:eastAsia="宋体"/>
          <w:color w:val="auto"/>
          <w:sz w:val="28"/>
          <w:lang w:eastAsia="zh-CN"/>
        </w:rPr>
        <w:t>摘要</w:t>
      </w:r>
    </w:p>
    <w:p w14:paraId="31F24662">
      <w:pPr>
        <w:spacing w:after="80" w:line="360" w:lineRule="auto"/>
        <w:ind w:firstLine="420"/>
        <w:rPr>
          <w:lang w:eastAsia="zh-CN"/>
        </w:rPr>
      </w:pPr>
      <w:r>
        <w:rPr>
          <w:rFonts w:hint="eastAsia"/>
          <w:lang w:eastAsia="zh-CN"/>
        </w:rPr>
        <w:t>小菜蛾（Plutella xylostella）是全球十字花科作物上抗药性最为突出的害虫之一，已对几乎所有主流杀虫剂类别产生抗性，因而成为研究杀虫剂靶标演化与抗性适应机制的重要模式昆虫。长期以来，神经系统作用剂构成小菜蛾化学防治的核心药剂类型，相关研究已围绕乙酰胆碱酯酶（AChE）、烟碱型乙酰胆碱受体（nAChR）、GABA 受体（RDL）、谷氨酸门控氯离子通道（GluCl）、电压门控钠通道（Nav）和兰尼碱受体（RyR）等关键神经靶标积累了大量证据。本文系统综述小菜蛾主要神经杀虫剂靶标的作用机制、靶标位点、抗性突变、交叉抗性风险及新靶标发现进展，并进一步整合神经靶标、药剂类别与关键抗性位点之间的对应关系，总结可用于抗性分子监测的代表性标记物。相关认识不仅有助于深化对小菜蛾靶标抗性形成与演化机制的理解，也可为抗性监测、杀虫剂轮换策略优化以及新型神经靶标杀虫剂开发提供理论依据和实践参考。</w:t>
      </w:r>
      <w:bookmarkStart w:id="0" w:name="_GoBack"/>
      <w:bookmarkEnd w:id="0"/>
    </w:p>
    <w:p w14:paraId="3682EEAD">
      <w:pPr>
        <w:spacing w:after="80" w:line="360" w:lineRule="auto"/>
        <w:rPr>
          <w:lang w:eastAsia="zh-CN"/>
        </w:rPr>
      </w:pPr>
      <w:r>
        <w:rPr>
          <w:b/>
          <w:lang w:eastAsia="zh-CN"/>
        </w:rPr>
        <w:t>关键词：</w:t>
      </w:r>
      <w:r>
        <w:rPr>
          <w:lang w:eastAsia="zh-CN"/>
        </w:rPr>
        <w:t>小菜蛾；药理靶标；抗性机制；靶标突变；分子监测；新靶标发现</w:t>
      </w:r>
    </w:p>
    <w:p w14:paraId="580B2ADA">
      <w:pPr>
        <w:spacing w:before="120" w:after="120" w:line="360" w:lineRule="auto"/>
        <w:rPr>
          <w:lang w:eastAsia="zh-CN"/>
        </w:rPr>
      </w:pPr>
    </w:p>
    <w:p w14:paraId="3F77DC64">
      <w:pPr>
        <w:pStyle w:val="4"/>
        <w:spacing w:line="360" w:lineRule="auto"/>
        <w:rPr>
          <w:rFonts w:hint="default"/>
          <w:color w:val="auto"/>
          <w:lang w:val="en-US" w:eastAsia="zh-CN"/>
        </w:rPr>
      </w:pPr>
      <w:r>
        <w:rPr>
          <w:rFonts w:ascii="Times New Roman" w:hAnsi="Times New Roman" w:eastAsia="宋体"/>
          <w:color w:val="auto"/>
          <w:sz w:val="28"/>
          <w:lang w:eastAsia="zh-CN"/>
        </w:rPr>
        <w:t xml:space="preserve">1. </w:t>
      </w:r>
      <w:r>
        <w:rPr>
          <w:rFonts w:hint="eastAsia" w:ascii="Times New Roman" w:hAnsi="Times New Roman" w:eastAsia="宋体"/>
          <w:color w:val="auto"/>
          <w:sz w:val="28"/>
          <w:lang w:val="en-US" w:eastAsia="zh-CN"/>
        </w:rPr>
        <w:t>介绍</w:t>
      </w:r>
    </w:p>
    <w:p w14:paraId="09EC5AC8">
      <w:pPr>
        <w:spacing w:after="80" w:line="360" w:lineRule="auto"/>
        <w:ind w:firstLine="420"/>
        <w:rPr>
          <w:lang w:eastAsia="zh-CN"/>
        </w:rPr>
      </w:pPr>
      <w:r>
        <w:rPr>
          <w:lang w:eastAsia="zh-CN"/>
        </w:rPr>
        <w:t>小菜蛾（</w:t>
      </w:r>
      <w:r>
        <w:rPr>
          <w:i/>
          <w:lang w:eastAsia="zh-CN"/>
        </w:rPr>
        <w:t>Plutella xylostella</w:t>
      </w:r>
      <w:r>
        <w:rPr>
          <w:lang w:eastAsia="zh-CN"/>
        </w:rPr>
        <w:t>）是全球十字花科作物上最具破坏性的害虫之一，每年造成的经济损失估计达40–50亿美元</w:t>
      </w:r>
      <w:r>
        <w:rPr>
          <w:sz w:val="18"/>
          <w:vertAlign w:val="superscript"/>
          <w:lang w:eastAsia="zh-CN"/>
        </w:rPr>
        <w:t>[1,2]</w:t>
      </w:r>
      <w:r>
        <w:rPr>
          <w:lang w:eastAsia="zh-CN"/>
        </w:rPr>
        <w:t>。该物种具有世代周期短（25–30天）、繁殖力强（单雌产卵量可达200–300粒）、迁飞能力突出的生物学特征，使其能够在全球范围内快速扩散并对多种十字花科蔬菜（甘蓝、花椰菜、白菜、油菜等）造成持续性危害</w:t>
      </w:r>
      <w:r>
        <w:rPr>
          <w:sz w:val="18"/>
          <w:vertAlign w:val="superscript"/>
          <w:lang w:eastAsia="zh-CN"/>
        </w:rPr>
        <w:t>[1,2,3]</w:t>
      </w:r>
      <w:r>
        <w:rPr>
          <w:lang w:eastAsia="zh-CN"/>
        </w:rPr>
        <w:t>。更为重要的是，小菜蛾对化学防治的依赖程度极高，长期的选择压力使其成为已知对杀虫剂产生抗性最快、抗性谱最广的害虫物种之一</w:t>
      </w:r>
      <w:r>
        <w:rPr>
          <w:sz w:val="18"/>
          <w:vertAlign w:val="superscript"/>
          <w:lang w:eastAsia="zh-CN"/>
        </w:rPr>
        <w:t>[4,5]</w:t>
      </w:r>
      <w:r>
        <w:rPr>
          <w:lang w:eastAsia="zh-CN"/>
        </w:rPr>
        <w:t>。</w:t>
      </w:r>
    </w:p>
    <w:p w14:paraId="4B6370B7">
      <w:pPr>
        <w:spacing w:after="80" w:line="360" w:lineRule="auto"/>
        <w:ind w:firstLine="420"/>
        <w:rPr>
          <w:lang w:eastAsia="zh-CN"/>
        </w:rPr>
      </w:pPr>
      <w:r>
        <w:rPr>
          <w:lang w:eastAsia="zh-CN"/>
        </w:rPr>
        <w:t>小菜蛾的抗性覆盖面之广在昆虫抗性研究史上极为罕见。自20世纪50年代以来，该物种已对有机氯类、有机磷类、氨基甲酸酯类、拟除虫菊酯类、新烟碱类、多杀菌素类、阿维菌素类、双酰胺类等几乎所有主流杀虫剂类别产生了田间抗性</w:t>
      </w:r>
      <w:r>
        <w:rPr>
          <w:sz w:val="18"/>
          <w:vertAlign w:val="superscript"/>
          <w:lang w:eastAsia="zh-CN"/>
        </w:rPr>
        <w:t>[4,5,6]</w:t>
      </w:r>
      <w:r>
        <w:rPr>
          <w:lang w:eastAsia="zh-CN"/>
        </w:rPr>
        <w:t>。这种"全谱抗性"特征使小菜蛾不仅是一个亟待解决的防控难题，更成为研究"杀虫剂靶标-抗性机制共演化"的理想模型系统。2013年小菜蛾基因组的成功测序</w:t>
      </w:r>
      <w:r>
        <w:rPr>
          <w:sz w:val="18"/>
          <w:vertAlign w:val="superscript"/>
          <w:lang w:eastAsia="zh-CN"/>
        </w:rPr>
        <w:t>[7]</w:t>
      </w:r>
      <w:r>
        <w:rPr>
          <w:lang w:eastAsia="zh-CN"/>
        </w:rPr>
        <w:t>及随后的转录组资源构建</w:t>
      </w:r>
      <w:r>
        <w:rPr>
          <w:sz w:val="18"/>
          <w:vertAlign w:val="superscript"/>
          <w:lang w:eastAsia="zh-CN"/>
        </w:rPr>
        <w:t>[8]</w:t>
      </w:r>
      <w:r>
        <w:rPr>
          <w:lang w:eastAsia="zh-CN"/>
        </w:rPr>
        <w:t>，为在分子水平上系统解析其神经系统药理靶标及抗性机制奠定了基础。神经系统作用剂长期构成小菜蛾化学防治的核心，因此，以小菜蛾为模型系统构建神经药理靶标的完整图谱，对于理解杀虫剂作用机制、预测抗性演化轨迹、指导抗性监测策略以及发现新型靶标均具有重要的理论与实践意义。</w:t>
      </w:r>
    </w:p>
    <w:p w14:paraId="40E7EFF3">
      <w:pPr>
        <w:pStyle w:val="5"/>
        <w:spacing w:line="360" w:lineRule="auto"/>
        <w:rPr>
          <w:color w:val="auto"/>
          <w:lang w:eastAsia="zh-CN"/>
        </w:rPr>
      </w:pPr>
      <w:r>
        <w:rPr>
          <w:rFonts w:ascii="Times New Roman" w:hAnsi="Times New Roman" w:eastAsia="宋体"/>
          <w:color w:val="auto"/>
          <w:lang w:eastAsia="zh-CN"/>
        </w:rPr>
        <w:t>1.2 现有知识组织方式的局限性与本综述的必要性</w:t>
      </w:r>
    </w:p>
    <w:p w14:paraId="1CED2475">
      <w:pPr>
        <w:spacing w:after="80" w:line="360" w:lineRule="auto"/>
        <w:ind w:firstLine="420"/>
        <w:rPr>
          <w:lang w:eastAsia="zh-CN"/>
        </w:rPr>
      </w:pPr>
      <w:r>
        <w:rPr>
          <w:lang w:eastAsia="zh-CN"/>
        </w:rPr>
        <w:t>目前关于小菜蛾杀虫剂抗性的研究文献主要按照药剂化学类别进行组织，例如将新烟碱类、多杀菌素类、双酰胺类、阿维菌素类等分别作为独立的研究主题</w:t>
      </w:r>
      <w:r>
        <w:rPr>
          <w:sz w:val="18"/>
          <w:vertAlign w:val="superscript"/>
          <w:lang w:eastAsia="zh-CN"/>
        </w:rPr>
        <w:t>[9,10,11,12]</w:t>
      </w:r>
      <w:r>
        <w:rPr>
          <w:lang w:eastAsia="zh-CN"/>
        </w:rPr>
        <w:t>。这种以"药剂为中心"的知识组织方式在早期研究阶段具有一定的实用价值，但随着分子生物学技术的进步和靶标研究的深入，这种组织方式的局限性日益凸显。</w:t>
      </w:r>
    </w:p>
    <w:p w14:paraId="509C548D">
      <w:pPr>
        <w:spacing w:after="80" w:line="360" w:lineRule="auto"/>
        <w:ind w:firstLine="420"/>
        <w:rPr>
          <w:lang w:eastAsia="zh-CN"/>
        </w:rPr>
      </w:pPr>
      <w:r>
        <w:rPr>
          <w:lang w:eastAsia="zh-CN"/>
        </w:rPr>
        <w:t>首先，同一神经通路往往对应多个化学类别的杀虫剂。例如，烟碱型乙酰胆碱受体（nAChR）既是新烟碱类杀虫剂的靶标，也是多杀菌素类的作用位点，但两类药剂与受体的结合位点、受体亚型选择性以及抗性突变位点均存在显著差异</w:t>
      </w:r>
      <w:r>
        <w:rPr>
          <w:sz w:val="18"/>
          <w:vertAlign w:val="superscript"/>
          <w:lang w:eastAsia="zh-CN"/>
        </w:rPr>
        <w:t>[13,14,15]</w:t>
      </w:r>
      <w:r>
        <w:rPr>
          <w:lang w:eastAsia="zh-CN"/>
        </w:rPr>
        <w:t>。如果将nAChR相关研究拆分到新烟碱类和多杀菌素类两个独立章节中，就会削弱"受体亚基组成"和"结合位点差异"作为理解交叉抗性与选择性的核心解释框架的作用。</w:t>
      </w:r>
    </w:p>
    <w:p w14:paraId="186479F8">
      <w:pPr>
        <w:spacing w:after="80" w:line="360" w:lineRule="auto"/>
        <w:ind w:firstLine="420"/>
        <w:rPr>
          <w:lang w:eastAsia="zh-CN"/>
        </w:rPr>
      </w:pPr>
      <w:r>
        <w:rPr>
          <w:lang w:eastAsia="zh-CN"/>
        </w:rPr>
        <w:t>其次，按药剂类别组织知识容易掩盖不同靶标之间的功能关联与交叉抗性风险。例如，GABA受体（RDL）和谷氨酸门控氯离子通道（GluCl）同属抑制性氯离子通路，两者在结构上同属Cys-loop配体门控离子通道超家族，在功能上共同调控神经元的抑制性信号传递</w:t>
      </w:r>
      <w:r>
        <w:rPr>
          <w:sz w:val="18"/>
          <w:vertAlign w:val="superscript"/>
          <w:lang w:eastAsia="zh-CN"/>
        </w:rPr>
        <w:t>[16,17]</w:t>
      </w:r>
      <w:r>
        <w:rPr>
          <w:lang w:eastAsia="zh-CN"/>
        </w:rPr>
        <w:t>。非芳基吡唑类（如氟虫腈）主要作用于RDL，而阿维菌素类主要作用于GluCl，但两类受体的结构相似性意味着某些突变可能同时影响两类药剂的敏感性。如果将这两个靶标分散在不同章节中讨论，就难以系统评估抑制性氯离子通路作为一个整体的抗性演化潜力。</w:t>
      </w:r>
    </w:p>
    <w:p w14:paraId="61A7E347">
      <w:pPr>
        <w:spacing w:after="80" w:line="360" w:lineRule="auto"/>
        <w:ind w:firstLine="420"/>
        <w:rPr>
          <w:lang w:eastAsia="zh-CN"/>
        </w:rPr>
      </w:pPr>
      <w:r>
        <w:rPr>
          <w:lang w:eastAsia="zh-CN"/>
        </w:rPr>
        <w:t>第三，传统的药剂分类方式难以有效整合新兴靶标的发现与验证。近年来，生物胺受体（如酪胺受体、章鱼胺受体）等G蛋白偶联受体（GPCR）系统在小菜蛾中的药理学特性和功能验证研究取得了重要进展</w:t>
      </w:r>
      <w:r>
        <w:rPr>
          <w:sz w:val="18"/>
          <w:vertAlign w:val="superscript"/>
          <w:lang w:eastAsia="zh-CN"/>
        </w:rPr>
        <w:t>[18,19,20]</w:t>
      </w:r>
      <w:r>
        <w:rPr>
          <w:lang w:eastAsia="zh-CN"/>
        </w:rPr>
        <w:t>，但这些靶标尚未对应成熟的商业化杀虫剂类别。如果继续沿用"药剂优先"的组织逻辑，这些具有重要开发潜力的新兴靶标将难以在综述框架中获得应有的关注。</w:t>
      </w:r>
    </w:p>
    <w:p w14:paraId="00C6FFE0">
      <w:pPr>
        <w:spacing w:after="80" w:line="360" w:lineRule="auto"/>
        <w:ind w:firstLine="420"/>
        <w:rPr>
          <w:lang w:eastAsia="zh-CN"/>
        </w:rPr>
      </w:pPr>
      <w:r>
        <w:rPr>
          <w:lang w:eastAsia="zh-CN"/>
        </w:rPr>
        <w:t>因此，亟需一个以"神经系统药理靶标"为中心的知识整合框架，将作用机制、靶标位点、抗性突变、交叉抗性风险和新靶标发现置于统一的生物学背景下进行讨论。这种重组不仅有助于更清晰地理解不同药剂类别之间的共性与差异，也能为抗性监测标记物的选择、综合治理策略的制定以及新靶标的优先级排序提供更为坚实的理论基础。</w:t>
      </w:r>
    </w:p>
    <w:p w14:paraId="6D52E91F">
      <w:pPr>
        <w:pStyle w:val="5"/>
        <w:spacing w:line="360" w:lineRule="auto"/>
        <w:rPr>
          <w:color w:val="auto"/>
          <w:lang w:eastAsia="zh-CN"/>
        </w:rPr>
      </w:pPr>
      <w:r>
        <w:rPr>
          <w:rFonts w:ascii="Times New Roman" w:hAnsi="Times New Roman" w:eastAsia="宋体"/>
          <w:color w:val="auto"/>
          <w:lang w:eastAsia="zh-CN"/>
        </w:rPr>
        <w:t>1.3 本综述的组织框架与交付内容</w:t>
      </w:r>
    </w:p>
    <w:p w14:paraId="20C645AC">
      <w:pPr>
        <w:spacing w:after="80" w:line="360" w:lineRule="auto"/>
        <w:ind w:firstLine="420"/>
        <w:rPr>
          <w:lang w:eastAsia="zh-CN"/>
        </w:rPr>
      </w:pPr>
      <w:r>
        <w:rPr>
          <w:lang w:eastAsia="zh-CN"/>
        </w:rPr>
        <w:t>本综述将小菜蛾神经系统相关药理靶标重组为四个功能模块，每个模块按照"靶标生物学基础 → 代表性药剂及作用位点 → 小菜蛾直接证据 → 抗性演化与管理意义"的统一叙事逻辑展开：</w:t>
      </w:r>
    </w:p>
    <w:p w14:paraId="716B9CCA">
      <w:pPr>
        <w:spacing w:after="80" w:line="360" w:lineRule="auto"/>
        <w:ind w:firstLine="420"/>
        <w:rPr>
          <w:lang w:eastAsia="zh-CN"/>
        </w:rPr>
      </w:pPr>
      <w:r>
        <w:rPr>
          <w:b/>
          <w:lang w:eastAsia="zh-CN"/>
        </w:rPr>
        <w:t>模块I：胆碱能兴奋性通路</w:t>
      </w:r>
      <w:r>
        <w:rPr>
          <w:lang w:eastAsia="zh-CN"/>
        </w:rPr>
        <w:t xml:space="preserve">——涵盖乙酰胆碱酯酶（AChE）和烟碱型乙酰胆碱受体（nAChR）两个靶标，对应有机磷类、氨基甲酸酯类、新烟碱类和多杀菌素类杀虫剂。重点讨论nAChR </w:t>
      </w:r>
      <w:r>
        <w:t>α</w:t>
      </w:r>
      <w:r>
        <w:rPr>
          <w:lang w:eastAsia="zh-CN"/>
        </w:rPr>
        <w:t>6亚基的错误剪接、提前终止密码子和跨膜区缺失突变在多杀菌素类抗性中的因果证据链，以及AChE1基因的氨基酸替换与有机磷类抗性的关联。</w:t>
      </w:r>
    </w:p>
    <w:p w14:paraId="486AF242">
      <w:pPr>
        <w:spacing w:after="80" w:line="360" w:lineRule="auto"/>
        <w:ind w:firstLine="420"/>
        <w:rPr>
          <w:lang w:eastAsia="zh-CN"/>
        </w:rPr>
      </w:pPr>
      <w:r>
        <w:rPr>
          <w:b/>
          <w:lang w:eastAsia="zh-CN"/>
        </w:rPr>
        <w:t>模块II：抑制性氯离子通路</w:t>
      </w:r>
      <w:r>
        <w:rPr>
          <w:lang w:eastAsia="zh-CN"/>
        </w:rPr>
        <w:t>——涵盖GABA受体（RDL）和谷氨酸门控氯离子通道（GluCl）两个靶标，对应非芳基吡唑类、阿维菌素类和新型间二酰胺类杀虫剂。重点讨论小菜蛾特有的两个RDL同源基因（PxRDL1和PxRDL2）的功能分化，以及GluCl的A309V、G315E、V263I突变和外显子9剪接变体在阿维菌素类抗性中的作用机制。</w:t>
      </w:r>
    </w:p>
    <w:p w14:paraId="49DCB800">
      <w:pPr>
        <w:spacing w:after="80" w:line="360" w:lineRule="auto"/>
        <w:ind w:firstLine="420"/>
        <w:rPr>
          <w:lang w:eastAsia="zh-CN"/>
        </w:rPr>
      </w:pPr>
      <w:r>
        <w:rPr>
          <w:b/>
          <w:lang w:eastAsia="zh-CN"/>
        </w:rPr>
        <w:t>模块III：膜兴奋性与胞内钙释放通路</w:t>
      </w:r>
      <w:r>
        <w:rPr>
          <w:lang w:eastAsia="zh-CN"/>
        </w:rPr>
        <w:t>——涵盖电压门控钠通道（Na</w:t>
      </w:r>
      <w:r>
        <w:rPr>
          <w:sz w:val="18"/>
          <w:vertAlign w:val="subscript"/>
          <w:lang w:eastAsia="zh-CN"/>
        </w:rPr>
        <w:t>v</w:t>
      </w:r>
      <w:r>
        <w:rPr>
          <w:lang w:eastAsia="zh-CN"/>
        </w:rPr>
        <w:t>）和兰尼碱受体（RyR）两个靶标，对应拟除虫菊酯类、钠通道阻断剂（SCBI）和双酰胺类杀虫剂。重点讨论RyR的G4946E、I4790M和I4790K突变的CRISPR功能验证证据，以及Na</w:t>
      </w:r>
      <w:r>
        <w:rPr>
          <w:sz w:val="18"/>
          <w:vertAlign w:val="subscript"/>
          <w:lang w:eastAsia="zh-CN"/>
        </w:rPr>
        <w:t>v</w:t>
      </w:r>
      <w:r>
        <w:rPr>
          <w:lang w:eastAsia="zh-CN"/>
        </w:rPr>
        <w:t>的F1845Y和V1848I突变如何将传统击倒抗性（kdr）研究与SCBI抗性机制连接起来。</w:t>
      </w:r>
    </w:p>
    <w:p w14:paraId="338BB2AA">
      <w:pPr>
        <w:spacing w:after="80" w:line="360" w:lineRule="auto"/>
        <w:ind w:firstLine="420"/>
        <w:rPr>
          <w:lang w:eastAsia="zh-CN"/>
        </w:rPr>
      </w:pPr>
      <w:r>
        <w:rPr>
          <w:b/>
          <w:lang w:eastAsia="zh-CN"/>
        </w:rPr>
        <w:t>模块IV：新兴生物胺受体靶标</w:t>
      </w:r>
      <w:r>
        <w:rPr>
          <w:lang w:eastAsia="zh-CN"/>
        </w:rPr>
        <w:t>——涵盖酪胺受体（TAR1）和章鱼胺受体（Oct</w:t>
      </w:r>
      <w:r>
        <w:t>β</w:t>
      </w:r>
      <w:r>
        <w:rPr>
          <w:lang w:eastAsia="zh-CN"/>
        </w:rPr>
        <w:t>3）等GPCR系统，目前尚无对应的主流商业化杀虫剂，但已具备"可药理学操控、可功能验证、可用于新药设计"的三重潜力。重点讨论这些受体的异源表达药理学特性、RNAi功能验证和CRISPR敲除表型，以及作为下一代靶标的开发前景。</w:t>
      </w:r>
    </w:p>
    <w:p w14:paraId="1151F55C">
      <w:pPr>
        <w:spacing w:after="80" w:line="360" w:lineRule="auto"/>
        <w:ind w:firstLine="420"/>
        <w:rPr>
          <w:lang w:eastAsia="zh-CN"/>
        </w:rPr>
      </w:pPr>
      <w:r>
        <w:rPr>
          <w:lang w:eastAsia="zh-CN"/>
        </w:rPr>
        <w:t>本综述将交付以下四项核心内容：</w:t>
      </w:r>
    </w:p>
    <w:p w14:paraId="103E767C">
      <w:pPr>
        <w:spacing w:after="80" w:line="360" w:lineRule="auto"/>
        <w:ind w:firstLine="420"/>
        <w:rPr>
          <w:lang w:eastAsia="zh-CN"/>
        </w:rPr>
      </w:pPr>
      <w:r>
        <w:rPr>
          <w:lang w:eastAsia="zh-CN"/>
        </w:rPr>
        <w:t>通过这种以靶标为中心的重组，本综述旨在为小菜蛾抗性研究提供一个更具解释力和预测力的知识框架，并为昆虫神经药理学领域的靶标发现与抗性管理提供可借鉴的范式。</w:t>
      </w:r>
    </w:p>
    <w:p w14:paraId="47541F08">
      <w:pPr>
        <w:spacing w:before="120" w:after="120" w:line="360" w:lineRule="auto"/>
        <w:rPr>
          <w:lang w:eastAsia="zh-CN"/>
        </w:rPr>
      </w:pPr>
    </w:p>
    <w:p w14:paraId="0137414A">
      <w:pPr>
        <w:pStyle w:val="4"/>
        <w:spacing w:line="360" w:lineRule="auto"/>
        <w:rPr>
          <w:color w:val="auto"/>
          <w:lang w:eastAsia="zh-CN"/>
        </w:rPr>
      </w:pPr>
      <w:r>
        <w:rPr>
          <w:rFonts w:ascii="Times New Roman" w:hAnsi="Times New Roman" w:eastAsia="宋体"/>
          <w:color w:val="auto"/>
          <w:sz w:val="28"/>
          <w:lang w:eastAsia="zh-CN"/>
        </w:rPr>
        <w:t>2. 神经系统与药理靶标分类框架</w:t>
      </w:r>
    </w:p>
    <w:p w14:paraId="3FD05D05">
      <w:pPr>
        <w:pStyle w:val="5"/>
        <w:spacing w:line="360" w:lineRule="auto"/>
        <w:rPr>
          <w:color w:val="auto"/>
          <w:lang w:eastAsia="zh-CN"/>
        </w:rPr>
      </w:pPr>
      <w:r>
        <w:rPr>
          <w:rFonts w:ascii="Times New Roman" w:hAnsi="Times New Roman" w:eastAsia="宋体"/>
          <w:color w:val="auto"/>
          <w:lang w:eastAsia="zh-CN"/>
        </w:rPr>
        <w:t>2.1 分类原则与靶标组织逻辑</w:t>
      </w:r>
    </w:p>
    <w:p w14:paraId="378D57F1">
      <w:pPr>
        <w:spacing w:after="80" w:line="360" w:lineRule="auto"/>
        <w:ind w:firstLine="420"/>
        <w:rPr>
          <w:lang w:eastAsia="zh-CN"/>
        </w:rPr>
      </w:pPr>
      <w:r>
        <w:rPr>
          <w:lang w:eastAsia="zh-CN"/>
        </w:rPr>
        <w:t>传统的杀虫剂综述通常按化学类别或商品名称组织内容，这种方式虽然便于农业应用者理解，但在阐释作用机制、抗性演化和交叉抗性风险时存在明显局限。同一神经通路往往对应多个化学类别，而按药剂分类会将共享靶位与交叉抗性机制人为拆散</w:t>
      </w:r>
      <w:r>
        <w:rPr>
          <w:sz w:val="18"/>
          <w:vertAlign w:val="superscript"/>
          <w:lang w:eastAsia="zh-CN"/>
        </w:rPr>
        <w:t>[4,9]</w:t>
      </w:r>
      <w:r>
        <w:rPr>
          <w:lang w:eastAsia="zh-CN"/>
        </w:rPr>
        <w:t>。例如，烟碱型乙酰胆碱受体（nAChR）既是新烟碱类杀虫剂的靶标，也是多杀菌素类的作用位点，但两类药剂结合的受体亚基和结合位点存在显著差异</w:t>
      </w:r>
      <w:r>
        <w:rPr>
          <w:sz w:val="18"/>
          <w:vertAlign w:val="superscript"/>
          <w:lang w:eastAsia="zh-CN"/>
        </w:rPr>
        <w:t>[13,14]</w:t>
      </w:r>
      <w:r>
        <w:rPr>
          <w:lang w:eastAsia="zh-CN"/>
        </w:rPr>
        <w:t>。</w:t>
      </w:r>
    </w:p>
    <w:p w14:paraId="447396A9">
      <w:pPr>
        <w:spacing w:after="80" w:line="360" w:lineRule="auto"/>
        <w:ind w:firstLine="420"/>
        <w:rPr>
          <w:lang w:eastAsia="zh-CN"/>
        </w:rPr>
      </w:pPr>
      <w:r>
        <w:rPr>
          <w:lang w:eastAsia="zh-CN"/>
        </w:rPr>
        <w:t>基于上述考虑，本文采用"靶标优先"而非"药剂优先"的组织逻辑，将小菜蛾神经系统相关药理靶标重构为四个功能模块：</w:t>
      </w:r>
    </w:p>
    <w:p w14:paraId="2167B0A1">
      <w:pPr>
        <w:spacing w:after="80" w:line="360" w:lineRule="auto"/>
        <w:ind w:firstLine="420"/>
        <w:rPr>
          <w:lang w:eastAsia="zh-CN"/>
        </w:rPr>
      </w:pPr>
      <w:r>
        <w:rPr>
          <w:b/>
          <w:lang w:eastAsia="zh-CN"/>
        </w:rPr>
        <w:t>模块 I：胆碱能兴奋性通路</w:t>
      </w:r>
      <w:r>
        <w:rPr>
          <w:lang w:eastAsia="zh-CN"/>
        </w:rPr>
        <w:t>——包括乙酰胆碱酯酶（AChE）和烟碱型乙酰胆碱受体（nAChR）。该模块涵盖有机磷类、氨基甲酸酯类、新烟碱类、磺酰亚胺类以及多杀菌素类杀虫剂的作用靶标</w:t>
      </w:r>
      <w:r>
        <w:rPr>
          <w:sz w:val="18"/>
          <w:vertAlign w:val="superscript"/>
          <w:lang w:eastAsia="zh-CN"/>
        </w:rPr>
        <w:t>[21,15]</w:t>
      </w:r>
      <w:r>
        <w:rPr>
          <w:lang w:eastAsia="zh-CN"/>
        </w:rPr>
        <w:t>。</w:t>
      </w:r>
    </w:p>
    <w:p w14:paraId="21EFE529">
      <w:pPr>
        <w:spacing w:after="80" w:line="360" w:lineRule="auto"/>
        <w:ind w:firstLine="420"/>
        <w:rPr>
          <w:lang w:eastAsia="zh-CN"/>
        </w:rPr>
      </w:pPr>
      <w:r>
        <w:rPr>
          <w:b/>
          <w:lang w:eastAsia="zh-CN"/>
        </w:rPr>
        <w:t>模块 II：抑制性氯离子通路</w:t>
      </w:r>
      <w:r>
        <w:rPr>
          <w:lang w:eastAsia="zh-CN"/>
        </w:rPr>
        <w:t>——包括GABA受体（RDL）和谷氨酸门控氯离子通道（GluCl）。该模块对应苯基吡唑类、异噁唑啉类、间-二酰胺类以及阿维菌素类杀虫剂</w:t>
      </w:r>
      <w:r>
        <w:rPr>
          <w:sz w:val="18"/>
          <w:vertAlign w:val="superscript"/>
          <w:lang w:eastAsia="zh-CN"/>
        </w:rPr>
        <w:t>[23,24]</w:t>
      </w:r>
      <w:r>
        <w:rPr>
          <w:lang w:eastAsia="zh-CN"/>
        </w:rPr>
        <w:t>。</w:t>
      </w:r>
    </w:p>
    <w:p w14:paraId="0B37131D">
      <w:pPr>
        <w:spacing w:after="80" w:line="360" w:lineRule="auto"/>
        <w:ind w:firstLine="420"/>
        <w:rPr>
          <w:lang w:eastAsia="zh-CN"/>
        </w:rPr>
      </w:pPr>
      <w:r>
        <w:rPr>
          <w:b/>
          <w:lang w:eastAsia="zh-CN"/>
        </w:rPr>
        <w:t>模块 III：膜兴奋性与胞内钙释放</w:t>
      </w:r>
      <w:r>
        <w:rPr>
          <w:lang w:eastAsia="zh-CN"/>
        </w:rPr>
        <w:t>——包括电压门控钠通道（Na</w:t>
      </w:r>
      <w:r>
        <w:rPr>
          <w:sz w:val="18"/>
          <w:vertAlign w:val="subscript"/>
          <w:lang w:eastAsia="zh-CN"/>
        </w:rPr>
        <w:t>v</w:t>
      </w:r>
      <w:r>
        <w:rPr>
          <w:lang w:eastAsia="zh-CN"/>
        </w:rPr>
        <w:t>）和兰尼碱受体（RyR）。该模块涵盖拟除虫菊酯类、钠通道阻断剂类（SCBI）以及双酰胺类杀虫剂</w:t>
      </w:r>
      <w:r>
        <w:rPr>
          <w:sz w:val="18"/>
          <w:vertAlign w:val="superscript"/>
          <w:lang w:eastAsia="zh-CN"/>
        </w:rPr>
        <w:t>[25,26]</w:t>
      </w:r>
      <w:r>
        <w:rPr>
          <w:lang w:eastAsia="zh-CN"/>
        </w:rPr>
        <w:t>。</w:t>
      </w:r>
    </w:p>
    <w:p w14:paraId="5AE5025F">
      <w:pPr>
        <w:spacing w:after="80" w:line="360" w:lineRule="auto"/>
        <w:ind w:firstLine="420"/>
        <w:rPr>
          <w:lang w:eastAsia="zh-CN"/>
        </w:rPr>
      </w:pPr>
      <w:r>
        <w:rPr>
          <w:b/>
          <w:lang w:eastAsia="zh-CN"/>
        </w:rPr>
        <w:t>模块 IV：新兴生物胺受体靶标</w:t>
      </w:r>
      <w:r>
        <w:rPr>
          <w:lang w:eastAsia="zh-CN"/>
        </w:rPr>
        <w:t>——包括酪胺受体和章鱼胺受体等GPCR。该模块目前尚未成为小菜蛾田间抗性的主战场，但已具备可药理学操控、可功能验证和可用于新药设计的基础条件</w:t>
      </w:r>
      <w:r>
        <w:rPr>
          <w:sz w:val="18"/>
          <w:vertAlign w:val="superscript"/>
          <w:lang w:eastAsia="zh-CN"/>
        </w:rPr>
        <w:t>[18,19]</w:t>
      </w:r>
      <w:r>
        <w:rPr>
          <w:lang w:eastAsia="zh-CN"/>
        </w:rPr>
        <w:t>。</w:t>
      </w:r>
    </w:p>
    <w:p w14:paraId="1E98D141">
      <w:pPr>
        <w:pStyle w:val="5"/>
        <w:spacing w:line="360" w:lineRule="auto"/>
        <w:rPr>
          <w:color w:val="auto"/>
          <w:lang w:eastAsia="zh-CN"/>
        </w:rPr>
      </w:pPr>
      <w:r>
        <w:rPr>
          <w:rFonts w:ascii="Times New Roman" w:hAnsi="Times New Roman" w:eastAsia="宋体"/>
          <w:color w:val="auto"/>
          <w:lang w:eastAsia="zh-CN"/>
        </w:rPr>
        <w:t>2.2 靶标优先级评估标准</w:t>
      </w:r>
    </w:p>
    <w:p w14:paraId="67A05CD0">
      <w:pPr>
        <w:spacing w:after="80" w:line="360" w:lineRule="auto"/>
        <w:ind w:firstLine="420"/>
        <w:rPr>
          <w:lang w:eastAsia="zh-CN"/>
        </w:rPr>
      </w:pPr>
      <w:r>
        <w:rPr>
          <w:lang w:eastAsia="zh-CN"/>
        </w:rPr>
        <w:t>本文提出基于五个维度的评分框架：（1）是否存在小菜蛾直接功能证据</w:t>
      </w:r>
      <w:r>
        <w:rPr>
          <w:sz w:val="18"/>
          <w:vertAlign w:val="superscript"/>
          <w:lang w:eastAsia="zh-CN"/>
        </w:rPr>
        <w:t>[10]</w:t>
      </w:r>
      <w:r>
        <w:rPr>
          <w:lang w:eastAsia="zh-CN"/>
        </w:rPr>
        <w:t>；（2）是否已发现稳定的靶位突变或异常剪接</w:t>
      </w:r>
      <w:r>
        <w:rPr>
          <w:sz w:val="18"/>
          <w:vertAlign w:val="superscript"/>
          <w:lang w:eastAsia="zh-CN"/>
        </w:rPr>
        <w:t>[27,28]</w:t>
      </w:r>
      <w:r>
        <w:rPr>
          <w:lang w:eastAsia="zh-CN"/>
        </w:rPr>
        <w:t>；（3）是否能解释跨药剂类别表型</w:t>
      </w:r>
      <w:r>
        <w:rPr>
          <w:sz w:val="18"/>
          <w:vertAlign w:val="superscript"/>
          <w:lang w:eastAsia="zh-CN"/>
        </w:rPr>
        <w:t>[29]</w:t>
      </w:r>
      <w:r>
        <w:rPr>
          <w:lang w:eastAsia="zh-CN"/>
        </w:rPr>
        <w:t>；（4）是否适合作为分子监测标记</w:t>
      </w:r>
      <w:r>
        <w:rPr>
          <w:sz w:val="18"/>
          <w:vertAlign w:val="superscript"/>
          <w:lang w:eastAsia="zh-CN"/>
        </w:rPr>
        <w:t>[30]</w:t>
      </w:r>
      <w:r>
        <w:rPr>
          <w:lang w:eastAsia="zh-CN"/>
        </w:rPr>
        <w:t>；（5）是否仍具备新药研发空间</w:t>
      </w:r>
      <w:r>
        <w:rPr>
          <w:sz w:val="18"/>
          <w:vertAlign w:val="superscript"/>
          <w:lang w:eastAsia="zh-CN"/>
        </w:rPr>
        <w:t>[31]</w:t>
      </w:r>
      <w:r>
        <w:rPr>
          <w:lang w:eastAsia="zh-CN"/>
        </w:rPr>
        <w:t>。基于上述标准，本文将在第6章整合形成小菜蛾神经系统药理靶标的优先级排序与监测建议。</w:t>
      </w:r>
    </w:p>
    <w:p w14:paraId="0E158C3B">
      <w:pPr>
        <w:pStyle w:val="5"/>
        <w:spacing w:line="360" w:lineRule="auto"/>
        <w:rPr>
          <w:color w:val="auto"/>
          <w:lang w:eastAsia="zh-CN"/>
        </w:rPr>
      </w:pPr>
      <w:r>
        <w:rPr>
          <w:rFonts w:ascii="Times New Roman" w:hAnsi="Times New Roman" w:eastAsia="宋体"/>
          <w:color w:val="auto"/>
          <w:lang w:eastAsia="zh-CN"/>
        </w:rPr>
        <w:t>2.3 小菜蛾神经系统药理靶标总图</w:t>
      </w:r>
    </w:p>
    <w:p w14:paraId="6BB15FCA">
      <w:pPr>
        <w:spacing w:after="80" w:line="360" w:lineRule="auto"/>
        <w:ind w:firstLine="420"/>
        <w:rPr>
          <w:lang w:eastAsia="zh-CN"/>
        </w:rPr>
      </w:pPr>
      <w:r>
        <w:rPr>
          <w:lang w:eastAsia="zh-CN"/>
        </w:rPr>
        <w:t>在突触前，AChE负责水解突触间隙中的乙酰胆碱，是有机磷类和氨基甲酸酯类杀虫剂的经典靶标</w:t>
      </w:r>
      <w:r>
        <w:rPr>
          <w:sz w:val="18"/>
          <w:vertAlign w:val="superscript"/>
          <w:lang w:eastAsia="zh-CN"/>
        </w:rPr>
        <w:t>[32]</w:t>
      </w:r>
      <w:r>
        <w:rPr>
          <w:lang w:eastAsia="zh-CN"/>
        </w:rPr>
        <w:t>。在突触后膜，nAChR介导快速兴奋性传递，是新烟碱类、磺酰亚胺类和多杀菌素类的作用位点</w:t>
      </w:r>
      <w:r>
        <w:rPr>
          <w:sz w:val="18"/>
          <w:vertAlign w:val="superscript"/>
          <w:lang w:eastAsia="zh-CN"/>
        </w:rPr>
        <w:t>[13,14]</w:t>
      </w:r>
      <w:r>
        <w:rPr>
          <w:lang w:eastAsia="zh-CN"/>
        </w:rPr>
        <w:t>。GABA受体和GluCl则介导抑制性信号，分别对应苯基吡唑类、间-二酰胺类和阿维菌素类杀虫剂</w:t>
      </w:r>
      <w:r>
        <w:rPr>
          <w:sz w:val="18"/>
          <w:vertAlign w:val="superscript"/>
          <w:lang w:eastAsia="zh-CN"/>
        </w:rPr>
        <w:t>[23,24]</w:t>
      </w:r>
      <w:r>
        <w:rPr>
          <w:lang w:eastAsia="zh-CN"/>
        </w:rPr>
        <w:t>。Na</w:t>
      </w:r>
      <w:r>
        <w:rPr>
          <w:sz w:val="18"/>
          <w:vertAlign w:val="subscript"/>
          <w:lang w:eastAsia="zh-CN"/>
        </w:rPr>
        <w:t>v</w:t>
      </w:r>
      <w:r>
        <w:rPr>
          <w:lang w:eastAsia="zh-CN"/>
        </w:rPr>
        <w:t>控制动作电位的产生与传播，是拟除虫菊酯类和SCBI的共同靶标</w:t>
      </w:r>
      <w:r>
        <w:rPr>
          <w:sz w:val="18"/>
          <w:vertAlign w:val="superscript"/>
          <w:lang w:eastAsia="zh-CN"/>
        </w:rPr>
        <w:t>[25,29]</w:t>
      </w:r>
      <w:r>
        <w:rPr>
          <w:lang w:eastAsia="zh-CN"/>
        </w:rPr>
        <w:t>。RyR位于肌质网膜上，调控胞内钙离子释放，是双酰胺类杀虫剂的核心靶点</w:t>
      </w:r>
      <w:r>
        <w:rPr>
          <w:sz w:val="18"/>
          <w:vertAlign w:val="superscript"/>
          <w:lang w:eastAsia="zh-CN"/>
        </w:rPr>
        <w:t>[26,33]</w:t>
      </w:r>
      <w:r>
        <w:rPr>
          <w:lang w:eastAsia="zh-CN"/>
        </w:rPr>
        <w:t>。酪胺受体和章鱼胺受体等生物胺GPCR代表新兴的潜在靶标</w:t>
      </w:r>
      <w:r>
        <w:rPr>
          <w:sz w:val="18"/>
          <w:vertAlign w:val="superscript"/>
          <w:lang w:eastAsia="zh-CN"/>
        </w:rPr>
        <w:t>[18,19]</w:t>
      </w:r>
      <w:r>
        <w:rPr>
          <w:lang w:eastAsia="zh-CN"/>
        </w:rPr>
        <w:t>。</w:t>
      </w:r>
    </w:p>
    <w:p w14:paraId="0EB4B69B">
      <w:pPr>
        <w:spacing w:line="360" w:lineRule="auto"/>
        <w:rPr>
          <w:lang w:eastAsia="zh-CN"/>
        </w:rPr>
      </w:pPr>
      <w:r>
        <w:rPr>
          <w:i/>
          <w:sz w:val="20"/>
          <w:lang w:eastAsia="zh-CN"/>
        </w:rPr>
        <w:t>表1 小菜蛾神经系统药理靶标、对应药剂类别与证据等级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tblGrid>
      <w:tr w14:paraId="460D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45CE1347">
            <w:pPr>
              <w:spacing w:after="0" w:line="360" w:lineRule="auto"/>
            </w:pPr>
            <w:r>
              <w:rPr>
                <w:b/>
                <w:sz w:val="20"/>
              </w:rPr>
              <w:t>靶标模块</w:t>
            </w:r>
          </w:p>
        </w:tc>
        <w:tc>
          <w:tcPr>
            <w:tcW w:w="1441" w:type="dxa"/>
          </w:tcPr>
          <w:p w14:paraId="0DC662C3">
            <w:pPr>
              <w:spacing w:after="0" w:line="360" w:lineRule="auto"/>
            </w:pPr>
            <w:r>
              <w:rPr>
                <w:b/>
                <w:sz w:val="20"/>
              </w:rPr>
              <w:t>具体靶标</w:t>
            </w:r>
          </w:p>
        </w:tc>
        <w:tc>
          <w:tcPr>
            <w:tcW w:w="1441" w:type="dxa"/>
          </w:tcPr>
          <w:p w14:paraId="0EC78FC3">
            <w:pPr>
              <w:spacing w:after="0" w:line="360" w:lineRule="auto"/>
            </w:pPr>
            <w:r>
              <w:rPr>
                <w:b/>
                <w:sz w:val="20"/>
              </w:rPr>
              <w:t>代表性药剂类别</w:t>
            </w:r>
          </w:p>
        </w:tc>
        <w:tc>
          <w:tcPr>
            <w:tcW w:w="1441" w:type="dxa"/>
          </w:tcPr>
          <w:p w14:paraId="18E2D2CE">
            <w:pPr>
              <w:spacing w:after="0" w:line="360" w:lineRule="auto"/>
            </w:pPr>
            <w:r>
              <w:rPr>
                <w:b/>
                <w:sz w:val="20"/>
              </w:rPr>
              <w:t>IRAC分组</w:t>
            </w:r>
          </w:p>
        </w:tc>
        <w:tc>
          <w:tcPr>
            <w:tcW w:w="1441" w:type="dxa"/>
          </w:tcPr>
          <w:p w14:paraId="50BDEDB2">
            <w:pPr>
              <w:spacing w:after="0" w:line="360" w:lineRule="auto"/>
            </w:pPr>
            <w:r>
              <w:rPr>
                <w:b/>
                <w:sz w:val="20"/>
              </w:rPr>
              <w:t>小菜蛾直接证据</w:t>
            </w:r>
          </w:p>
        </w:tc>
        <w:tc>
          <w:tcPr>
            <w:tcW w:w="1441" w:type="dxa"/>
          </w:tcPr>
          <w:p w14:paraId="21549CBC">
            <w:pPr>
              <w:spacing w:after="0" w:line="360" w:lineRule="auto"/>
            </w:pPr>
            <w:r>
              <w:rPr>
                <w:b/>
                <w:sz w:val="20"/>
              </w:rPr>
              <w:t>证据等级</w:t>
            </w:r>
          </w:p>
        </w:tc>
      </w:tr>
      <w:tr w14:paraId="5843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1119B835">
            <w:pPr>
              <w:spacing w:after="0" w:line="360" w:lineRule="auto"/>
            </w:pPr>
            <w:r>
              <w:rPr>
                <w:sz w:val="20"/>
              </w:rPr>
              <w:t>胆碱能兴奋性通路</w:t>
            </w:r>
          </w:p>
        </w:tc>
        <w:tc>
          <w:tcPr>
            <w:tcW w:w="1441" w:type="dxa"/>
          </w:tcPr>
          <w:p w14:paraId="22BC899F">
            <w:pPr>
              <w:spacing w:after="0" w:line="360" w:lineRule="auto"/>
            </w:pPr>
            <w:r>
              <w:rPr>
                <w:sz w:val="20"/>
              </w:rPr>
              <w:t>AChE</w:t>
            </w:r>
          </w:p>
        </w:tc>
        <w:tc>
          <w:tcPr>
            <w:tcW w:w="1441" w:type="dxa"/>
          </w:tcPr>
          <w:p w14:paraId="35F84D5D">
            <w:pPr>
              <w:spacing w:after="0" w:line="360" w:lineRule="auto"/>
              <w:rPr>
                <w:lang w:eastAsia="zh-CN"/>
              </w:rPr>
            </w:pPr>
            <w:r>
              <w:rPr>
                <w:sz w:val="20"/>
                <w:lang w:eastAsia="zh-CN"/>
              </w:rPr>
              <w:t>有机磷类、氨基甲酸酯类</w:t>
            </w:r>
          </w:p>
        </w:tc>
        <w:tc>
          <w:tcPr>
            <w:tcW w:w="1441" w:type="dxa"/>
          </w:tcPr>
          <w:p w14:paraId="11BCAFE5">
            <w:pPr>
              <w:spacing w:after="0" w:line="360" w:lineRule="auto"/>
            </w:pPr>
            <w:r>
              <w:rPr>
                <w:sz w:val="20"/>
              </w:rPr>
              <w:t>1A, 1B</w:t>
            </w:r>
          </w:p>
        </w:tc>
        <w:tc>
          <w:tcPr>
            <w:tcW w:w="1441" w:type="dxa"/>
          </w:tcPr>
          <w:p w14:paraId="0EB4A622">
            <w:pPr>
              <w:spacing w:after="0" w:line="360" w:lineRule="auto"/>
            </w:pPr>
            <w:r>
              <w:rPr>
                <w:sz w:val="20"/>
              </w:rPr>
              <w:t>靶位突变、结构建模</w:t>
            </w:r>
          </w:p>
        </w:tc>
        <w:tc>
          <w:tcPr>
            <w:tcW w:w="1441" w:type="dxa"/>
          </w:tcPr>
          <w:p w14:paraId="435613D5">
            <w:pPr>
              <w:spacing w:after="0" w:line="360" w:lineRule="auto"/>
            </w:pPr>
            <w:r>
              <w:rPr>
                <w:sz w:val="20"/>
              </w:rPr>
              <w:t>中</w:t>
            </w:r>
          </w:p>
        </w:tc>
      </w:tr>
      <w:tr w14:paraId="76A8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38AB4113">
            <w:pPr>
              <w:spacing w:after="0" w:line="360" w:lineRule="auto"/>
            </w:pPr>
            <w:r>
              <w:rPr>
                <w:sz w:val="20"/>
              </w:rPr>
              <w:t>nAChR</w:t>
            </w:r>
          </w:p>
        </w:tc>
        <w:tc>
          <w:tcPr>
            <w:tcW w:w="1441" w:type="dxa"/>
          </w:tcPr>
          <w:p w14:paraId="1CEC4C86">
            <w:pPr>
              <w:spacing w:after="0" w:line="360" w:lineRule="auto"/>
              <w:rPr>
                <w:lang w:eastAsia="zh-CN"/>
              </w:rPr>
            </w:pPr>
            <w:r>
              <w:rPr>
                <w:sz w:val="20"/>
                <w:lang w:eastAsia="zh-CN"/>
              </w:rPr>
              <w:t>新烟碱类、多杀菌素类</w:t>
            </w:r>
          </w:p>
        </w:tc>
        <w:tc>
          <w:tcPr>
            <w:tcW w:w="1441" w:type="dxa"/>
          </w:tcPr>
          <w:p w14:paraId="30406342">
            <w:pPr>
              <w:spacing w:after="0" w:line="360" w:lineRule="auto"/>
            </w:pPr>
            <w:r>
              <w:rPr>
                <w:sz w:val="20"/>
              </w:rPr>
              <w:t>4A-E, 5</w:t>
            </w:r>
          </w:p>
        </w:tc>
        <w:tc>
          <w:tcPr>
            <w:tcW w:w="1441" w:type="dxa"/>
          </w:tcPr>
          <w:p w14:paraId="312CA5C2">
            <w:pPr>
              <w:spacing w:after="0" w:line="360" w:lineRule="auto"/>
              <w:rPr>
                <w:lang w:eastAsia="zh-CN"/>
              </w:rPr>
            </w:pPr>
            <w:r>
              <w:rPr>
                <w:sz w:val="20"/>
              </w:rPr>
              <w:t>α</w:t>
            </w:r>
            <w:r>
              <w:rPr>
                <w:sz w:val="20"/>
                <w:lang w:eastAsia="zh-CN"/>
              </w:rPr>
              <w:t>6亚基突变/剪接、功能表达</w:t>
            </w:r>
          </w:p>
        </w:tc>
        <w:tc>
          <w:tcPr>
            <w:tcW w:w="1441" w:type="dxa"/>
          </w:tcPr>
          <w:p w14:paraId="18DFC198">
            <w:pPr>
              <w:spacing w:after="0" w:line="360" w:lineRule="auto"/>
            </w:pPr>
            <w:r>
              <w:rPr>
                <w:sz w:val="20"/>
              </w:rPr>
              <w:t>高</w:t>
            </w:r>
          </w:p>
        </w:tc>
        <w:tc>
          <w:tcPr>
            <w:tcW w:w="1441" w:type="dxa"/>
          </w:tcPr>
          <w:p w14:paraId="5B12ADF2">
            <w:pPr>
              <w:spacing w:after="0" w:line="360" w:lineRule="auto"/>
            </w:pPr>
          </w:p>
        </w:tc>
      </w:tr>
      <w:tr w14:paraId="042F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28EAEB29">
            <w:pPr>
              <w:spacing w:after="0" w:line="360" w:lineRule="auto"/>
            </w:pPr>
            <w:r>
              <w:rPr>
                <w:sz w:val="20"/>
              </w:rPr>
              <w:t>抑制性氯离子通路</w:t>
            </w:r>
          </w:p>
        </w:tc>
        <w:tc>
          <w:tcPr>
            <w:tcW w:w="1441" w:type="dxa"/>
          </w:tcPr>
          <w:p w14:paraId="574C4E72">
            <w:pPr>
              <w:spacing w:after="0" w:line="360" w:lineRule="auto"/>
            </w:pPr>
            <w:r>
              <w:rPr>
                <w:sz w:val="20"/>
              </w:rPr>
              <w:t>RDL/GABA受体</w:t>
            </w:r>
          </w:p>
        </w:tc>
        <w:tc>
          <w:tcPr>
            <w:tcW w:w="1441" w:type="dxa"/>
          </w:tcPr>
          <w:p w14:paraId="256A615A">
            <w:pPr>
              <w:spacing w:after="0" w:line="360" w:lineRule="auto"/>
              <w:rPr>
                <w:lang w:eastAsia="zh-CN"/>
              </w:rPr>
            </w:pPr>
            <w:r>
              <w:rPr>
                <w:sz w:val="20"/>
                <w:lang w:eastAsia="zh-CN"/>
              </w:rPr>
              <w:t>苯基吡唑类、间-二酰胺类</w:t>
            </w:r>
          </w:p>
        </w:tc>
        <w:tc>
          <w:tcPr>
            <w:tcW w:w="1441" w:type="dxa"/>
          </w:tcPr>
          <w:p w14:paraId="7D258FC9">
            <w:pPr>
              <w:spacing w:after="0" w:line="360" w:lineRule="auto"/>
            </w:pPr>
            <w:r>
              <w:rPr>
                <w:sz w:val="20"/>
              </w:rPr>
              <w:t>2B, 30</w:t>
            </w:r>
          </w:p>
        </w:tc>
        <w:tc>
          <w:tcPr>
            <w:tcW w:w="1441" w:type="dxa"/>
          </w:tcPr>
          <w:p w14:paraId="250A06E9">
            <w:pPr>
              <w:spacing w:after="0" w:line="360" w:lineRule="auto"/>
              <w:rPr>
                <w:lang w:eastAsia="zh-CN"/>
              </w:rPr>
            </w:pPr>
            <w:r>
              <w:rPr>
                <w:sz w:val="20"/>
                <w:lang w:eastAsia="zh-CN"/>
              </w:rPr>
              <w:t>双基因鉴定、药理学分化</w:t>
            </w:r>
          </w:p>
        </w:tc>
        <w:tc>
          <w:tcPr>
            <w:tcW w:w="1441" w:type="dxa"/>
          </w:tcPr>
          <w:p w14:paraId="0CB7D9E9">
            <w:pPr>
              <w:spacing w:after="0" w:line="360" w:lineRule="auto"/>
            </w:pPr>
            <w:r>
              <w:rPr>
                <w:sz w:val="20"/>
              </w:rPr>
              <w:t>高</w:t>
            </w:r>
          </w:p>
        </w:tc>
      </w:tr>
      <w:tr w14:paraId="3C68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2C93D019">
            <w:pPr>
              <w:spacing w:after="0" w:line="360" w:lineRule="auto"/>
            </w:pPr>
            <w:r>
              <w:rPr>
                <w:sz w:val="20"/>
              </w:rPr>
              <w:t>GluCl</w:t>
            </w:r>
          </w:p>
        </w:tc>
        <w:tc>
          <w:tcPr>
            <w:tcW w:w="1441" w:type="dxa"/>
          </w:tcPr>
          <w:p w14:paraId="3DA31584">
            <w:pPr>
              <w:spacing w:after="0" w:line="360" w:lineRule="auto"/>
            </w:pPr>
            <w:r>
              <w:rPr>
                <w:sz w:val="20"/>
              </w:rPr>
              <w:t>阿维菌素类</w:t>
            </w:r>
          </w:p>
        </w:tc>
        <w:tc>
          <w:tcPr>
            <w:tcW w:w="1441" w:type="dxa"/>
          </w:tcPr>
          <w:p w14:paraId="347D38E7">
            <w:pPr>
              <w:spacing w:after="0" w:line="360" w:lineRule="auto"/>
            </w:pPr>
            <w:r>
              <w:rPr>
                <w:sz w:val="20"/>
              </w:rPr>
              <w:t>6</w:t>
            </w:r>
          </w:p>
        </w:tc>
        <w:tc>
          <w:tcPr>
            <w:tcW w:w="1441" w:type="dxa"/>
          </w:tcPr>
          <w:p w14:paraId="42FCC87D">
            <w:pPr>
              <w:spacing w:after="0" w:line="360" w:lineRule="auto"/>
              <w:rPr>
                <w:lang w:eastAsia="zh-CN"/>
              </w:rPr>
            </w:pPr>
            <w:r>
              <w:rPr>
                <w:sz w:val="20"/>
                <w:lang w:eastAsia="zh-CN"/>
              </w:rPr>
              <w:t>多位点突变、剪接变体</w:t>
            </w:r>
          </w:p>
        </w:tc>
        <w:tc>
          <w:tcPr>
            <w:tcW w:w="1441" w:type="dxa"/>
          </w:tcPr>
          <w:p w14:paraId="76A443B1">
            <w:pPr>
              <w:spacing w:after="0" w:line="360" w:lineRule="auto"/>
            </w:pPr>
            <w:r>
              <w:rPr>
                <w:sz w:val="20"/>
              </w:rPr>
              <w:t>高</w:t>
            </w:r>
          </w:p>
        </w:tc>
        <w:tc>
          <w:tcPr>
            <w:tcW w:w="1441" w:type="dxa"/>
          </w:tcPr>
          <w:p w14:paraId="16C5C6CD">
            <w:pPr>
              <w:spacing w:after="0" w:line="360" w:lineRule="auto"/>
            </w:pPr>
          </w:p>
        </w:tc>
      </w:tr>
      <w:tr w14:paraId="7E44E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0E9F5F4B">
            <w:pPr>
              <w:spacing w:after="0" w:line="360" w:lineRule="auto"/>
            </w:pPr>
            <w:r>
              <w:rPr>
                <w:sz w:val="20"/>
              </w:rPr>
              <w:t>膜兴奋性与钙释放</w:t>
            </w:r>
          </w:p>
        </w:tc>
        <w:tc>
          <w:tcPr>
            <w:tcW w:w="1441" w:type="dxa"/>
          </w:tcPr>
          <w:p w14:paraId="131769AF">
            <w:pPr>
              <w:spacing w:after="0" w:line="360" w:lineRule="auto"/>
            </w:pPr>
            <w:r>
              <w:rPr>
                <w:sz w:val="20"/>
              </w:rPr>
              <w:t>Na</w:t>
            </w:r>
            <w:r>
              <w:rPr>
                <w:sz w:val="20"/>
                <w:vertAlign w:val="subscript"/>
              </w:rPr>
              <w:t>v</w:t>
            </w:r>
          </w:p>
        </w:tc>
        <w:tc>
          <w:tcPr>
            <w:tcW w:w="1441" w:type="dxa"/>
          </w:tcPr>
          <w:p w14:paraId="043E2336">
            <w:pPr>
              <w:spacing w:after="0" w:line="360" w:lineRule="auto"/>
              <w:rPr>
                <w:lang w:eastAsia="zh-CN"/>
              </w:rPr>
            </w:pPr>
            <w:r>
              <w:rPr>
                <w:sz w:val="20"/>
                <w:lang w:eastAsia="zh-CN"/>
              </w:rPr>
              <w:t>拟除虫菊酯类、SCBI</w:t>
            </w:r>
          </w:p>
        </w:tc>
        <w:tc>
          <w:tcPr>
            <w:tcW w:w="1441" w:type="dxa"/>
          </w:tcPr>
          <w:p w14:paraId="5ED990C7">
            <w:pPr>
              <w:spacing w:after="0" w:line="360" w:lineRule="auto"/>
            </w:pPr>
            <w:r>
              <w:rPr>
                <w:sz w:val="20"/>
              </w:rPr>
              <w:t>3A, 22A-B</w:t>
            </w:r>
          </w:p>
        </w:tc>
        <w:tc>
          <w:tcPr>
            <w:tcW w:w="1441" w:type="dxa"/>
          </w:tcPr>
          <w:p w14:paraId="5B940B0B">
            <w:pPr>
              <w:spacing w:after="0" w:line="360" w:lineRule="auto"/>
              <w:rPr>
                <w:lang w:eastAsia="zh-CN"/>
              </w:rPr>
            </w:pPr>
            <w:r>
              <w:rPr>
                <w:sz w:val="20"/>
                <w:lang w:eastAsia="zh-CN"/>
              </w:rPr>
              <w:t>kdr突变、SCBI抗性位点</w:t>
            </w:r>
          </w:p>
        </w:tc>
        <w:tc>
          <w:tcPr>
            <w:tcW w:w="1441" w:type="dxa"/>
          </w:tcPr>
          <w:p w14:paraId="59787C49">
            <w:pPr>
              <w:spacing w:after="0" w:line="360" w:lineRule="auto"/>
            </w:pPr>
            <w:r>
              <w:rPr>
                <w:sz w:val="20"/>
              </w:rPr>
              <w:t>高</w:t>
            </w:r>
          </w:p>
        </w:tc>
      </w:tr>
      <w:tr w14:paraId="6C4C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3564109E">
            <w:pPr>
              <w:spacing w:after="0" w:line="360" w:lineRule="auto"/>
            </w:pPr>
            <w:r>
              <w:rPr>
                <w:sz w:val="20"/>
              </w:rPr>
              <w:t>RyR</w:t>
            </w:r>
          </w:p>
        </w:tc>
        <w:tc>
          <w:tcPr>
            <w:tcW w:w="1441" w:type="dxa"/>
          </w:tcPr>
          <w:p w14:paraId="5ADE3EF6">
            <w:pPr>
              <w:spacing w:after="0" w:line="360" w:lineRule="auto"/>
            </w:pPr>
            <w:r>
              <w:rPr>
                <w:sz w:val="20"/>
              </w:rPr>
              <w:t>双酰胺类</w:t>
            </w:r>
          </w:p>
        </w:tc>
        <w:tc>
          <w:tcPr>
            <w:tcW w:w="1441" w:type="dxa"/>
          </w:tcPr>
          <w:p w14:paraId="1B223ABC">
            <w:pPr>
              <w:spacing w:after="0" w:line="360" w:lineRule="auto"/>
            </w:pPr>
            <w:r>
              <w:rPr>
                <w:sz w:val="20"/>
              </w:rPr>
              <w:t>28</w:t>
            </w:r>
          </w:p>
        </w:tc>
        <w:tc>
          <w:tcPr>
            <w:tcW w:w="1441" w:type="dxa"/>
          </w:tcPr>
          <w:p w14:paraId="0B341032">
            <w:pPr>
              <w:spacing w:after="0" w:line="360" w:lineRule="auto"/>
              <w:rPr>
                <w:lang w:eastAsia="zh-CN"/>
              </w:rPr>
            </w:pPr>
            <w:r>
              <w:rPr>
                <w:sz w:val="20"/>
                <w:lang w:eastAsia="zh-CN"/>
              </w:rPr>
              <w:t>多位点突变、CRISPR敲入、田间频率</w:t>
            </w:r>
          </w:p>
        </w:tc>
        <w:tc>
          <w:tcPr>
            <w:tcW w:w="1441" w:type="dxa"/>
          </w:tcPr>
          <w:p w14:paraId="675E1618">
            <w:pPr>
              <w:spacing w:after="0" w:line="360" w:lineRule="auto"/>
            </w:pPr>
            <w:r>
              <w:rPr>
                <w:sz w:val="20"/>
              </w:rPr>
              <w:t>极高</w:t>
            </w:r>
          </w:p>
        </w:tc>
        <w:tc>
          <w:tcPr>
            <w:tcW w:w="1441" w:type="dxa"/>
          </w:tcPr>
          <w:p w14:paraId="1F827EF2">
            <w:pPr>
              <w:spacing w:after="0" w:line="360" w:lineRule="auto"/>
            </w:pPr>
          </w:p>
        </w:tc>
      </w:tr>
      <w:tr w14:paraId="4ED5D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5AD8EB28">
            <w:pPr>
              <w:spacing w:after="0" w:line="360" w:lineRule="auto"/>
            </w:pPr>
            <w:r>
              <w:rPr>
                <w:sz w:val="20"/>
              </w:rPr>
              <w:t>新兴GPCR靶标</w:t>
            </w:r>
          </w:p>
        </w:tc>
        <w:tc>
          <w:tcPr>
            <w:tcW w:w="1441" w:type="dxa"/>
          </w:tcPr>
          <w:p w14:paraId="4EC24D66">
            <w:pPr>
              <w:spacing w:after="0" w:line="360" w:lineRule="auto"/>
            </w:pPr>
            <w:r>
              <w:rPr>
                <w:sz w:val="20"/>
              </w:rPr>
              <w:t>酪胺/章鱼胺受体</w:t>
            </w:r>
          </w:p>
        </w:tc>
        <w:tc>
          <w:tcPr>
            <w:tcW w:w="1441" w:type="dxa"/>
          </w:tcPr>
          <w:p w14:paraId="0F20232A">
            <w:pPr>
              <w:spacing w:after="0" w:line="360" w:lineRule="auto"/>
            </w:pPr>
            <w:r>
              <w:rPr>
                <w:sz w:val="20"/>
              </w:rPr>
              <w:t>甲脒类（参照）</w:t>
            </w:r>
          </w:p>
        </w:tc>
        <w:tc>
          <w:tcPr>
            <w:tcW w:w="1441" w:type="dxa"/>
          </w:tcPr>
          <w:p w14:paraId="5EF1C551">
            <w:pPr>
              <w:spacing w:after="0" w:line="360" w:lineRule="auto"/>
            </w:pPr>
            <w:r>
              <w:rPr>
                <w:sz w:val="20"/>
              </w:rPr>
              <w:t>19</w:t>
            </w:r>
          </w:p>
        </w:tc>
        <w:tc>
          <w:tcPr>
            <w:tcW w:w="1441" w:type="dxa"/>
          </w:tcPr>
          <w:p w14:paraId="7C2BA411">
            <w:pPr>
              <w:spacing w:after="0" w:line="360" w:lineRule="auto"/>
            </w:pPr>
            <w:r>
              <w:rPr>
                <w:sz w:val="20"/>
              </w:rPr>
              <w:t>受体克隆、药理学、CRISPR敲除</w:t>
            </w:r>
          </w:p>
        </w:tc>
        <w:tc>
          <w:tcPr>
            <w:tcW w:w="1441" w:type="dxa"/>
          </w:tcPr>
          <w:p w14:paraId="314212BE">
            <w:pPr>
              <w:spacing w:after="0" w:line="360" w:lineRule="auto"/>
            </w:pPr>
            <w:r>
              <w:rPr>
                <w:sz w:val="20"/>
              </w:rPr>
              <w:t>中-高</w:t>
            </w:r>
          </w:p>
        </w:tc>
      </w:tr>
    </w:tbl>
    <w:p w14:paraId="7BFA2DCD">
      <w:pPr>
        <w:spacing w:after="80" w:line="360" w:lineRule="auto"/>
        <w:ind w:firstLine="420"/>
        <w:rPr>
          <w:lang w:eastAsia="zh-CN"/>
        </w:rPr>
      </w:pPr>
      <w:r>
        <w:rPr>
          <w:lang w:eastAsia="zh-CN"/>
        </w:rPr>
        <w:t>注：证据等级综合考虑功能验证深度、抗性关联强度和田间相关性。IRAC分组依据2020年版分类</w:t>
      </w:r>
      <w:r>
        <w:rPr>
          <w:sz w:val="18"/>
          <w:vertAlign w:val="superscript"/>
          <w:lang w:eastAsia="zh-CN"/>
        </w:rPr>
        <w:t>[4]</w:t>
      </w:r>
      <w:r>
        <w:rPr>
          <w:lang w:eastAsia="zh-CN"/>
        </w:rPr>
        <w:t>。</w:t>
      </w:r>
    </w:p>
    <w:p w14:paraId="47BC0A7B">
      <w:pPr>
        <w:pStyle w:val="5"/>
        <w:spacing w:line="360" w:lineRule="auto"/>
        <w:rPr>
          <w:color w:val="auto"/>
          <w:lang w:eastAsia="zh-CN"/>
        </w:rPr>
      </w:pPr>
      <w:r>
        <w:rPr>
          <w:rFonts w:ascii="Times New Roman" w:hAnsi="Times New Roman" w:eastAsia="宋体"/>
          <w:color w:val="auto"/>
          <w:lang w:eastAsia="zh-CN"/>
        </w:rPr>
        <w:t>2.4 本文的交付物与阅读路线</w:t>
      </w:r>
    </w:p>
    <w:p w14:paraId="13EAF803">
      <w:pPr>
        <w:spacing w:after="80" w:line="360" w:lineRule="auto"/>
        <w:ind w:firstLine="420"/>
        <w:rPr>
          <w:lang w:eastAsia="zh-CN"/>
        </w:rPr>
      </w:pPr>
      <w:r>
        <w:rPr>
          <w:lang w:eastAsia="zh-CN"/>
        </w:rPr>
        <w:t>基于上述分类框架，本文将在后续章节中依次展开各靶标模块的详细讨论。每个核心章节采用统一的四步叙事结构：靶标生物学基础 → 代表性药剂及作用位点 → 小菜蛾直接证据 → 抗性演化与管理意义。本文的主要交付物包括：（1）小菜蛾神经系统药理靶标总图；（2）靶标-药剂类别-关键抗性位点对照表；（3）按证据强度排序的靶标优先级判断框架（第6章）；（4）面向监测与新靶标发现的路线图（第7章）。</w:t>
      </w:r>
    </w:p>
    <w:p w14:paraId="38395113">
      <w:pPr>
        <w:spacing w:before="120" w:after="120" w:line="360" w:lineRule="auto"/>
        <w:rPr>
          <w:lang w:eastAsia="zh-CN"/>
        </w:rPr>
      </w:pPr>
    </w:p>
    <w:p w14:paraId="09E81268">
      <w:pPr>
        <w:pStyle w:val="4"/>
        <w:spacing w:line="360" w:lineRule="auto"/>
        <w:rPr>
          <w:color w:val="auto"/>
          <w:lang w:eastAsia="zh-CN"/>
        </w:rPr>
      </w:pPr>
      <w:r>
        <w:rPr>
          <w:rFonts w:ascii="Times New Roman" w:hAnsi="Times New Roman" w:eastAsia="宋体"/>
          <w:color w:val="auto"/>
          <w:sz w:val="28"/>
          <w:lang w:eastAsia="zh-CN"/>
        </w:rPr>
        <w:t>3. 胆碱能兴奋性通路靶标</w:t>
      </w:r>
    </w:p>
    <w:p w14:paraId="2716E4B8">
      <w:pPr>
        <w:spacing w:after="80" w:line="360" w:lineRule="auto"/>
        <w:ind w:firstLine="420"/>
        <w:rPr>
          <w:lang w:eastAsia="zh-CN"/>
        </w:rPr>
      </w:pPr>
      <w:r>
        <w:rPr>
          <w:lang w:eastAsia="zh-CN"/>
        </w:rPr>
        <w:t>胆碱能突触是昆虫中枢神经系统中最主要的兴奋性突触类型。乙酰胆碱（ACh）由突触前神经元释放后，与突触后膜上的烟碱型乙酰胆碱受体（nAChR）结合，引发快速去极化；突触间隙中的乙酰胆碱酯酶（AChE）则负责水解ACh、终止信号传递。这两个分子——AChE与nAChR——构成了有机磷类、氨基甲酸酯类、新烟碱类和多杀菌素类等多个主流杀虫剂类别的核心靶标体系，也是小菜蛾抗性研究中证据最为丰富的靶标模块之一。</w:t>
      </w:r>
      <w:r>
        <w:rPr>
          <w:sz w:val="18"/>
          <w:vertAlign w:val="superscript"/>
          <w:lang w:eastAsia="zh-CN"/>
        </w:rPr>
        <w:t>[9,10,34]</w:t>
      </w:r>
    </w:p>
    <w:p w14:paraId="34511E84">
      <w:pPr>
        <w:pStyle w:val="5"/>
        <w:spacing w:line="360" w:lineRule="auto"/>
        <w:rPr>
          <w:color w:val="auto"/>
          <w:lang w:eastAsia="zh-CN"/>
        </w:rPr>
      </w:pPr>
      <w:r>
        <w:rPr>
          <w:rFonts w:ascii="Times New Roman" w:hAnsi="Times New Roman" w:eastAsia="宋体"/>
          <w:color w:val="auto"/>
          <w:lang w:eastAsia="zh-CN"/>
        </w:rPr>
        <w:t>3.1 乙酰胆碱酯酶（AChE）</w:t>
      </w:r>
    </w:p>
    <w:p w14:paraId="270C8638">
      <w:pPr>
        <w:spacing w:after="80" w:line="360" w:lineRule="auto"/>
        <w:ind w:firstLine="420"/>
        <w:rPr>
          <w:lang w:eastAsia="zh-CN"/>
        </w:rPr>
      </w:pPr>
      <w:r>
        <w:rPr>
          <w:lang w:eastAsia="zh-CN"/>
        </w:rPr>
        <w:t>AChE（EC 3.1.1.7）是丝氨酸水解酶超家族成员，其活性中心由催化三联体（Ser-His-Glu）和阴离子结合位点共同构成，负责将ACh迅速水解为胆碱和乙酸，从而终止突触传递。有机磷类和氨基甲酸酯类通过共价修饰活性中心丝氨酸残基，使AChE不可逆或可逆地失活，导致ACh在突触间隙积累，引发持续性神经兴奋、痉挛乃至死亡。</w:t>
      </w:r>
      <w:r>
        <w:rPr>
          <w:sz w:val="18"/>
          <w:vertAlign w:val="superscript"/>
          <w:lang w:eastAsia="zh-CN"/>
        </w:rPr>
        <w:t>[9,10]</w:t>
      </w:r>
      <w:r>
        <w:rPr>
          <w:lang w:eastAsia="zh-CN"/>
        </w:rPr>
        <w:t xml:space="preserve"> 在鳞翅目昆虫中，AChE1（</w:t>
      </w:r>
      <w:r>
        <w:rPr>
          <w:i/>
          <w:lang w:eastAsia="zh-CN"/>
        </w:rPr>
        <w:t>ace1</w:t>
      </w:r>
      <w:r>
        <w:rPr>
          <w:lang w:eastAsia="zh-CN"/>
        </w:rPr>
        <w:t>基因产物）是突触中发挥主要水解功能的同工酶，也是杀虫剂的主要靶标。</w:t>
      </w:r>
      <w:r>
        <w:rPr>
          <w:sz w:val="18"/>
          <w:vertAlign w:val="superscript"/>
          <w:lang w:eastAsia="zh-CN"/>
        </w:rPr>
        <w:t>[47,48]</w:t>
      </w:r>
    </w:p>
    <w:p w14:paraId="2685EB23">
      <w:pPr>
        <w:spacing w:after="80" w:line="360" w:lineRule="auto"/>
        <w:ind w:firstLine="420"/>
        <w:rPr>
          <w:lang w:eastAsia="zh-CN"/>
        </w:rPr>
      </w:pPr>
      <w:r>
        <w:rPr>
          <w:lang w:eastAsia="zh-CN"/>
        </w:rPr>
        <w:t>Lin等（2017）对台湾田间种群的研究表明，</w:t>
      </w:r>
      <w:r>
        <w:rPr>
          <w:i/>
          <w:lang w:eastAsia="zh-CN"/>
        </w:rPr>
        <w:t>Pxace1</w:t>
      </w:r>
      <w:r>
        <w:rPr>
          <w:lang w:eastAsia="zh-CN"/>
        </w:rPr>
        <w:t>基因中存在与mevinphos抗性相关的氨基酸替换，且这些替换的遗传稳定性较高，在无药压力下仍能维持较高频率，提示其适合度代价较低。</w:t>
      </w:r>
      <w:r>
        <w:rPr>
          <w:sz w:val="18"/>
          <w:vertAlign w:val="superscript"/>
          <w:lang w:eastAsia="zh-CN"/>
        </w:rPr>
        <w:t>[32]</w:t>
      </w:r>
      <w:r>
        <w:rPr>
          <w:lang w:eastAsia="zh-CN"/>
        </w:rPr>
        <w:t xml:space="preserve"> Zolfaghari等（2024）通过同源建模、分子对接和分子动力学模拟，系统解析了小菜蛾AChE1中不同氨基酸替换如何改变活性中心的空间构象与药剂结合能。</w:t>
      </w:r>
      <w:r>
        <w:rPr>
          <w:sz w:val="18"/>
          <w:vertAlign w:val="superscript"/>
          <w:lang w:eastAsia="zh-CN"/>
        </w:rPr>
        <w:t>[38]</w:t>
      </w:r>
      <w:r>
        <w:rPr>
          <w:lang w:eastAsia="zh-CN"/>
        </w:rPr>
        <w:t xml:space="preserve"> AChE靶标位点抗性是有机磷/氨基甲酸酯类抗性的经典机制之一，在多种害虫中均有记录，</w:t>
      </w:r>
      <w:r>
        <w:rPr>
          <w:sz w:val="18"/>
          <w:vertAlign w:val="superscript"/>
          <w:lang w:eastAsia="zh-CN"/>
        </w:rPr>
        <w:t>[47,48,49]</w:t>
      </w:r>
      <w:r>
        <w:rPr>
          <w:lang w:eastAsia="zh-CN"/>
        </w:rPr>
        <w:t xml:space="preserve"> 但在小菜蛾的多药抗性背景下，代谢抗性往往对整体抗性水平的贡献更大，靶标位点突变的解释力相对有限。</w:t>
      </w:r>
      <w:r>
        <w:rPr>
          <w:sz w:val="18"/>
          <w:vertAlign w:val="superscript"/>
          <w:lang w:eastAsia="zh-CN"/>
        </w:rPr>
        <w:t>[9]</w:t>
      </w:r>
    </w:p>
    <w:p w14:paraId="7A9A5A8E">
      <w:pPr>
        <w:pStyle w:val="5"/>
        <w:spacing w:line="360" w:lineRule="auto"/>
        <w:rPr>
          <w:color w:val="auto"/>
          <w:lang w:eastAsia="zh-CN"/>
        </w:rPr>
      </w:pPr>
      <w:r>
        <w:rPr>
          <w:rFonts w:ascii="Times New Roman" w:hAnsi="Times New Roman" w:eastAsia="宋体"/>
          <w:color w:val="auto"/>
          <w:lang w:eastAsia="zh-CN"/>
        </w:rPr>
        <w:t>3.2 烟碱型乙酰胆碱受体（nAChR）</w:t>
      </w:r>
    </w:p>
    <w:p w14:paraId="0E90E64F">
      <w:pPr>
        <w:spacing w:after="80" w:line="360" w:lineRule="auto"/>
        <w:ind w:firstLine="420"/>
        <w:rPr>
          <w:lang w:eastAsia="zh-CN"/>
        </w:rPr>
      </w:pPr>
      <w:r>
        <w:rPr>
          <w:lang w:eastAsia="zh-CN"/>
        </w:rPr>
        <w:t>nAChR是Cys-loop配体门控离子通道超家族成员，由五个亚基围绕中央离子通道对称排列而成。昆虫nAChR亚基可分为</w:t>
      </w:r>
      <w:r>
        <w:t>α</w:t>
      </w:r>
      <w:r>
        <w:rPr>
          <w:lang w:eastAsia="zh-CN"/>
        </w:rPr>
        <w:t>型和非</w:t>
      </w:r>
      <w:r>
        <w:t>α</w:t>
      </w:r>
      <w:r>
        <w:rPr>
          <w:lang w:eastAsia="zh-CN"/>
        </w:rPr>
        <w:t>型（</w:t>
      </w:r>
      <w:r>
        <w:t>β</w:t>
      </w:r>
      <w:r>
        <w:rPr>
          <w:lang w:eastAsia="zh-CN"/>
        </w:rPr>
        <w:t>型），不同亚基的组合决定了受体的药理学特性。</w:t>
      </w:r>
      <w:r>
        <w:rPr>
          <w:sz w:val="18"/>
          <w:vertAlign w:val="superscript"/>
          <w:lang w:eastAsia="zh-CN"/>
        </w:rPr>
        <w:t>[21,44,14]</w:t>
      </w:r>
      <w:r>
        <w:rPr>
          <w:lang w:eastAsia="zh-CN"/>
        </w:rPr>
        <w:t xml:space="preserve"> 新烟碱类主要作用于受体的正构ACh结合位点，而多杀菌素类则作用于一个独特的变构位点，该位点与</w:t>
      </w:r>
      <w:r>
        <w:t>α</w:t>
      </w:r>
      <w:r>
        <w:rPr>
          <w:lang w:eastAsia="zh-CN"/>
        </w:rPr>
        <w:t>6亚基密切相关。</w:t>
      </w:r>
      <w:r>
        <w:rPr>
          <w:sz w:val="18"/>
          <w:vertAlign w:val="superscript"/>
          <w:lang w:eastAsia="zh-CN"/>
        </w:rPr>
        <w:t>[41,15,14]</w:t>
      </w:r>
      <w:r>
        <w:rPr>
          <w:lang w:eastAsia="zh-CN"/>
        </w:rPr>
        <w:t xml:space="preserve"> 这一差异决定了两类药剂之间通常不存在交叉抗性，也使</w:t>
      </w:r>
      <w:r>
        <w:t>α</w:t>
      </w:r>
      <w:r>
        <w:rPr>
          <w:lang w:eastAsia="zh-CN"/>
        </w:rPr>
        <w:t>6亚基成为理解多杀菌素选择性作用机制的关键分子。</w:t>
      </w:r>
    </w:p>
    <w:p w14:paraId="67E02DC1">
      <w:pPr>
        <w:spacing w:after="80" w:line="360" w:lineRule="auto"/>
        <w:ind w:firstLine="420"/>
        <w:rPr>
          <w:lang w:eastAsia="zh-CN"/>
        </w:rPr>
      </w:pPr>
      <w:r>
        <w:rPr>
          <w:lang w:eastAsia="zh-CN"/>
        </w:rPr>
        <w:t>小菜蛾对多杀菌素的靶标位点抗性研究是nAChR领域证据链最为完整的案例之一。Baxter等（2010）发现抗性个体中</w:t>
      </w:r>
      <w:r>
        <w:rPr>
          <w:i/>
          <w:lang w:eastAsia="zh-CN"/>
        </w:rPr>
        <w:t>Pxalpha6</w:t>
      </w:r>
      <w:r>
        <w:rPr>
          <w:lang w:eastAsia="zh-CN"/>
        </w:rPr>
        <w:t>基因存在大量错误剪接转录本，导致外显子跳跃，产生含提前终止密码子的截短mRNA，最终导致功能性</w:t>
      </w:r>
      <w:r>
        <w:t>α</w:t>
      </w:r>
      <w:r>
        <w:rPr>
          <w:lang w:eastAsia="zh-CN"/>
        </w:rPr>
        <w:t>6蛋白表达缺失。</w:t>
      </w:r>
      <w:r>
        <w:rPr>
          <w:sz w:val="18"/>
          <w:vertAlign w:val="superscript"/>
          <w:lang w:eastAsia="zh-CN"/>
        </w:rPr>
        <w:t>[13]</w:t>
      </w:r>
      <w:r>
        <w:rPr>
          <w:lang w:eastAsia="zh-CN"/>
        </w:rPr>
        <w:t xml:space="preserve"> Rinkevich等（2010）进一步证实了多种含提前终止密码子的异常转录本在抗性品系中的存在。</w:t>
      </w:r>
      <w:r>
        <w:rPr>
          <w:sz w:val="18"/>
          <w:vertAlign w:val="superscript"/>
          <w:lang w:eastAsia="zh-CN"/>
        </w:rPr>
        <w:t>[37]</w:t>
      </w:r>
      <w:r>
        <w:rPr>
          <w:lang w:eastAsia="zh-CN"/>
        </w:rPr>
        <w:t xml:space="preserve"> Wang等（2016）在高水平抗性品系中鉴定出</w:t>
      </w:r>
      <w:r>
        <w:rPr>
          <w:i/>
          <w:lang w:eastAsia="zh-CN"/>
        </w:rPr>
        <w:t>Pxalpha6</w:t>
      </w:r>
      <w:r>
        <w:rPr>
          <w:lang w:eastAsia="zh-CN"/>
        </w:rPr>
        <w:t xml:space="preserve"> TM4内一个三氨基酸缺失突变，通过异源表达和电生理实验证明该缺失显著降低了多杀菌素对受体的激活效能。</w:t>
      </w:r>
      <w:r>
        <w:rPr>
          <w:sz w:val="18"/>
          <w:vertAlign w:val="superscript"/>
          <w:lang w:eastAsia="zh-CN"/>
        </w:rPr>
        <w:t>[28]</w:t>
      </w:r>
      <w:r>
        <w:rPr>
          <w:lang w:eastAsia="zh-CN"/>
        </w:rPr>
        <w:t xml:space="preserve"> 多项遗传学研究通过连锁分析和QTL定位，将小菜蛾多杀菌素抗性主效位点定位于</w:t>
      </w:r>
      <w:r>
        <w:rPr>
          <w:i/>
          <w:lang w:eastAsia="zh-CN"/>
        </w:rPr>
        <w:t>Pxalpha6</w:t>
      </w:r>
      <w:r>
        <w:rPr>
          <w:lang w:eastAsia="zh-CN"/>
        </w:rPr>
        <w:t>基因所在染色体区域。</w:t>
      </w:r>
      <w:r>
        <w:rPr>
          <w:sz w:val="18"/>
          <w:vertAlign w:val="superscript"/>
          <w:lang w:eastAsia="zh-CN"/>
        </w:rPr>
        <w:t>[13,39,40]</w:t>
      </w:r>
      <w:r>
        <w:rPr>
          <w:lang w:eastAsia="zh-CN"/>
        </w:rPr>
        <w:t xml:space="preserve"> 在其他物种中，果蝇</w:t>
      </w:r>
      <w:r>
        <w:rPr>
          <w:i/>
          <w:lang w:eastAsia="zh-CN"/>
        </w:rPr>
        <w:t>D</w:t>
      </w:r>
      <w:r>
        <w:rPr>
          <w:i/>
        </w:rPr>
        <w:t>α</w:t>
      </w:r>
      <w:r>
        <w:rPr>
          <w:i/>
          <w:lang w:eastAsia="zh-CN"/>
        </w:rPr>
        <w:t>6</w:t>
      </w:r>
      <w:r>
        <w:rPr>
          <w:lang w:eastAsia="zh-CN"/>
        </w:rPr>
        <w:t>基因突变</w:t>
      </w:r>
      <w:r>
        <w:rPr>
          <w:sz w:val="18"/>
          <w:vertAlign w:val="superscript"/>
          <w:lang w:eastAsia="zh-CN"/>
        </w:rPr>
        <w:t>[42,43]</w:t>
      </w:r>
      <w:r>
        <w:rPr>
          <w:lang w:eastAsia="zh-CN"/>
        </w:rPr>
        <w:t>和蓟马</w:t>
      </w:r>
      <w:r>
        <w:t>α</w:t>
      </w:r>
      <w:r>
        <w:rPr>
          <w:lang w:eastAsia="zh-CN"/>
        </w:rPr>
        <w:t>6跨膜区点突变</w:t>
      </w:r>
      <w:r>
        <w:rPr>
          <w:sz w:val="18"/>
          <w:vertAlign w:val="superscript"/>
          <w:lang w:eastAsia="zh-CN"/>
        </w:rPr>
        <w:t>[45]</w:t>
      </w:r>
      <w:r>
        <w:rPr>
          <w:lang w:eastAsia="zh-CN"/>
        </w:rPr>
        <w:t>均与多杀菌素抗性相关，进一步支持</w:t>
      </w:r>
      <w:r>
        <w:t>α</w:t>
      </w:r>
      <w:r>
        <w:rPr>
          <w:lang w:eastAsia="zh-CN"/>
        </w:rPr>
        <w:t>6在多杀菌素靶标中的保守作用。</w:t>
      </w:r>
    </w:p>
    <w:p w14:paraId="1E4822C7">
      <w:pPr>
        <w:spacing w:after="80" w:line="360" w:lineRule="auto"/>
        <w:ind w:firstLine="420"/>
        <w:rPr>
          <w:lang w:eastAsia="zh-CN"/>
        </w:rPr>
      </w:pPr>
      <w:r>
        <w:rPr>
          <w:lang w:eastAsia="zh-CN"/>
        </w:rPr>
        <w:t>新烟碱类（如吡虫啉、噻虫嗪）在小菜蛾中的靶标位点抗性机制尚不如多杀菌素体系清晰，代谢抗性（P450介导的羟基化）在田间抗性中往往占主导地位。</w:t>
      </w:r>
      <w:r>
        <w:rPr>
          <w:sz w:val="18"/>
          <w:vertAlign w:val="superscript"/>
          <w:lang w:eastAsia="zh-CN"/>
        </w:rPr>
        <w:t>[35,36]</w:t>
      </w:r>
      <w:r>
        <w:rPr>
          <w:lang w:eastAsia="zh-CN"/>
        </w:rPr>
        <w:t xml:space="preserve"> 磺酰亚胺类（如砜虫啶）是新一代nAChR激动剂，对部分新烟碱类抗性种群仍保持活性，</w:t>
      </w:r>
      <w:r>
        <w:rPr>
          <w:sz w:val="18"/>
          <w:vertAlign w:val="superscript"/>
          <w:lang w:eastAsia="zh-CN"/>
        </w:rPr>
        <w:t>[46]</w:t>
      </w:r>
      <w:r>
        <w:rPr>
          <w:lang w:eastAsia="zh-CN"/>
        </w:rPr>
        <w:t xml:space="preserve"> 其与新烟碱类的交叉抗性风险需要持续监测。</w:t>
      </w:r>
    </w:p>
    <w:p w14:paraId="506AE1B7">
      <w:pPr>
        <w:spacing w:line="360" w:lineRule="auto"/>
        <w:rPr>
          <w:lang w:eastAsia="zh-CN"/>
        </w:rPr>
      </w:pPr>
      <w:r>
        <w:rPr>
          <w:i/>
          <w:sz w:val="20"/>
          <w:lang w:eastAsia="zh-CN"/>
        </w:rPr>
        <w:t>Table 1. 小菜蛾胆碱能靶标关键位点、药剂类型与证据等级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235"/>
        <w:gridCol w:w="1235"/>
        <w:gridCol w:w="1235"/>
        <w:gridCol w:w="1235"/>
        <w:gridCol w:w="1235"/>
        <w:gridCol w:w="1235"/>
      </w:tblGrid>
      <w:tr w14:paraId="4DFC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2F6216E1">
            <w:pPr>
              <w:spacing w:after="0" w:line="360" w:lineRule="auto"/>
            </w:pPr>
            <w:r>
              <w:rPr>
                <w:b/>
                <w:sz w:val="20"/>
              </w:rPr>
              <w:t>靶标</w:t>
            </w:r>
          </w:p>
        </w:tc>
        <w:tc>
          <w:tcPr>
            <w:tcW w:w="1235" w:type="dxa"/>
          </w:tcPr>
          <w:p w14:paraId="611470B5">
            <w:pPr>
              <w:spacing w:after="0" w:line="360" w:lineRule="auto"/>
            </w:pPr>
            <w:r>
              <w:rPr>
                <w:b/>
                <w:sz w:val="20"/>
              </w:rPr>
              <w:t>基因/亚基</w:t>
            </w:r>
          </w:p>
        </w:tc>
        <w:tc>
          <w:tcPr>
            <w:tcW w:w="1235" w:type="dxa"/>
          </w:tcPr>
          <w:p w14:paraId="6834A7B8">
            <w:pPr>
              <w:spacing w:after="0" w:line="360" w:lineRule="auto"/>
            </w:pPr>
            <w:r>
              <w:rPr>
                <w:b/>
                <w:sz w:val="20"/>
              </w:rPr>
              <w:t>关键分子变异</w:t>
            </w:r>
          </w:p>
        </w:tc>
        <w:tc>
          <w:tcPr>
            <w:tcW w:w="1235" w:type="dxa"/>
          </w:tcPr>
          <w:p w14:paraId="47132120">
            <w:pPr>
              <w:spacing w:after="0" w:line="360" w:lineRule="auto"/>
            </w:pPr>
            <w:r>
              <w:rPr>
                <w:b/>
                <w:sz w:val="20"/>
              </w:rPr>
              <w:t>相关药剂类别</w:t>
            </w:r>
          </w:p>
        </w:tc>
        <w:tc>
          <w:tcPr>
            <w:tcW w:w="1235" w:type="dxa"/>
          </w:tcPr>
          <w:p w14:paraId="43EA95F3">
            <w:pPr>
              <w:spacing w:after="0" w:line="360" w:lineRule="auto"/>
            </w:pPr>
            <w:r>
              <w:rPr>
                <w:b/>
                <w:sz w:val="20"/>
              </w:rPr>
              <w:t>证据类型</w:t>
            </w:r>
          </w:p>
        </w:tc>
        <w:tc>
          <w:tcPr>
            <w:tcW w:w="1235" w:type="dxa"/>
          </w:tcPr>
          <w:p w14:paraId="19877681">
            <w:pPr>
              <w:spacing w:after="0" w:line="360" w:lineRule="auto"/>
            </w:pPr>
            <w:r>
              <w:rPr>
                <w:b/>
                <w:sz w:val="20"/>
              </w:rPr>
              <w:t>证据等级</w:t>
            </w:r>
          </w:p>
        </w:tc>
        <w:tc>
          <w:tcPr>
            <w:tcW w:w="1235" w:type="dxa"/>
          </w:tcPr>
          <w:p w14:paraId="7CD9E390">
            <w:pPr>
              <w:spacing w:after="0" w:line="360" w:lineRule="auto"/>
            </w:pPr>
            <w:r>
              <w:rPr>
                <w:b/>
                <w:sz w:val="20"/>
              </w:rPr>
              <w:t>文献</w:t>
            </w:r>
          </w:p>
        </w:tc>
      </w:tr>
      <w:tr w14:paraId="2E306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59B4544D">
            <w:pPr>
              <w:spacing w:after="0" w:line="360" w:lineRule="auto"/>
            </w:pPr>
            <w:r>
              <w:rPr>
                <w:sz w:val="20"/>
              </w:rPr>
              <w:t>AChE1</w:t>
            </w:r>
          </w:p>
        </w:tc>
        <w:tc>
          <w:tcPr>
            <w:tcW w:w="1235" w:type="dxa"/>
          </w:tcPr>
          <w:p w14:paraId="7612FBAA">
            <w:pPr>
              <w:spacing w:after="0" w:line="360" w:lineRule="auto"/>
            </w:pPr>
            <w:r>
              <w:rPr>
                <w:i/>
                <w:sz w:val="20"/>
              </w:rPr>
              <w:t>Pxace1</w:t>
            </w:r>
          </w:p>
        </w:tc>
        <w:tc>
          <w:tcPr>
            <w:tcW w:w="1235" w:type="dxa"/>
          </w:tcPr>
          <w:p w14:paraId="514DA5F6">
            <w:pPr>
              <w:spacing w:after="0" w:line="360" w:lineRule="auto"/>
              <w:rPr>
                <w:lang w:eastAsia="zh-CN"/>
              </w:rPr>
            </w:pPr>
            <w:r>
              <w:rPr>
                <w:sz w:val="20"/>
                <w:lang w:eastAsia="zh-CN"/>
              </w:rPr>
              <w:t>氨基酸替换（活性中心周边）</w:t>
            </w:r>
          </w:p>
        </w:tc>
        <w:tc>
          <w:tcPr>
            <w:tcW w:w="1235" w:type="dxa"/>
          </w:tcPr>
          <w:p w14:paraId="2AE4BC4A">
            <w:pPr>
              <w:spacing w:after="0" w:line="360" w:lineRule="auto"/>
              <w:rPr>
                <w:lang w:eastAsia="zh-CN"/>
              </w:rPr>
            </w:pPr>
            <w:r>
              <w:rPr>
                <w:sz w:val="20"/>
                <w:lang w:eastAsia="zh-CN"/>
              </w:rPr>
              <w:t>有机磷类、氨基甲酸酯类</w:t>
            </w:r>
          </w:p>
        </w:tc>
        <w:tc>
          <w:tcPr>
            <w:tcW w:w="1235" w:type="dxa"/>
          </w:tcPr>
          <w:p w14:paraId="24182845">
            <w:pPr>
              <w:spacing w:after="0" w:line="360" w:lineRule="auto"/>
              <w:rPr>
                <w:lang w:eastAsia="zh-CN"/>
              </w:rPr>
            </w:pPr>
            <w:r>
              <w:rPr>
                <w:sz w:val="20"/>
                <w:lang w:eastAsia="zh-CN"/>
              </w:rPr>
              <w:t>遗传学、结构建模、分子动力学</w:t>
            </w:r>
          </w:p>
        </w:tc>
        <w:tc>
          <w:tcPr>
            <w:tcW w:w="1235" w:type="dxa"/>
          </w:tcPr>
          <w:p w14:paraId="4DCD9A2F">
            <w:pPr>
              <w:spacing w:after="0" w:line="360" w:lineRule="auto"/>
            </w:pPr>
            <w:r>
              <w:rPr>
                <w:sz w:val="20"/>
              </w:rPr>
              <w:t>中</w:t>
            </w:r>
          </w:p>
        </w:tc>
        <w:tc>
          <w:tcPr>
            <w:tcW w:w="1235" w:type="dxa"/>
          </w:tcPr>
          <w:p w14:paraId="63A0E2FA">
            <w:pPr>
              <w:spacing w:after="0" w:line="360" w:lineRule="auto"/>
            </w:pPr>
            <w:r>
              <w:rPr>
                <w:sz w:val="20"/>
              </w:rPr>
              <w:t>[32,38]</w:t>
            </w:r>
          </w:p>
        </w:tc>
      </w:tr>
      <w:tr w14:paraId="660BC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12A6A500">
            <w:pPr>
              <w:spacing w:after="0" w:line="360" w:lineRule="auto"/>
            </w:pPr>
            <w:r>
              <w:rPr>
                <w:sz w:val="20"/>
              </w:rPr>
              <w:t>nAChR α6</w:t>
            </w:r>
          </w:p>
        </w:tc>
        <w:tc>
          <w:tcPr>
            <w:tcW w:w="1235" w:type="dxa"/>
          </w:tcPr>
          <w:p w14:paraId="1E14AED1">
            <w:pPr>
              <w:spacing w:after="0" w:line="360" w:lineRule="auto"/>
            </w:pPr>
            <w:r>
              <w:rPr>
                <w:i/>
                <w:sz w:val="20"/>
              </w:rPr>
              <w:t>Pxalpha6</w:t>
            </w:r>
          </w:p>
        </w:tc>
        <w:tc>
          <w:tcPr>
            <w:tcW w:w="1235" w:type="dxa"/>
          </w:tcPr>
          <w:p w14:paraId="1A835C26">
            <w:pPr>
              <w:spacing w:after="0" w:line="360" w:lineRule="auto"/>
              <w:rPr>
                <w:lang w:eastAsia="zh-CN"/>
              </w:rPr>
            </w:pPr>
            <w:r>
              <w:rPr>
                <w:sz w:val="20"/>
                <w:lang w:eastAsia="zh-CN"/>
              </w:rPr>
              <w:t>错误剪接转录本；提前终止密码子；TM4三氨基酸缺失</w:t>
            </w:r>
          </w:p>
        </w:tc>
        <w:tc>
          <w:tcPr>
            <w:tcW w:w="1235" w:type="dxa"/>
          </w:tcPr>
          <w:p w14:paraId="3C72D793">
            <w:pPr>
              <w:spacing w:after="0" w:line="360" w:lineRule="auto"/>
            </w:pPr>
            <w:r>
              <w:rPr>
                <w:sz w:val="20"/>
              </w:rPr>
              <w:t>多杀菌素类</w:t>
            </w:r>
          </w:p>
        </w:tc>
        <w:tc>
          <w:tcPr>
            <w:tcW w:w="1235" w:type="dxa"/>
          </w:tcPr>
          <w:p w14:paraId="1CC4FDF8">
            <w:pPr>
              <w:spacing w:after="0" w:line="360" w:lineRule="auto"/>
              <w:rPr>
                <w:lang w:eastAsia="zh-CN"/>
              </w:rPr>
            </w:pPr>
            <w:r>
              <w:rPr>
                <w:sz w:val="20"/>
                <w:lang w:eastAsia="zh-CN"/>
              </w:rPr>
              <w:t>转录组、功能表达、电生理、遗传学</w:t>
            </w:r>
          </w:p>
        </w:tc>
        <w:tc>
          <w:tcPr>
            <w:tcW w:w="1235" w:type="dxa"/>
          </w:tcPr>
          <w:p w14:paraId="4C4FC538">
            <w:pPr>
              <w:spacing w:after="0" w:line="360" w:lineRule="auto"/>
            </w:pPr>
            <w:r>
              <w:rPr>
                <w:sz w:val="20"/>
              </w:rPr>
              <w:t>高</w:t>
            </w:r>
          </w:p>
        </w:tc>
        <w:tc>
          <w:tcPr>
            <w:tcW w:w="1235" w:type="dxa"/>
          </w:tcPr>
          <w:p w14:paraId="2B4DE30A">
            <w:pPr>
              <w:spacing w:after="0" w:line="360" w:lineRule="auto"/>
            </w:pPr>
            <w:r>
              <w:rPr>
                <w:sz w:val="20"/>
              </w:rPr>
              <w:t>[13,37,28]</w:t>
            </w:r>
          </w:p>
        </w:tc>
      </w:tr>
      <w:tr w14:paraId="2E525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6DD688CD">
            <w:pPr>
              <w:spacing w:after="0" w:line="360" w:lineRule="auto"/>
            </w:pPr>
            <w:r>
              <w:rPr>
                <w:sz w:val="20"/>
              </w:rPr>
              <w:t>nAChR（正构位点）</w:t>
            </w:r>
          </w:p>
        </w:tc>
        <w:tc>
          <w:tcPr>
            <w:tcW w:w="1235" w:type="dxa"/>
          </w:tcPr>
          <w:p w14:paraId="5A4B0540">
            <w:pPr>
              <w:spacing w:after="0" w:line="360" w:lineRule="auto"/>
            </w:pPr>
            <w:r>
              <w:rPr>
                <w:sz w:val="20"/>
              </w:rPr>
              <w:t>多亚基</w:t>
            </w:r>
          </w:p>
        </w:tc>
        <w:tc>
          <w:tcPr>
            <w:tcW w:w="1235" w:type="dxa"/>
          </w:tcPr>
          <w:p w14:paraId="0B154DEE">
            <w:pPr>
              <w:spacing w:after="0" w:line="360" w:lineRule="auto"/>
              <w:rPr>
                <w:lang w:eastAsia="zh-CN"/>
              </w:rPr>
            </w:pPr>
            <w:r>
              <w:rPr>
                <w:sz w:val="20"/>
                <w:lang w:eastAsia="zh-CN"/>
              </w:rPr>
              <w:t>靶标位点突变尚不明确；代谢抗性为主</w:t>
            </w:r>
          </w:p>
        </w:tc>
        <w:tc>
          <w:tcPr>
            <w:tcW w:w="1235" w:type="dxa"/>
          </w:tcPr>
          <w:p w14:paraId="4B5B6998">
            <w:pPr>
              <w:spacing w:after="0" w:line="360" w:lineRule="auto"/>
              <w:rPr>
                <w:lang w:eastAsia="zh-CN"/>
              </w:rPr>
            </w:pPr>
            <w:r>
              <w:rPr>
                <w:sz w:val="20"/>
                <w:lang w:eastAsia="zh-CN"/>
              </w:rPr>
              <w:t>新烟碱类、磺酰亚胺类</w:t>
            </w:r>
          </w:p>
        </w:tc>
        <w:tc>
          <w:tcPr>
            <w:tcW w:w="1235" w:type="dxa"/>
          </w:tcPr>
          <w:p w14:paraId="0CEEC6A9">
            <w:pPr>
              <w:spacing w:after="0" w:line="360" w:lineRule="auto"/>
            </w:pPr>
            <w:r>
              <w:rPr>
                <w:sz w:val="20"/>
              </w:rPr>
              <w:t>药理学、田间监测</w:t>
            </w:r>
          </w:p>
        </w:tc>
        <w:tc>
          <w:tcPr>
            <w:tcW w:w="1235" w:type="dxa"/>
          </w:tcPr>
          <w:p w14:paraId="3F47FE16">
            <w:pPr>
              <w:spacing w:after="0" w:line="360" w:lineRule="auto"/>
            </w:pPr>
            <w:r>
              <w:rPr>
                <w:sz w:val="20"/>
              </w:rPr>
              <w:t>低–中</w:t>
            </w:r>
          </w:p>
        </w:tc>
        <w:tc>
          <w:tcPr>
            <w:tcW w:w="1235" w:type="dxa"/>
          </w:tcPr>
          <w:p w14:paraId="47EB70C7">
            <w:pPr>
              <w:spacing w:after="0" w:line="360" w:lineRule="auto"/>
            </w:pPr>
            <w:r>
              <w:rPr>
                <w:sz w:val="20"/>
              </w:rPr>
              <w:t>[14,46,35]</w:t>
            </w:r>
          </w:p>
        </w:tc>
      </w:tr>
    </w:tbl>
    <w:p w14:paraId="275AC4E6">
      <w:pPr>
        <w:spacing w:before="120" w:after="120" w:line="360" w:lineRule="auto"/>
      </w:pPr>
    </w:p>
    <w:p w14:paraId="60406C24">
      <w:pPr>
        <w:pStyle w:val="4"/>
        <w:spacing w:line="360" w:lineRule="auto"/>
        <w:rPr>
          <w:color w:val="auto"/>
        </w:rPr>
      </w:pPr>
      <w:r>
        <w:rPr>
          <w:rFonts w:ascii="Times New Roman" w:hAnsi="Times New Roman" w:eastAsia="宋体"/>
          <w:color w:val="auto"/>
          <w:sz w:val="28"/>
        </w:rPr>
        <w:t>4. 抑制性氯离子通路靶标</w:t>
      </w:r>
    </w:p>
    <w:p w14:paraId="228190F3">
      <w:pPr>
        <w:spacing w:after="80" w:line="360" w:lineRule="auto"/>
        <w:ind w:firstLine="420"/>
        <w:rPr>
          <w:lang w:eastAsia="zh-CN"/>
        </w:rPr>
      </w:pPr>
      <w:r>
        <w:rPr>
          <w:lang w:eastAsia="zh-CN"/>
        </w:rPr>
        <w:t>与胆碱能兴奋性通路相对，昆虫神经系统中的抑制性突触传递主要依赖两类配体门控氯离子通道：</w:t>
      </w:r>
      <w:r>
        <w:t>γ</w:t>
      </w:r>
      <w:r>
        <w:rPr>
          <w:lang w:eastAsia="zh-CN"/>
        </w:rPr>
        <w:t>-氨基丁酸门控氯离子通道（以RDL亚基为代表）和谷氨酸门控氯离子通道（GluCl）。这两类受体均属于Cys-loop超家族，在昆虫神经系统中发挥抑制性调控功能，是苯基吡唑类、阿维菌素类及新型间位酰胺类等多个杀虫剂类别的核心靶标。</w:t>
      </w:r>
      <w:r>
        <w:rPr>
          <w:sz w:val="18"/>
          <w:vertAlign w:val="superscript"/>
          <w:lang w:eastAsia="zh-CN"/>
        </w:rPr>
        <w:t>[50,34,51,52]</w:t>
      </w:r>
      <w:r>
        <w:rPr>
          <w:lang w:eastAsia="zh-CN"/>
        </w:rPr>
        <w:t xml:space="preserve"> 小菜蛾在这两个靶标上均积累了从点突变到剪接变体、从功能表达到群体抗性的系统性证据。</w:t>
      </w:r>
    </w:p>
    <w:p w14:paraId="5FA27505">
      <w:pPr>
        <w:pStyle w:val="5"/>
        <w:spacing w:line="360" w:lineRule="auto"/>
        <w:rPr>
          <w:color w:val="auto"/>
        </w:rPr>
      </w:pPr>
      <w:r>
        <w:rPr>
          <w:rFonts w:ascii="Times New Roman" w:hAnsi="Times New Roman" w:eastAsia="宋体"/>
          <w:color w:val="auto"/>
        </w:rPr>
        <w:t>4.1 RDL / GABA受体</w:t>
      </w:r>
    </w:p>
    <w:p w14:paraId="76702A3D">
      <w:pPr>
        <w:spacing w:after="80" w:line="360" w:lineRule="auto"/>
        <w:ind w:firstLine="420"/>
        <w:rPr>
          <w:lang w:eastAsia="zh-CN"/>
        </w:rPr>
      </w:pPr>
      <w:r>
        <w:t>昆虫GABA受体的主要亚基由</w:t>
      </w:r>
      <w:r>
        <w:rPr>
          <w:i/>
        </w:rPr>
        <w:t>Rdl</w:t>
      </w:r>
      <w:r>
        <w:t>（resistance to dieldrin）基因编码，最初在果蝇中因环二烯类杀虫剂抗性研究而得名。RDL亚基构成同源五聚体或与其他亚基形成异源五聚体，形成氯离子通道，GABA与受体结合后通道开放，氯离子内流导致膜超极化，抑制神经元放电。</w:t>
      </w:r>
      <w:r>
        <w:rPr>
          <w:sz w:val="18"/>
          <w:vertAlign w:val="superscript"/>
          <w:lang w:eastAsia="zh-CN"/>
        </w:rPr>
        <w:t>[63,64,65]</w:t>
      </w:r>
      <w:r>
        <w:rPr>
          <w:lang w:eastAsia="zh-CN"/>
        </w:rPr>
        <w:t xml:space="preserve"> 苯基吡唑类（如氟虫腈）通过阻断RDL通道的氯离子流发挥杀虫活性，其结合位点位于通道孔内，与GABA结合位点不同。</w:t>
      </w:r>
      <w:r>
        <w:rPr>
          <w:sz w:val="18"/>
          <w:vertAlign w:val="superscript"/>
          <w:lang w:eastAsia="zh-CN"/>
        </w:rPr>
        <w:t>[66,67]</w:t>
      </w:r>
      <w:r>
        <w:rPr>
          <w:lang w:eastAsia="zh-CN"/>
        </w:rPr>
        <w:t xml:space="preserve"> 新型间位酰胺类（如溴氟菊酯broflanilide）则作用于RDL受体上一个不同于氟虫腈的变构位点，这一位点的发现为克服氟虫腈抗性提供了新的化学空间。</w:t>
      </w:r>
      <w:r>
        <w:rPr>
          <w:sz w:val="18"/>
          <w:vertAlign w:val="superscript"/>
          <w:lang w:eastAsia="zh-CN"/>
        </w:rPr>
        <w:t>[68,69]</w:t>
      </w:r>
    </w:p>
    <w:p w14:paraId="481155CE">
      <w:pPr>
        <w:spacing w:after="80" w:line="360" w:lineRule="auto"/>
        <w:ind w:firstLine="420"/>
        <w:rPr>
          <w:lang w:eastAsia="zh-CN"/>
        </w:rPr>
      </w:pPr>
      <w:r>
        <w:rPr>
          <w:lang w:eastAsia="zh-CN"/>
        </w:rPr>
        <w:t>小菜蛾基因组中存在两个</w:t>
      </w:r>
      <w:r>
        <w:rPr>
          <w:i/>
          <w:lang w:eastAsia="zh-CN"/>
        </w:rPr>
        <w:t>Rdl</w:t>
      </w:r>
      <w:r>
        <w:rPr>
          <w:lang w:eastAsia="zh-CN"/>
        </w:rPr>
        <w:t>直系同源基因，这一特征在鳞翅目中较为罕见。Yuan等（2010）克隆并鉴定了小菜蛾的两个RDL基因（</w:t>
      </w:r>
      <w:r>
        <w:rPr>
          <w:i/>
          <w:lang w:eastAsia="zh-CN"/>
        </w:rPr>
        <w:t>PxRdl1</w:t>
      </w:r>
      <w:r>
        <w:rPr>
          <w:lang w:eastAsia="zh-CN"/>
        </w:rPr>
        <w:t>和</w:t>
      </w:r>
      <w:r>
        <w:rPr>
          <w:i/>
          <w:lang w:eastAsia="zh-CN"/>
        </w:rPr>
        <w:t>PxRdl2</w:t>
      </w:r>
      <w:r>
        <w:rPr>
          <w:lang w:eastAsia="zh-CN"/>
        </w:rPr>
        <w:t>），完成了基因组结构解析和遗传定位，为后续功能研究奠定了基础。</w:t>
      </w:r>
      <w:r>
        <w:rPr>
          <w:sz w:val="18"/>
          <w:vertAlign w:val="superscript"/>
          <w:lang w:eastAsia="zh-CN"/>
        </w:rPr>
        <w:t>[53]</w:t>
      </w:r>
      <w:r>
        <w:rPr>
          <w:lang w:eastAsia="zh-CN"/>
        </w:rPr>
        <w:t xml:space="preserve"> Li等（2021）通过异源表达和电生理实验，系统比较了PxRDL1和PxRDL2对氟虫腈的药理响应，发现两个亚型对氟虫腈的敏感性存在显著差异，提示氟虫腈在小菜蛾中的作用并非简单的单受体模型，而是与两个RDL亚型的功能分化密切相关。</w:t>
      </w:r>
      <w:r>
        <w:rPr>
          <w:sz w:val="18"/>
          <w:vertAlign w:val="superscript"/>
          <w:lang w:eastAsia="zh-CN"/>
        </w:rPr>
        <w:t>[54]</w:t>
      </w:r>
      <w:r>
        <w:rPr>
          <w:lang w:eastAsia="zh-CN"/>
        </w:rPr>
        <w:t xml:space="preserve"> 这一发现具有重要的管理意义：若田间抗性种群中两个亚型的表达比例或突变状态发生改变，将对氟虫腈的实际防效产生复杂影响，单纯依赖经典A2'位点突变检测可能低估抗性风险。</w:t>
      </w:r>
    </w:p>
    <w:p w14:paraId="5C158C30">
      <w:pPr>
        <w:spacing w:after="80" w:line="360" w:lineRule="auto"/>
        <w:ind w:firstLine="420"/>
        <w:rPr>
          <w:lang w:eastAsia="zh-CN"/>
        </w:rPr>
      </w:pPr>
      <w:r>
        <w:rPr>
          <w:lang w:eastAsia="zh-CN"/>
        </w:rPr>
        <w:t>经典的RDL抗性突变A2'（对应果蝇RDL的A301S/G）在多种害虫中均有报道，</w:t>
      </w:r>
      <w:r>
        <w:rPr>
          <w:sz w:val="18"/>
          <w:vertAlign w:val="superscript"/>
          <w:lang w:eastAsia="zh-CN"/>
        </w:rPr>
        <w:t>[63,64]</w:t>
      </w:r>
      <w:r>
        <w:rPr>
          <w:lang w:eastAsia="zh-CN"/>
        </w:rPr>
        <w:t xml:space="preserve"> 小菜蛾中亦存在类似位点的变异，但其在田间种群中的频率和对不同药剂的贡献尚需进一步系统监测。间位酰胺类的A2'位点突变同样可赋予一定程度的交叉抗性，</w:t>
      </w:r>
      <w:r>
        <w:rPr>
          <w:sz w:val="18"/>
          <w:vertAlign w:val="superscript"/>
          <w:lang w:eastAsia="zh-CN"/>
        </w:rPr>
        <w:t>[69]</w:t>
      </w:r>
      <w:r>
        <w:rPr>
          <w:lang w:eastAsia="zh-CN"/>
        </w:rPr>
        <w:t xml:space="preserve"> 这使RDL靶标位点监测在新型GABA化学推广背景下具有持续的实践价值。</w:t>
      </w:r>
    </w:p>
    <w:p w14:paraId="41AFEACC">
      <w:pPr>
        <w:pStyle w:val="5"/>
        <w:spacing w:line="360" w:lineRule="auto"/>
        <w:rPr>
          <w:color w:val="auto"/>
          <w:lang w:eastAsia="zh-CN"/>
        </w:rPr>
      </w:pPr>
      <w:r>
        <w:rPr>
          <w:rFonts w:ascii="Times New Roman" w:hAnsi="Times New Roman" w:eastAsia="宋体"/>
          <w:color w:val="auto"/>
          <w:lang w:eastAsia="zh-CN"/>
        </w:rPr>
        <w:t>4.2 谷氨酸门控氯离子通道（GluCl）</w:t>
      </w:r>
    </w:p>
    <w:p w14:paraId="14CF7A64">
      <w:pPr>
        <w:spacing w:after="80" w:line="360" w:lineRule="auto"/>
        <w:ind w:firstLine="420"/>
        <w:rPr>
          <w:lang w:eastAsia="zh-CN"/>
        </w:rPr>
      </w:pPr>
      <w:r>
        <w:rPr>
          <w:lang w:eastAsia="zh-CN"/>
        </w:rPr>
        <w:t>GluCl是无脊椎动物特有的配体门控氯离子通道，在昆虫和线虫的神经肌肉系统中广泛表达，参与抑制性突触传递和肌肉张力调节。</w:t>
      </w:r>
      <w:r>
        <w:rPr>
          <w:sz w:val="18"/>
          <w:vertAlign w:val="superscript"/>
          <w:lang w:eastAsia="zh-CN"/>
        </w:rPr>
        <w:t>[60,61,62,51]</w:t>
      </w:r>
      <w:r>
        <w:rPr>
          <w:lang w:eastAsia="zh-CN"/>
        </w:rPr>
        <w:t xml:space="preserve"> 阿维菌素类（如阿维菌素abamectin、依维菌素ivermectin）和米尔贝霉素类（如甲氨基阿维菌素苯甲酸盐emamectin benzoate）通过与GluCl的跨膜结构域变构位点结合，使通道持续开放，导致氯离子持续内流，神经元和肌肉细胞超极化，最终引发麻痹死亡。</w:t>
      </w:r>
      <w:r>
        <w:rPr>
          <w:sz w:val="18"/>
          <w:vertAlign w:val="superscript"/>
          <w:lang w:eastAsia="zh-CN"/>
        </w:rPr>
        <w:t>[61,62]</w:t>
      </w:r>
    </w:p>
    <w:p w14:paraId="7696FF7A">
      <w:pPr>
        <w:spacing w:after="80" w:line="360" w:lineRule="auto"/>
        <w:ind w:firstLine="420"/>
        <w:rPr>
          <w:lang w:eastAsia="zh-CN"/>
        </w:rPr>
      </w:pPr>
      <w:r>
        <w:rPr>
          <w:lang w:eastAsia="zh-CN"/>
        </w:rPr>
        <w:t>小菜蛾是GluCl靶标位点抗性研究中证据最为系统的鳞翅目害虫之一，已鉴定出多个功能明确的抗性相关分子变异。Wang等（2016）首先在小菜蛾阿维菌素抗性品系中鉴定出</w:t>
      </w:r>
      <w:r>
        <w:rPr>
          <w:i/>
          <w:lang w:eastAsia="zh-CN"/>
        </w:rPr>
        <w:t>PxGluCl</w:t>
      </w:r>
      <w:r>
        <w:rPr>
          <w:lang w:eastAsia="zh-CN"/>
        </w:rPr>
        <w:t>基因M3跨膜螺旋上的A309V突变，通过非洲爪蟾卵母细胞异源表达和双电极电压钳实验证明，该突变显著降低了阿维菌素对GluCl通道的激活效能。</w:t>
      </w:r>
      <w:r>
        <w:rPr>
          <w:sz w:val="18"/>
          <w:vertAlign w:val="superscript"/>
          <w:lang w:eastAsia="zh-CN"/>
        </w:rPr>
        <w:t>[23]</w:t>
      </w:r>
      <w:r>
        <w:rPr>
          <w:lang w:eastAsia="zh-CN"/>
        </w:rPr>
        <w:t xml:space="preserve"> Wang等（2017）进一步鉴定了同一M3螺旋上的G315E突变，并通过功能表达实验系统比较了A309V和G315E两个突变对阿维菌素敏感性的影响：A309V主要影响药剂与通道的结合亲和力，而G315E则可能通过改变通道门控动力学发挥作用，两者对不同阿维菌素类药剂的交叉抗性谱也存在差异。</w:t>
      </w:r>
      <w:r>
        <w:rPr>
          <w:sz w:val="18"/>
          <w:vertAlign w:val="superscript"/>
          <w:lang w:eastAsia="zh-CN"/>
        </w:rPr>
        <w:t>[55]</w:t>
      </w:r>
      <w:r>
        <w:rPr>
          <w:lang w:eastAsia="zh-CN"/>
        </w:rPr>
        <w:t xml:space="preserve"> Wang等（2019）系统研究了</w:t>
      </w:r>
      <w:r>
        <w:rPr>
          <w:i/>
          <w:lang w:eastAsia="zh-CN"/>
        </w:rPr>
        <w:t>PxGluCl</w:t>
      </w:r>
      <w:r>
        <w:rPr>
          <w:lang w:eastAsia="zh-CN"/>
        </w:rPr>
        <w:t>外显子9的可变剪接，鉴定出多种剪接变体，并通过功能表达证明不同剪接形式对阿维菌素的药理响应存在显著差异。</w:t>
      </w:r>
      <w:r>
        <w:rPr>
          <w:sz w:val="18"/>
          <w:vertAlign w:val="superscript"/>
          <w:lang w:eastAsia="zh-CN"/>
        </w:rPr>
        <w:t>[56]</w:t>
      </w:r>
      <w:r>
        <w:rPr>
          <w:lang w:eastAsia="zh-CN"/>
        </w:rPr>
        <w:t xml:space="preserve"> Liu等（2023）在高水平阿维菌素抗性品系中新鉴定出</w:t>
      </w:r>
      <w:r>
        <w:rPr>
          <w:i/>
          <w:lang w:eastAsia="zh-CN"/>
        </w:rPr>
        <w:t>PxGluCl</w:t>
      </w:r>
      <w:r>
        <w:rPr>
          <w:lang w:eastAsia="zh-CN"/>
        </w:rPr>
        <w:t>的V263I突变，功能验证表明该突变可赋予高水平阿维菌素抗性，且与已知突变不存在明显的等位基因关联，提示田间种群中可能存在多个独立起源的靶标位点抗性等位基因。</w:t>
      </w:r>
      <w:r>
        <w:rPr>
          <w:sz w:val="18"/>
          <w:vertAlign w:val="superscript"/>
          <w:lang w:eastAsia="zh-CN"/>
        </w:rPr>
        <w:t>[57]</w:t>
      </w:r>
    </w:p>
    <w:p w14:paraId="19D3F185">
      <w:pPr>
        <w:spacing w:after="80" w:line="360" w:lineRule="auto"/>
        <w:ind w:firstLine="420"/>
        <w:rPr>
          <w:lang w:eastAsia="zh-CN"/>
        </w:rPr>
      </w:pPr>
      <w:r>
        <w:rPr>
          <w:lang w:eastAsia="zh-CN"/>
        </w:rPr>
        <w:t>尽管上述靶标位点突变均有功能验证，但在田间抗性种群中，代谢抗性（尤其是P450介导的阿维菌素羟基化）往往与靶标位点突变共存，两者对整体抗性水平的相对贡献因种群而异。</w:t>
      </w:r>
      <w:r>
        <w:rPr>
          <w:sz w:val="18"/>
          <w:vertAlign w:val="superscript"/>
          <w:lang w:eastAsia="zh-CN"/>
        </w:rPr>
        <w:t>[58]</w:t>
      </w:r>
      <w:r>
        <w:rPr>
          <w:lang w:eastAsia="zh-CN"/>
        </w:rPr>
        <w:t xml:space="preserve"> 因此，在设计GluCl靶标位点监测方案时，需同时考虑代谢抗性标记，以避免对靶标位点机制的解释力产生高估。</w:t>
      </w:r>
    </w:p>
    <w:p w14:paraId="72E53B14">
      <w:pPr>
        <w:spacing w:line="360" w:lineRule="auto"/>
      </w:pPr>
      <w:r>
        <w:rPr>
          <w:i/>
          <w:sz w:val="20"/>
        </w:rPr>
        <w:t>Table 2. 小菜蛾抑制性氯离子通路关键突变、剪接事件及其表型后果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235"/>
        <w:gridCol w:w="1235"/>
        <w:gridCol w:w="1235"/>
        <w:gridCol w:w="1235"/>
        <w:gridCol w:w="1235"/>
        <w:gridCol w:w="1235"/>
      </w:tblGrid>
      <w:tr w14:paraId="7AE8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5F185E35">
            <w:pPr>
              <w:spacing w:after="0" w:line="360" w:lineRule="auto"/>
            </w:pPr>
            <w:r>
              <w:rPr>
                <w:b/>
                <w:sz w:val="20"/>
              </w:rPr>
              <w:t>靶标</w:t>
            </w:r>
          </w:p>
        </w:tc>
        <w:tc>
          <w:tcPr>
            <w:tcW w:w="1235" w:type="dxa"/>
          </w:tcPr>
          <w:p w14:paraId="44E2FF7B">
            <w:pPr>
              <w:spacing w:after="0" w:line="360" w:lineRule="auto"/>
            </w:pPr>
            <w:r>
              <w:rPr>
                <w:b/>
                <w:sz w:val="20"/>
              </w:rPr>
              <w:t>基因</w:t>
            </w:r>
          </w:p>
        </w:tc>
        <w:tc>
          <w:tcPr>
            <w:tcW w:w="1235" w:type="dxa"/>
          </w:tcPr>
          <w:p w14:paraId="536FDE8F">
            <w:pPr>
              <w:spacing w:after="0" w:line="360" w:lineRule="auto"/>
            </w:pPr>
            <w:r>
              <w:rPr>
                <w:b/>
                <w:sz w:val="20"/>
              </w:rPr>
              <w:t>分子变异</w:t>
            </w:r>
          </w:p>
        </w:tc>
        <w:tc>
          <w:tcPr>
            <w:tcW w:w="1235" w:type="dxa"/>
          </w:tcPr>
          <w:p w14:paraId="05B9FBBB">
            <w:pPr>
              <w:spacing w:after="0" w:line="360" w:lineRule="auto"/>
            </w:pPr>
            <w:r>
              <w:rPr>
                <w:b/>
                <w:sz w:val="20"/>
              </w:rPr>
              <w:t>相关药剂</w:t>
            </w:r>
          </w:p>
        </w:tc>
        <w:tc>
          <w:tcPr>
            <w:tcW w:w="1235" w:type="dxa"/>
          </w:tcPr>
          <w:p w14:paraId="4AFAD800">
            <w:pPr>
              <w:spacing w:after="0" w:line="360" w:lineRule="auto"/>
            </w:pPr>
            <w:r>
              <w:rPr>
                <w:b/>
                <w:sz w:val="20"/>
              </w:rPr>
              <w:t>功能验证方法</w:t>
            </w:r>
          </w:p>
        </w:tc>
        <w:tc>
          <w:tcPr>
            <w:tcW w:w="1235" w:type="dxa"/>
          </w:tcPr>
          <w:p w14:paraId="143D5224">
            <w:pPr>
              <w:spacing w:after="0" w:line="360" w:lineRule="auto"/>
            </w:pPr>
            <w:r>
              <w:rPr>
                <w:b/>
                <w:sz w:val="20"/>
              </w:rPr>
              <w:t>抗性表型</w:t>
            </w:r>
          </w:p>
        </w:tc>
        <w:tc>
          <w:tcPr>
            <w:tcW w:w="1235" w:type="dxa"/>
          </w:tcPr>
          <w:p w14:paraId="0F84F643">
            <w:pPr>
              <w:spacing w:after="0" w:line="360" w:lineRule="auto"/>
            </w:pPr>
            <w:r>
              <w:rPr>
                <w:b/>
                <w:sz w:val="20"/>
              </w:rPr>
              <w:t>文献</w:t>
            </w:r>
          </w:p>
        </w:tc>
      </w:tr>
      <w:tr w14:paraId="473A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38B60D9C">
            <w:pPr>
              <w:spacing w:after="0" w:line="360" w:lineRule="auto"/>
            </w:pPr>
            <w:r>
              <w:rPr>
                <w:sz w:val="20"/>
              </w:rPr>
              <w:t>RDL（GABA受体）</w:t>
            </w:r>
          </w:p>
        </w:tc>
        <w:tc>
          <w:tcPr>
            <w:tcW w:w="1235" w:type="dxa"/>
          </w:tcPr>
          <w:p w14:paraId="3B34FDB4">
            <w:pPr>
              <w:spacing w:after="0" w:line="360" w:lineRule="auto"/>
            </w:pPr>
            <w:r>
              <w:rPr>
                <w:i/>
                <w:sz w:val="20"/>
              </w:rPr>
              <w:t>PxRdl1 / PxRdl2</w:t>
            </w:r>
          </w:p>
        </w:tc>
        <w:tc>
          <w:tcPr>
            <w:tcW w:w="1235" w:type="dxa"/>
          </w:tcPr>
          <w:p w14:paraId="7AF5A8AC">
            <w:pPr>
              <w:spacing w:after="0" w:line="360" w:lineRule="auto"/>
              <w:rPr>
                <w:lang w:eastAsia="zh-CN"/>
              </w:rPr>
            </w:pPr>
            <w:r>
              <w:rPr>
                <w:sz w:val="20"/>
                <w:lang w:eastAsia="zh-CN"/>
              </w:rPr>
              <w:t>双亚型功能分化；A2'位点变异</w:t>
            </w:r>
          </w:p>
        </w:tc>
        <w:tc>
          <w:tcPr>
            <w:tcW w:w="1235" w:type="dxa"/>
          </w:tcPr>
          <w:p w14:paraId="3D54B6DC">
            <w:pPr>
              <w:spacing w:after="0" w:line="360" w:lineRule="auto"/>
            </w:pPr>
            <w:r>
              <w:rPr>
                <w:sz w:val="20"/>
              </w:rPr>
              <w:t>氟虫腈、间位酰胺类</w:t>
            </w:r>
          </w:p>
        </w:tc>
        <w:tc>
          <w:tcPr>
            <w:tcW w:w="1235" w:type="dxa"/>
          </w:tcPr>
          <w:p w14:paraId="75F7F0CF">
            <w:pPr>
              <w:spacing w:after="0" w:line="360" w:lineRule="auto"/>
            </w:pPr>
            <w:r>
              <w:rPr>
                <w:sz w:val="20"/>
              </w:rPr>
              <w:t>异源表达、电生理</w:t>
            </w:r>
          </w:p>
        </w:tc>
        <w:tc>
          <w:tcPr>
            <w:tcW w:w="1235" w:type="dxa"/>
          </w:tcPr>
          <w:p w14:paraId="43DE1BB4">
            <w:pPr>
              <w:spacing w:after="0" w:line="360" w:lineRule="auto"/>
              <w:rPr>
                <w:lang w:eastAsia="zh-CN"/>
              </w:rPr>
            </w:pPr>
            <w:r>
              <w:rPr>
                <w:sz w:val="20"/>
                <w:lang w:eastAsia="zh-CN"/>
              </w:rPr>
              <w:t>氟虫腈敏感性差异；间位酰胺类交叉抗性</w:t>
            </w:r>
          </w:p>
        </w:tc>
        <w:tc>
          <w:tcPr>
            <w:tcW w:w="1235" w:type="dxa"/>
          </w:tcPr>
          <w:p w14:paraId="3AD98E73">
            <w:pPr>
              <w:spacing w:after="0" w:line="360" w:lineRule="auto"/>
            </w:pPr>
            <w:r>
              <w:rPr>
                <w:sz w:val="20"/>
              </w:rPr>
              <w:t>[53,54,69]</w:t>
            </w:r>
          </w:p>
        </w:tc>
      </w:tr>
      <w:tr w14:paraId="6FD3B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2FE24910">
            <w:pPr>
              <w:spacing w:after="0" w:line="360" w:lineRule="auto"/>
            </w:pPr>
            <w:r>
              <w:rPr>
                <w:sz w:val="20"/>
              </w:rPr>
              <w:t>GluCl</w:t>
            </w:r>
          </w:p>
        </w:tc>
        <w:tc>
          <w:tcPr>
            <w:tcW w:w="1235" w:type="dxa"/>
          </w:tcPr>
          <w:p w14:paraId="1719C93A">
            <w:pPr>
              <w:spacing w:after="0" w:line="360" w:lineRule="auto"/>
            </w:pPr>
            <w:r>
              <w:rPr>
                <w:i/>
                <w:sz w:val="20"/>
              </w:rPr>
              <w:t>PxGluCl</w:t>
            </w:r>
          </w:p>
        </w:tc>
        <w:tc>
          <w:tcPr>
            <w:tcW w:w="1235" w:type="dxa"/>
          </w:tcPr>
          <w:p w14:paraId="53496473">
            <w:pPr>
              <w:spacing w:after="0" w:line="360" w:lineRule="auto"/>
            </w:pPr>
            <w:r>
              <w:rPr>
                <w:sz w:val="20"/>
              </w:rPr>
              <w:t>A309V（M3螺旋）</w:t>
            </w:r>
          </w:p>
        </w:tc>
        <w:tc>
          <w:tcPr>
            <w:tcW w:w="1235" w:type="dxa"/>
          </w:tcPr>
          <w:p w14:paraId="419F7A53">
            <w:pPr>
              <w:spacing w:after="0" w:line="360" w:lineRule="auto"/>
              <w:rPr>
                <w:lang w:eastAsia="zh-CN"/>
              </w:rPr>
            </w:pPr>
            <w:r>
              <w:rPr>
                <w:sz w:val="20"/>
                <w:lang w:eastAsia="zh-CN"/>
              </w:rPr>
              <w:t>阿维菌素、甲氨基阿维菌素</w:t>
            </w:r>
          </w:p>
        </w:tc>
        <w:tc>
          <w:tcPr>
            <w:tcW w:w="1235" w:type="dxa"/>
          </w:tcPr>
          <w:p w14:paraId="1E24A73C">
            <w:pPr>
              <w:spacing w:after="0" w:line="360" w:lineRule="auto"/>
              <w:rPr>
                <w:lang w:eastAsia="zh-CN"/>
              </w:rPr>
            </w:pPr>
            <w:r>
              <w:rPr>
                <w:sz w:val="20"/>
                <w:lang w:eastAsia="zh-CN"/>
              </w:rPr>
              <w:t>卵母细胞表达、电压钳</w:t>
            </w:r>
          </w:p>
        </w:tc>
        <w:tc>
          <w:tcPr>
            <w:tcW w:w="1235" w:type="dxa"/>
          </w:tcPr>
          <w:p w14:paraId="7F305D8B">
            <w:pPr>
              <w:spacing w:after="0" w:line="360" w:lineRule="auto"/>
            </w:pPr>
            <w:r>
              <w:rPr>
                <w:sz w:val="20"/>
              </w:rPr>
              <w:t>高水平阿维菌素抗性</w:t>
            </w:r>
          </w:p>
        </w:tc>
        <w:tc>
          <w:tcPr>
            <w:tcW w:w="1235" w:type="dxa"/>
          </w:tcPr>
          <w:p w14:paraId="7D8198E6">
            <w:pPr>
              <w:spacing w:after="0" w:line="360" w:lineRule="auto"/>
            </w:pPr>
            <w:r>
              <w:rPr>
                <w:sz w:val="20"/>
              </w:rPr>
              <w:t>[23]</w:t>
            </w:r>
          </w:p>
        </w:tc>
      </w:tr>
      <w:tr w14:paraId="3B89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27FBEC5D">
            <w:pPr>
              <w:spacing w:after="0" w:line="360" w:lineRule="auto"/>
            </w:pPr>
            <w:r>
              <w:rPr>
                <w:sz w:val="20"/>
              </w:rPr>
              <w:t>GluCl</w:t>
            </w:r>
          </w:p>
        </w:tc>
        <w:tc>
          <w:tcPr>
            <w:tcW w:w="1235" w:type="dxa"/>
          </w:tcPr>
          <w:p w14:paraId="06A764F6">
            <w:pPr>
              <w:spacing w:after="0" w:line="360" w:lineRule="auto"/>
            </w:pPr>
            <w:r>
              <w:rPr>
                <w:i/>
                <w:sz w:val="20"/>
              </w:rPr>
              <w:t>PxGluCl</w:t>
            </w:r>
          </w:p>
        </w:tc>
        <w:tc>
          <w:tcPr>
            <w:tcW w:w="1235" w:type="dxa"/>
          </w:tcPr>
          <w:p w14:paraId="5ED8D52E">
            <w:pPr>
              <w:spacing w:after="0" w:line="360" w:lineRule="auto"/>
            </w:pPr>
            <w:r>
              <w:rPr>
                <w:sz w:val="20"/>
              </w:rPr>
              <w:t>G315E（M3螺旋）</w:t>
            </w:r>
          </w:p>
        </w:tc>
        <w:tc>
          <w:tcPr>
            <w:tcW w:w="1235" w:type="dxa"/>
          </w:tcPr>
          <w:p w14:paraId="3F773F2C">
            <w:pPr>
              <w:spacing w:after="0" w:line="360" w:lineRule="auto"/>
            </w:pPr>
            <w:r>
              <w:rPr>
                <w:sz w:val="20"/>
              </w:rPr>
              <w:t>阿维菌素</w:t>
            </w:r>
          </w:p>
        </w:tc>
        <w:tc>
          <w:tcPr>
            <w:tcW w:w="1235" w:type="dxa"/>
          </w:tcPr>
          <w:p w14:paraId="5CBF3F51">
            <w:pPr>
              <w:spacing w:after="0" w:line="360" w:lineRule="auto"/>
              <w:rPr>
                <w:lang w:eastAsia="zh-CN"/>
              </w:rPr>
            </w:pPr>
            <w:r>
              <w:rPr>
                <w:sz w:val="20"/>
                <w:lang w:eastAsia="zh-CN"/>
              </w:rPr>
              <w:t>卵母细胞表达、电压钳</w:t>
            </w:r>
          </w:p>
        </w:tc>
        <w:tc>
          <w:tcPr>
            <w:tcW w:w="1235" w:type="dxa"/>
          </w:tcPr>
          <w:p w14:paraId="2FECF971">
            <w:pPr>
              <w:spacing w:after="0" w:line="360" w:lineRule="auto"/>
              <w:rPr>
                <w:lang w:eastAsia="zh-CN"/>
              </w:rPr>
            </w:pPr>
            <w:r>
              <w:rPr>
                <w:sz w:val="20"/>
                <w:lang w:eastAsia="zh-CN"/>
              </w:rPr>
              <w:t>阿维菌素抗性（机制异于A309V）</w:t>
            </w:r>
          </w:p>
        </w:tc>
        <w:tc>
          <w:tcPr>
            <w:tcW w:w="1235" w:type="dxa"/>
          </w:tcPr>
          <w:p w14:paraId="312A36EC">
            <w:pPr>
              <w:spacing w:after="0" w:line="360" w:lineRule="auto"/>
            </w:pPr>
            <w:r>
              <w:rPr>
                <w:sz w:val="20"/>
              </w:rPr>
              <w:t>[55]</w:t>
            </w:r>
          </w:p>
        </w:tc>
      </w:tr>
      <w:tr w14:paraId="1573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3138010F">
            <w:pPr>
              <w:spacing w:after="0" w:line="360" w:lineRule="auto"/>
            </w:pPr>
            <w:r>
              <w:rPr>
                <w:sz w:val="20"/>
              </w:rPr>
              <w:t>GluCl</w:t>
            </w:r>
          </w:p>
        </w:tc>
        <w:tc>
          <w:tcPr>
            <w:tcW w:w="1235" w:type="dxa"/>
          </w:tcPr>
          <w:p w14:paraId="4C8D6E32">
            <w:pPr>
              <w:spacing w:after="0" w:line="360" w:lineRule="auto"/>
            </w:pPr>
            <w:r>
              <w:rPr>
                <w:i/>
                <w:sz w:val="20"/>
              </w:rPr>
              <w:t>PxGluCl</w:t>
            </w:r>
          </w:p>
        </w:tc>
        <w:tc>
          <w:tcPr>
            <w:tcW w:w="1235" w:type="dxa"/>
          </w:tcPr>
          <w:p w14:paraId="68C95485">
            <w:pPr>
              <w:spacing w:after="0" w:line="360" w:lineRule="auto"/>
            </w:pPr>
            <w:r>
              <w:rPr>
                <w:sz w:val="20"/>
              </w:rPr>
              <w:t>外显子9可变剪接</w:t>
            </w:r>
          </w:p>
        </w:tc>
        <w:tc>
          <w:tcPr>
            <w:tcW w:w="1235" w:type="dxa"/>
          </w:tcPr>
          <w:p w14:paraId="0EBC62C9">
            <w:pPr>
              <w:spacing w:after="0" w:line="360" w:lineRule="auto"/>
            </w:pPr>
            <w:r>
              <w:rPr>
                <w:sz w:val="20"/>
              </w:rPr>
              <w:t>阿维菌素</w:t>
            </w:r>
          </w:p>
        </w:tc>
        <w:tc>
          <w:tcPr>
            <w:tcW w:w="1235" w:type="dxa"/>
          </w:tcPr>
          <w:p w14:paraId="6C268525">
            <w:pPr>
              <w:spacing w:after="0" w:line="360" w:lineRule="auto"/>
            </w:pPr>
            <w:r>
              <w:rPr>
                <w:sz w:val="20"/>
              </w:rPr>
              <w:t>RT-PCR、功能表达</w:t>
            </w:r>
          </w:p>
        </w:tc>
        <w:tc>
          <w:tcPr>
            <w:tcW w:w="1235" w:type="dxa"/>
          </w:tcPr>
          <w:p w14:paraId="1CCECB43">
            <w:pPr>
              <w:spacing w:after="0" w:line="360" w:lineRule="auto"/>
              <w:rPr>
                <w:lang w:eastAsia="zh-CN"/>
              </w:rPr>
            </w:pPr>
            <w:r>
              <w:rPr>
                <w:sz w:val="20"/>
                <w:lang w:eastAsia="zh-CN"/>
              </w:rPr>
              <w:t>不同剪接形式药理响应差异</w:t>
            </w:r>
          </w:p>
        </w:tc>
        <w:tc>
          <w:tcPr>
            <w:tcW w:w="1235" w:type="dxa"/>
          </w:tcPr>
          <w:p w14:paraId="445895B1">
            <w:pPr>
              <w:spacing w:after="0" w:line="360" w:lineRule="auto"/>
            </w:pPr>
            <w:r>
              <w:rPr>
                <w:sz w:val="20"/>
              </w:rPr>
              <w:t>[56]</w:t>
            </w:r>
          </w:p>
        </w:tc>
      </w:tr>
      <w:tr w14:paraId="1B37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BB52DAD">
            <w:pPr>
              <w:spacing w:after="0" w:line="360" w:lineRule="auto"/>
            </w:pPr>
            <w:r>
              <w:rPr>
                <w:sz w:val="20"/>
              </w:rPr>
              <w:t>GluCl</w:t>
            </w:r>
          </w:p>
        </w:tc>
        <w:tc>
          <w:tcPr>
            <w:tcW w:w="1235" w:type="dxa"/>
          </w:tcPr>
          <w:p w14:paraId="40A5F700">
            <w:pPr>
              <w:spacing w:after="0" w:line="360" w:lineRule="auto"/>
            </w:pPr>
            <w:r>
              <w:rPr>
                <w:i/>
                <w:sz w:val="20"/>
              </w:rPr>
              <w:t>PxGluCl</w:t>
            </w:r>
          </w:p>
        </w:tc>
        <w:tc>
          <w:tcPr>
            <w:tcW w:w="1235" w:type="dxa"/>
          </w:tcPr>
          <w:p w14:paraId="3A019AD5">
            <w:pPr>
              <w:spacing w:after="0" w:line="360" w:lineRule="auto"/>
            </w:pPr>
            <w:r>
              <w:rPr>
                <w:sz w:val="20"/>
              </w:rPr>
              <w:t>V263I</w:t>
            </w:r>
          </w:p>
        </w:tc>
        <w:tc>
          <w:tcPr>
            <w:tcW w:w="1235" w:type="dxa"/>
          </w:tcPr>
          <w:p w14:paraId="6A9DC36E">
            <w:pPr>
              <w:spacing w:after="0" w:line="360" w:lineRule="auto"/>
            </w:pPr>
            <w:r>
              <w:rPr>
                <w:sz w:val="20"/>
              </w:rPr>
              <w:t>阿维菌素</w:t>
            </w:r>
          </w:p>
        </w:tc>
        <w:tc>
          <w:tcPr>
            <w:tcW w:w="1235" w:type="dxa"/>
          </w:tcPr>
          <w:p w14:paraId="415F3BF0">
            <w:pPr>
              <w:spacing w:after="0" w:line="360" w:lineRule="auto"/>
            </w:pPr>
            <w:r>
              <w:rPr>
                <w:sz w:val="20"/>
              </w:rPr>
              <w:t>功能表达验证</w:t>
            </w:r>
          </w:p>
        </w:tc>
        <w:tc>
          <w:tcPr>
            <w:tcW w:w="1235" w:type="dxa"/>
          </w:tcPr>
          <w:p w14:paraId="7D8B2C04">
            <w:pPr>
              <w:spacing w:after="0" w:line="360" w:lineRule="auto"/>
            </w:pPr>
            <w:r>
              <w:rPr>
                <w:sz w:val="20"/>
              </w:rPr>
              <w:t>高水平阿维菌素抗性</w:t>
            </w:r>
          </w:p>
        </w:tc>
        <w:tc>
          <w:tcPr>
            <w:tcW w:w="1235" w:type="dxa"/>
          </w:tcPr>
          <w:p w14:paraId="5F24A0BE">
            <w:pPr>
              <w:spacing w:after="0" w:line="360" w:lineRule="auto"/>
            </w:pPr>
            <w:r>
              <w:rPr>
                <w:sz w:val="20"/>
              </w:rPr>
              <w:t>[57]</w:t>
            </w:r>
          </w:p>
        </w:tc>
      </w:tr>
    </w:tbl>
    <w:p w14:paraId="3D1B2D78">
      <w:pPr>
        <w:spacing w:before="120" w:after="120" w:line="360" w:lineRule="auto"/>
      </w:pPr>
    </w:p>
    <w:p w14:paraId="56AC2FC8">
      <w:pPr>
        <w:pStyle w:val="4"/>
        <w:spacing w:line="360" w:lineRule="auto"/>
        <w:rPr>
          <w:color w:val="auto"/>
          <w:lang w:eastAsia="zh-CN"/>
        </w:rPr>
      </w:pPr>
      <w:r>
        <w:rPr>
          <w:rFonts w:ascii="Times New Roman" w:hAnsi="Times New Roman" w:eastAsia="宋体"/>
          <w:color w:val="auto"/>
          <w:sz w:val="28"/>
          <w:lang w:eastAsia="zh-CN"/>
        </w:rPr>
        <w:t>5. 膜兴奋性与胞内钙释放靶标</w:t>
      </w:r>
    </w:p>
    <w:p w14:paraId="26B1E7AC">
      <w:pPr>
        <w:spacing w:after="80" w:line="360" w:lineRule="auto"/>
        <w:ind w:firstLine="420"/>
        <w:rPr>
          <w:lang w:eastAsia="zh-CN"/>
        </w:rPr>
      </w:pPr>
      <w:r>
        <w:rPr>
          <w:lang w:eastAsia="zh-CN"/>
        </w:rPr>
        <w:t>电压门控钠离子通道（Na</w:t>
      </w:r>
      <w:r>
        <w:rPr>
          <w:sz w:val="18"/>
          <w:vertAlign w:val="subscript"/>
          <w:lang w:eastAsia="zh-CN"/>
        </w:rPr>
        <w:t>v</w:t>
      </w:r>
      <w:r>
        <w:rPr>
          <w:lang w:eastAsia="zh-CN"/>
        </w:rPr>
        <w:t>）和兰尼碱受体（RyR）分别是神经元动作电位产生与肌肉钙释放过程的核心分子，也是拟除虫菊酯类、钠通道阻断剂类（SCBI）和双酰胺类的靶标体系。在小菜蛾中，这两个靶标均积累了从田间抗性到功能验证的系统性证据，其中RyR/双酰胺体系是目前小菜蛾神经药理靶标研究中证据最密集、进展最快的模块。</w:t>
      </w:r>
      <w:r>
        <w:rPr>
          <w:sz w:val="18"/>
          <w:vertAlign w:val="superscript"/>
          <w:lang w:eastAsia="zh-CN"/>
        </w:rPr>
        <w:t>[70,71,72,73]</w:t>
      </w:r>
    </w:p>
    <w:p w14:paraId="12116710">
      <w:pPr>
        <w:pStyle w:val="5"/>
        <w:spacing w:line="360" w:lineRule="auto"/>
        <w:rPr>
          <w:color w:val="auto"/>
          <w:lang w:eastAsia="zh-CN"/>
        </w:rPr>
      </w:pPr>
      <w:r>
        <w:rPr>
          <w:rFonts w:ascii="Times New Roman" w:hAnsi="Times New Roman" w:eastAsia="宋体"/>
          <w:color w:val="auto"/>
          <w:lang w:eastAsia="zh-CN"/>
        </w:rPr>
        <w:t>5.1 电压门控钠离子通道（Na</w:t>
      </w:r>
      <w:r>
        <w:rPr>
          <w:rFonts w:ascii="Times New Roman" w:hAnsi="Times New Roman" w:eastAsia="宋体"/>
          <w:color w:val="auto"/>
          <w:sz w:val="18"/>
          <w:vertAlign w:val="subscript"/>
          <w:lang w:eastAsia="zh-CN"/>
        </w:rPr>
        <w:t>v</w:t>
      </w:r>
      <w:r>
        <w:rPr>
          <w:rFonts w:ascii="Times New Roman" w:hAnsi="Times New Roman" w:eastAsia="宋体"/>
          <w:color w:val="auto"/>
          <w:lang w:eastAsia="zh-CN"/>
        </w:rPr>
        <w:t>）</w:t>
      </w:r>
    </w:p>
    <w:p w14:paraId="40AB7F6B">
      <w:pPr>
        <w:spacing w:after="80" w:line="360" w:lineRule="auto"/>
        <w:ind w:firstLine="420"/>
        <w:rPr>
          <w:lang w:eastAsia="zh-CN"/>
        </w:rPr>
      </w:pPr>
      <w:r>
        <w:rPr>
          <w:lang w:eastAsia="zh-CN"/>
        </w:rPr>
        <w:t>Na</w:t>
      </w:r>
      <w:r>
        <w:rPr>
          <w:sz w:val="18"/>
          <w:vertAlign w:val="subscript"/>
          <w:lang w:eastAsia="zh-CN"/>
        </w:rPr>
        <w:t>v</w:t>
      </w:r>
      <w:r>
        <w:rPr>
          <w:lang w:eastAsia="zh-CN"/>
        </w:rPr>
        <w:t>是动作电位起始与传播的分子基础，由一个大型</w:t>
      </w:r>
      <w:r>
        <w:t>α</w:t>
      </w:r>
      <w:r>
        <w:rPr>
          <w:lang w:eastAsia="zh-CN"/>
        </w:rPr>
        <w:t>亚基（约2000个氨基酸）构成功能性通道，包含四个同源结构域（DI–DIV），每个结构域含六个跨膜螺旋（S1–S6），其中S4为电压感受器，S5–S6形成离子通道孔。</w:t>
      </w:r>
      <w:r>
        <w:rPr>
          <w:sz w:val="18"/>
          <w:vertAlign w:val="superscript"/>
          <w:lang w:eastAsia="zh-CN"/>
        </w:rPr>
        <w:t>[25]</w:t>
      </w:r>
      <w:r>
        <w:rPr>
          <w:lang w:eastAsia="zh-CN"/>
        </w:rPr>
        <w:t xml:space="preserve"> 拟除虫菊酯类通过与通道的两个结合位点（位于DII S4–S5连接区和DIII/DIV S6区）相互作用，使通道在激活后延迟关闭，导致持续性钠离子内流，引发重复放电和神经兴奋。</w:t>
      </w:r>
      <w:r>
        <w:rPr>
          <w:sz w:val="18"/>
          <w:vertAlign w:val="superscript"/>
          <w:lang w:eastAsia="zh-CN"/>
        </w:rPr>
        <w:t>[70,71,81,82]</w:t>
      </w:r>
    </w:p>
    <w:p w14:paraId="0E4404F7">
      <w:pPr>
        <w:spacing w:after="80" w:line="360" w:lineRule="auto"/>
        <w:ind w:firstLine="420"/>
        <w:rPr>
          <w:lang w:eastAsia="zh-CN"/>
        </w:rPr>
      </w:pPr>
      <w:r>
        <w:rPr>
          <w:lang w:eastAsia="zh-CN"/>
        </w:rPr>
        <w:t>钠通道阻断剂类（SCBI）包括噁二嗪类（如茚虫威indoxacarb）和氟苯虫酰胺类（如氰氟虫腙metaflumizone），其作用机制与拟除虫菊酯类截然不同：SCBI通过阻断通道孔，使通道在失活状态下被锁定，阻止钠离子内流，导致神经元不能产生动作电位，最终引发麻痹。</w:t>
      </w:r>
      <w:r>
        <w:rPr>
          <w:sz w:val="18"/>
          <w:vertAlign w:val="superscript"/>
          <w:lang w:eastAsia="zh-CN"/>
        </w:rPr>
        <w:t>[77,78,79]</w:t>
      </w:r>
      <w:r>
        <w:rPr>
          <w:lang w:eastAsia="zh-CN"/>
        </w:rPr>
        <w:t xml:space="preserve"> 茚虫威本身为前体药物，需经昆虫体内代谢活化为N-去甲基代谢物（DCJW）后才能发挥最大活性。</w:t>
      </w:r>
      <w:r>
        <w:rPr>
          <w:sz w:val="18"/>
          <w:vertAlign w:val="superscript"/>
          <w:lang w:eastAsia="zh-CN"/>
        </w:rPr>
        <w:t>[77]</w:t>
      </w:r>
    </w:p>
    <w:p w14:paraId="627F2A15">
      <w:pPr>
        <w:spacing w:after="80" w:line="360" w:lineRule="auto"/>
        <w:ind w:firstLine="420"/>
        <w:rPr>
          <w:lang w:eastAsia="zh-CN"/>
        </w:rPr>
      </w:pPr>
      <w:r>
        <w:rPr>
          <w:lang w:eastAsia="zh-CN"/>
        </w:rPr>
        <w:t>在SCBI抗性方面，Wang等（2016）在小菜蛾中鉴定出两个与茚虫威和氰氟虫腙抗性相关的Na</w:t>
      </w:r>
      <w:r>
        <w:rPr>
          <w:sz w:val="18"/>
          <w:vertAlign w:val="subscript"/>
          <w:lang w:eastAsia="zh-CN"/>
        </w:rPr>
        <w:t>v</w:t>
      </w:r>
      <w:r>
        <w:rPr>
          <w:lang w:eastAsia="zh-CN"/>
        </w:rPr>
        <w:t>新突变：F1845Y和V1848I，两者均位于DIV S6跨膜螺旋，与已知的SCBI结合位点区域高度吻合。</w:t>
      </w:r>
      <w:r>
        <w:rPr>
          <w:sz w:val="18"/>
          <w:vertAlign w:val="superscript"/>
          <w:lang w:eastAsia="zh-CN"/>
        </w:rPr>
        <w:t>[29]</w:t>
      </w:r>
      <w:r>
        <w:rPr>
          <w:lang w:eastAsia="zh-CN"/>
        </w:rPr>
        <w:t xml:space="preserve"> 遗传学分析表明，这两个突变在抗性品系中频率较高，且与田间SCBI抗性表型存在关联，但其功能验证（异源表达/电生理）尚待补充。小菜蛾对拟除虫菊酯类的击倒抗性（kdr）已有较早的研究记录，其分子基础与其他鳞翅目害虫中报道的kdr突变类似，但小菜蛾田间种群中的具体突变谱和频率分布尚需系统整理。</w:t>
      </w:r>
      <w:r>
        <w:rPr>
          <w:sz w:val="18"/>
          <w:vertAlign w:val="superscript"/>
          <w:lang w:eastAsia="zh-CN"/>
        </w:rPr>
        <w:t>[74,75,76]</w:t>
      </w:r>
      <w:r>
        <w:rPr>
          <w:lang w:eastAsia="zh-CN"/>
        </w:rPr>
        <w:t xml:space="preserve"> 拟除虫菊酯类与SCBI之间通常不存在交叉抗性，因为两者的结合位点和通道状态偏好不同；但若Na</w:t>
      </w:r>
      <w:r>
        <w:rPr>
          <w:sz w:val="18"/>
          <w:vertAlign w:val="subscript"/>
          <w:lang w:eastAsia="zh-CN"/>
        </w:rPr>
        <w:t>v</w:t>
      </w:r>
      <w:r>
        <w:rPr>
          <w:lang w:eastAsia="zh-CN"/>
        </w:rPr>
        <w:t>发生影响通道整体构象的突变，则可能对两类药剂均产生影响。</w:t>
      </w:r>
      <w:r>
        <w:rPr>
          <w:sz w:val="18"/>
          <w:vertAlign w:val="superscript"/>
          <w:lang w:eastAsia="zh-CN"/>
        </w:rPr>
        <w:t>[29,80]</w:t>
      </w:r>
    </w:p>
    <w:p w14:paraId="437E43DE">
      <w:pPr>
        <w:pStyle w:val="5"/>
        <w:spacing w:line="360" w:lineRule="auto"/>
        <w:rPr>
          <w:color w:val="auto"/>
          <w:lang w:eastAsia="zh-CN"/>
        </w:rPr>
      </w:pPr>
      <w:r>
        <w:rPr>
          <w:rFonts w:ascii="Times New Roman" w:hAnsi="Times New Roman" w:eastAsia="宋体"/>
          <w:color w:val="auto"/>
          <w:lang w:eastAsia="zh-CN"/>
        </w:rPr>
        <w:t>5.2 兰尼碱受体（RyR）</w:t>
      </w:r>
    </w:p>
    <w:p w14:paraId="5DFE6620">
      <w:pPr>
        <w:spacing w:after="80" w:line="360" w:lineRule="auto"/>
        <w:ind w:firstLine="420"/>
        <w:rPr>
          <w:lang w:eastAsia="zh-CN"/>
        </w:rPr>
      </w:pPr>
      <w:r>
        <w:rPr>
          <w:lang w:eastAsia="zh-CN"/>
        </w:rPr>
        <w:t>RyR是内质网/肌质网膜上的大型钙离子释放通道，分子量约560 kDa，以同源四聚体形式发挥功能，负责将胞内钙库中的Ca</w:t>
      </w:r>
      <w:r>
        <w:rPr>
          <w:sz w:val="18"/>
          <w:vertAlign w:val="superscript"/>
          <w:lang w:eastAsia="zh-CN"/>
        </w:rPr>
        <w:t>2+</w:t>
      </w:r>
      <w:r>
        <w:rPr>
          <w:lang w:eastAsia="zh-CN"/>
        </w:rPr>
        <w:t>释放至胞质，触发肌肉收缩。</w:t>
      </w:r>
      <w:r>
        <w:rPr>
          <w:sz w:val="18"/>
          <w:vertAlign w:val="superscript"/>
          <w:lang w:eastAsia="zh-CN"/>
        </w:rPr>
        <w:t>[26]</w:t>
      </w:r>
      <w:r>
        <w:rPr>
          <w:lang w:eastAsia="zh-CN"/>
        </w:rPr>
        <w:t xml:space="preserve"> 双酰胺类杀虫剂分为两个化学亚类：邻苯二甲酰胺类（如氯虫苯甲酰胺chlorantraniliprole、氰虫酰胺cyantraniliprole）和邻苯二甲酸酰胺类（如氟苯虫酰胺flubendiamide）。两者均通过激活昆虫RyR，使通道持续开放，导致胞内Ca</w:t>
      </w:r>
      <w:r>
        <w:rPr>
          <w:sz w:val="18"/>
          <w:vertAlign w:val="superscript"/>
          <w:lang w:eastAsia="zh-CN"/>
        </w:rPr>
        <w:t>2+</w:t>
      </w:r>
      <w:r>
        <w:rPr>
          <w:lang w:eastAsia="zh-CN"/>
        </w:rPr>
        <w:t>异常释放，肌肉持续收缩，最终引发麻痹死亡。</w:t>
      </w:r>
      <w:r>
        <w:rPr>
          <w:sz w:val="18"/>
          <w:vertAlign w:val="superscript"/>
          <w:lang w:eastAsia="zh-CN"/>
        </w:rPr>
        <w:t>[83,84,86,87]</w:t>
      </w:r>
      <w:r>
        <w:rPr>
          <w:lang w:eastAsia="zh-CN"/>
        </w:rPr>
        <w:t xml:space="preserve"> 双酰胺类对昆虫RyR的选择性远高于哺乳动物RyR，是其安全性的分子基础。</w:t>
      </w:r>
      <w:r>
        <w:rPr>
          <w:sz w:val="18"/>
          <w:vertAlign w:val="superscript"/>
          <w:lang w:eastAsia="zh-CN"/>
        </w:rPr>
        <w:t>[92]</w:t>
      </w:r>
    </w:p>
    <w:p w14:paraId="03A0C899">
      <w:pPr>
        <w:spacing w:after="80" w:line="360" w:lineRule="auto"/>
        <w:ind w:firstLine="420"/>
        <w:rPr>
          <w:lang w:eastAsia="zh-CN"/>
        </w:rPr>
      </w:pPr>
      <w:r>
        <w:rPr>
          <w:lang w:eastAsia="zh-CN"/>
        </w:rPr>
        <w:t>小菜蛾是全球双酰胺类抗性出现最早、扩散最快的害虫之一，也是RyR靶标位点抗性研究中证据最密集的模式昆虫。</w:t>
      </w:r>
      <w:r>
        <w:rPr>
          <w:sz w:val="18"/>
          <w:vertAlign w:val="superscript"/>
          <w:lang w:eastAsia="zh-CN"/>
        </w:rPr>
        <w:t>[30]</w:t>
      </w:r>
      <w:r>
        <w:rPr>
          <w:lang w:eastAsia="zh-CN"/>
        </w:rPr>
        <w:t xml:space="preserve"> Troczka等（2012）首先在小菜蛾抗性品系中鉴定出RyR跨膜结构域的G4946E突变，这是双酰胺类靶标位点抗性研究的里程碑发现。</w:t>
      </w:r>
      <w:r>
        <w:rPr>
          <w:sz w:val="18"/>
          <w:vertAlign w:val="superscript"/>
          <w:lang w:eastAsia="zh-CN"/>
        </w:rPr>
        <w:t>[27]</w:t>
      </w:r>
      <w:r>
        <w:rPr>
          <w:lang w:eastAsia="zh-CN"/>
        </w:rPr>
        <w:t xml:space="preserve"> Troczka等（2015）通过稳定异源表达系统对G4946E突变体进行功能表征，证明该突变显著降低了氯虫苯甲酰胺对RyR的激活效能，提供了靶标位点抗性的直接功能证据。</w:t>
      </w:r>
      <w:r>
        <w:rPr>
          <w:sz w:val="18"/>
          <w:vertAlign w:val="superscript"/>
          <w:lang w:eastAsia="zh-CN"/>
        </w:rPr>
        <w:t>[90]</w:t>
      </w:r>
      <w:r>
        <w:rPr>
          <w:lang w:eastAsia="zh-CN"/>
        </w:rPr>
        <w:t xml:space="preserve"> Jouraku等（2020）系统比较了G4946E和I4790K两个突变对不同双酰胺类药剂的抗性谱，发现两者对邻苯二甲酰胺类和邻苯二甲酸酰胺类的抗性贡献存在差异。</w:t>
      </w:r>
      <w:r>
        <w:rPr>
          <w:sz w:val="18"/>
          <w:vertAlign w:val="superscript"/>
          <w:lang w:eastAsia="zh-CN"/>
        </w:rPr>
        <w:t>[91]</w:t>
      </w:r>
      <w:r>
        <w:rPr>
          <w:lang w:eastAsia="zh-CN"/>
        </w:rPr>
        <w:t xml:space="preserve"> Wang等（2020）利用CRISPR/Cas9技术将I4790M突变精确敲入小菜蛾基因组，通过生物测定证明该突变可赋予不等程度的双酰胺类抗性，为靶标位点突变的因果关系提供了遗传学层面的直接验证。</w:t>
      </w:r>
      <w:r>
        <w:rPr>
          <w:sz w:val="18"/>
          <w:vertAlign w:val="superscript"/>
          <w:lang w:eastAsia="zh-CN"/>
        </w:rPr>
        <w:t>[88]</w:t>
      </w:r>
      <w:r>
        <w:rPr>
          <w:lang w:eastAsia="zh-CN"/>
        </w:rPr>
        <w:t xml:space="preserve"> Jiang等（2024）进一步对I4790K突变进行了类似的CRISPR knockin验证，确认其在介导双酰胺类抗性中的关键作用。</w:t>
      </w:r>
      <w:r>
        <w:rPr>
          <w:sz w:val="18"/>
          <w:vertAlign w:val="superscript"/>
          <w:lang w:eastAsia="zh-CN"/>
        </w:rPr>
        <w:t>[33]</w:t>
      </w:r>
      <w:r>
        <w:rPr>
          <w:lang w:eastAsia="zh-CN"/>
        </w:rPr>
        <w:t xml:space="preserve"> Steinbach等报道了RyR抗性突变在全球小菜蛾种群中的地理扩散，表明G4946E等突变已在亚洲、欧洲和美洲多个地区的田间种群中检出。</w:t>
      </w:r>
      <w:r>
        <w:rPr>
          <w:sz w:val="18"/>
          <w:vertAlign w:val="superscript"/>
          <w:lang w:eastAsia="zh-CN"/>
        </w:rPr>
        <w:t>[30]</w:t>
      </w:r>
    </w:p>
    <w:p w14:paraId="4A3C496F">
      <w:pPr>
        <w:spacing w:after="80" w:line="360" w:lineRule="auto"/>
        <w:ind w:firstLine="420"/>
        <w:rPr>
          <w:lang w:eastAsia="zh-CN"/>
        </w:rPr>
      </w:pPr>
      <w:r>
        <w:rPr>
          <w:lang w:eastAsia="zh-CN"/>
        </w:rPr>
        <w:t>目前已在小菜蛾中功能验证的RyR抗性突变主要包括G4946E、I4790M和I4790K三个，三者均位于RyR跨膜结构域或其附近，但对不同双酰胺类药剂的抗性贡献存在差异：G4946E是迄今报道最广泛的突变，对氯虫苯甲酰胺和氟苯虫酰胺均可赋予高水平抗性，田间检出频率最高；</w:t>
      </w:r>
      <w:r>
        <w:rPr>
          <w:sz w:val="18"/>
          <w:vertAlign w:val="superscript"/>
          <w:lang w:eastAsia="zh-CN"/>
        </w:rPr>
        <w:t>[27,90,30]</w:t>
      </w:r>
      <w:r>
        <w:rPr>
          <w:lang w:eastAsia="zh-CN"/>
        </w:rPr>
        <w:t xml:space="preserve"> I4790M对氯虫苯甲酰胺的抗性贡献相对较小，而I4790K则可赋予更高水平的抗性，且对氰虫酰胺也有一定影响。</w:t>
      </w:r>
      <w:r>
        <w:rPr>
          <w:sz w:val="18"/>
          <w:vertAlign w:val="superscript"/>
          <w:lang w:eastAsia="zh-CN"/>
        </w:rPr>
        <w:t>[88,33,91]</w:t>
      </w:r>
    </w:p>
    <w:p w14:paraId="05D9F57A">
      <w:pPr>
        <w:spacing w:after="80" w:line="360" w:lineRule="auto"/>
        <w:ind w:firstLine="420"/>
        <w:rPr>
          <w:lang w:eastAsia="zh-CN"/>
        </w:rPr>
      </w:pPr>
      <w:r>
        <w:rPr>
          <w:lang w:eastAsia="zh-CN"/>
        </w:rPr>
        <w:t>尽管RyR靶标位点突变是小菜蛾双酰胺类抗性的主要机制，代谢抗性在部分种群中同样不可忽视。Mallott等（2019）发现一种黄素依赖性单加氧酶（FMO）在小菜蛾氯虫苯甲酰胺抗性中发挥作用，该酶可对氯虫苯甲酰胺进行氧化代谢，降低其有效浓度。</w:t>
      </w:r>
      <w:r>
        <w:rPr>
          <w:sz w:val="18"/>
          <w:vertAlign w:val="superscript"/>
          <w:lang w:eastAsia="zh-CN"/>
        </w:rPr>
        <w:t>[89]</w:t>
      </w:r>
      <w:r>
        <w:rPr>
          <w:lang w:eastAsia="zh-CN"/>
        </w:rPr>
        <w:t xml:space="preserve"> 这一发现提示，在田间抗性种群中，靶标位点突变与代谢机制可能协同作用，单纯依赖RyR突变检测可能低估整体抗性风险。</w:t>
      </w:r>
    </w:p>
    <w:p w14:paraId="15AB0E1B">
      <w:pPr>
        <w:spacing w:line="360" w:lineRule="auto"/>
        <w:rPr>
          <w:lang w:eastAsia="zh-CN"/>
        </w:rPr>
      </w:pPr>
      <w:r>
        <w:rPr>
          <w:i/>
          <w:sz w:val="20"/>
          <w:lang w:eastAsia="zh-CN"/>
        </w:rPr>
        <w:t>Table 3. 小菜蛾Nav与RyR关键抗性位点、相关药剂与证据等级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235"/>
        <w:gridCol w:w="1235"/>
        <w:gridCol w:w="1235"/>
        <w:gridCol w:w="1235"/>
        <w:gridCol w:w="1235"/>
        <w:gridCol w:w="1235"/>
      </w:tblGrid>
      <w:tr w14:paraId="669F3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5E48F1E8">
            <w:pPr>
              <w:spacing w:after="0" w:line="360" w:lineRule="auto"/>
            </w:pPr>
            <w:r>
              <w:rPr>
                <w:b/>
                <w:sz w:val="20"/>
              </w:rPr>
              <w:t>靶标</w:t>
            </w:r>
          </w:p>
        </w:tc>
        <w:tc>
          <w:tcPr>
            <w:tcW w:w="1235" w:type="dxa"/>
          </w:tcPr>
          <w:p w14:paraId="2F7531CA">
            <w:pPr>
              <w:spacing w:after="0" w:line="360" w:lineRule="auto"/>
            </w:pPr>
            <w:r>
              <w:rPr>
                <w:b/>
                <w:sz w:val="20"/>
              </w:rPr>
              <w:t>突变/变异</w:t>
            </w:r>
          </w:p>
        </w:tc>
        <w:tc>
          <w:tcPr>
            <w:tcW w:w="1235" w:type="dxa"/>
          </w:tcPr>
          <w:p w14:paraId="3E03EA6D">
            <w:pPr>
              <w:spacing w:after="0" w:line="360" w:lineRule="auto"/>
            </w:pPr>
            <w:r>
              <w:rPr>
                <w:b/>
                <w:sz w:val="20"/>
              </w:rPr>
              <w:t>位置</w:t>
            </w:r>
          </w:p>
        </w:tc>
        <w:tc>
          <w:tcPr>
            <w:tcW w:w="1235" w:type="dxa"/>
          </w:tcPr>
          <w:p w14:paraId="37451B7C">
            <w:pPr>
              <w:spacing w:after="0" w:line="360" w:lineRule="auto"/>
            </w:pPr>
            <w:r>
              <w:rPr>
                <w:b/>
                <w:sz w:val="20"/>
              </w:rPr>
              <w:t>相关药剂</w:t>
            </w:r>
          </w:p>
        </w:tc>
        <w:tc>
          <w:tcPr>
            <w:tcW w:w="1235" w:type="dxa"/>
          </w:tcPr>
          <w:p w14:paraId="713C2D40">
            <w:pPr>
              <w:spacing w:after="0" w:line="360" w:lineRule="auto"/>
            </w:pPr>
            <w:r>
              <w:rPr>
                <w:b/>
                <w:sz w:val="20"/>
              </w:rPr>
              <w:t>验证方法</w:t>
            </w:r>
          </w:p>
        </w:tc>
        <w:tc>
          <w:tcPr>
            <w:tcW w:w="1235" w:type="dxa"/>
          </w:tcPr>
          <w:p w14:paraId="2CA0DBD9">
            <w:pPr>
              <w:spacing w:after="0" w:line="360" w:lineRule="auto"/>
            </w:pPr>
            <w:r>
              <w:rPr>
                <w:b/>
                <w:sz w:val="20"/>
              </w:rPr>
              <w:t>证据等级</w:t>
            </w:r>
          </w:p>
        </w:tc>
        <w:tc>
          <w:tcPr>
            <w:tcW w:w="1235" w:type="dxa"/>
          </w:tcPr>
          <w:p w14:paraId="321EE761">
            <w:pPr>
              <w:spacing w:after="0" w:line="360" w:lineRule="auto"/>
            </w:pPr>
            <w:r>
              <w:rPr>
                <w:b/>
                <w:sz w:val="20"/>
              </w:rPr>
              <w:t>文献</w:t>
            </w:r>
          </w:p>
        </w:tc>
      </w:tr>
      <w:tr w14:paraId="787A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5CE661C">
            <w:pPr>
              <w:spacing w:after="0" w:line="360" w:lineRule="auto"/>
            </w:pPr>
            <w:r>
              <w:rPr>
                <w:sz w:val="20"/>
              </w:rPr>
              <w:t>Na</w:t>
            </w:r>
            <w:r>
              <w:rPr>
                <w:sz w:val="20"/>
                <w:vertAlign w:val="subscript"/>
              </w:rPr>
              <w:t>v</w:t>
            </w:r>
          </w:p>
        </w:tc>
        <w:tc>
          <w:tcPr>
            <w:tcW w:w="1235" w:type="dxa"/>
          </w:tcPr>
          <w:p w14:paraId="5A2FEEED">
            <w:pPr>
              <w:spacing w:after="0" w:line="360" w:lineRule="auto"/>
              <w:rPr>
                <w:lang w:eastAsia="zh-CN"/>
              </w:rPr>
            </w:pPr>
            <w:r>
              <w:rPr>
                <w:sz w:val="20"/>
                <w:lang w:eastAsia="zh-CN"/>
              </w:rPr>
              <w:t>kdr类突变（L1014F等）</w:t>
            </w:r>
          </w:p>
        </w:tc>
        <w:tc>
          <w:tcPr>
            <w:tcW w:w="1235" w:type="dxa"/>
          </w:tcPr>
          <w:p w14:paraId="7BEDE11F">
            <w:pPr>
              <w:spacing w:after="0" w:line="360" w:lineRule="auto"/>
            </w:pPr>
            <w:r>
              <w:rPr>
                <w:sz w:val="20"/>
              </w:rPr>
              <w:t>DII S6</w:t>
            </w:r>
          </w:p>
        </w:tc>
        <w:tc>
          <w:tcPr>
            <w:tcW w:w="1235" w:type="dxa"/>
          </w:tcPr>
          <w:p w14:paraId="6FE25918">
            <w:pPr>
              <w:spacing w:after="0" w:line="360" w:lineRule="auto"/>
            </w:pPr>
            <w:r>
              <w:rPr>
                <w:sz w:val="20"/>
              </w:rPr>
              <w:t>拟除虫菊酯类</w:t>
            </w:r>
          </w:p>
        </w:tc>
        <w:tc>
          <w:tcPr>
            <w:tcW w:w="1235" w:type="dxa"/>
          </w:tcPr>
          <w:p w14:paraId="5980F137">
            <w:pPr>
              <w:spacing w:after="0" w:line="360" w:lineRule="auto"/>
            </w:pPr>
            <w:r>
              <w:rPr>
                <w:sz w:val="20"/>
              </w:rPr>
              <w:t>遗传学、电生理</w:t>
            </w:r>
          </w:p>
        </w:tc>
        <w:tc>
          <w:tcPr>
            <w:tcW w:w="1235" w:type="dxa"/>
          </w:tcPr>
          <w:p w14:paraId="42B2C2CA">
            <w:pPr>
              <w:spacing w:after="0" w:line="360" w:lineRule="auto"/>
            </w:pPr>
            <w:r>
              <w:rPr>
                <w:sz w:val="20"/>
              </w:rPr>
              <w:t>中</w:t>
            </w:r>
          </w:p>
        </w:tc>
        <w:tc>
          <w:tcPr>
            <w:tcW w:w="1235" w:type="dxa"/>
          </w:tcPr>
          <w:p w14:paraId="5EE7AA3B">
            <w:pPr>
              <w:spacing w:after="0" w:line="360" w:lineRule="auto"/>
            </w:pPr>
            <w:r>
              <w:rPr>
                <w:sz w:val="20"/>
              </w:rPr>
              <w:t>[74,75,76]</w:t>
            </w:r>
          </w:p>
        </w:tc>
      </w:tr>
      <w:tr w14:paraId="79CB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CC1D4D0">
            <w:pPr>
              <w:spacing w:after="0" w:line="360" w:lineRule="auto"/>
            </w:pPr>
            <w:r>
              <w:rPr>
                <w:sz w:val="20"/>
              </w:rPr>
              <w:t>Na</w:t>
            </w:r>
            <w:r>
              <w:rPr>
                <w:sz w:val="20"/>
                <w:vertAlign w:val="subscript"/>
              </w:rPr>
              <w:t>v</w:t>
            </w:r>
          </w:p>
        </w:tc>
        <w:tc>
          <w:tcPr>
            <w:tcW w:w="1235" w:type="dxa"/>
          </w:tcPr>
          <w:p w14:paraId="030DDFBF">
            <w:pPr>
              <w:spacing w:after="0" w:line="360" w:lineRule="auto"/>
            </w:pPr>
            <w:r>
              <w:rPr>
                <w:sz w:val="20"/>
              </w:rPr>
              <w:t>F1845Y</w:t>
            </w:r>
          </w:p>
        </w:tc>
        <w:tc>
          <w:tcPr>
            <w:tcW w:w="1235" w:type="dxa"/>
          </w:tcPr>
          <w:p w14:paraId="464D4DFF">
            <w:pPr>
              <w:spacing w:after="0" w:line="360" w:lineRule="auto"/>
            </w:pPr>
            <w:r>
              <w:rPr>
                <w:sz w:val="20"/>
              </w:rPr>
              <w:t>DIV S6</w:t>
            </w:r>
          </w:p>
        </w:tc>
        <w:tc>
          <w:tcPr>
            <w:tcW w:w="1235" w:type="dxa"/>
          </w:tcPr>
          <w:p w14:paraId="1EB5FE8A">
            <w:pPr>
              <w:spacing w:after="0" w:line="360" w:lineRule="auto"/>
            </w:pPr>
            <w:r>
              <w:rPr>
                <w:sz w:val="20"/>
              </w:rPr>
              <w:t>茚虫威、氰氟虫腙</w:t>
            </w:r>
          </w:p>
        </w:tc>
        <w:tc>
          <w:tcPr>
            <w:tcW w:w="1235" w:type="dxa"/>
          </w:tcPr>
          <w:p w14:paraId="46F2C8E0">
            <w:pPr>
              <w:spacing w:after="0" w:line="360" w:lineRule="auto"/>
            </w:pPr>
            <w:r>
              <w:rPr>
                <w:sz w:val="20"/>
              </w:rPr>
              <w:t>遗传学关联</w:t>
            </w:r>
          </w:p>
        </w:tc>
        <w:tc>
          <w:tcPr>
            <w:tcW w:w="1235" w:type="dxa"/>
          </w:tcPr>
          <w:p w14:paraId="6B1123EC">
            <w:pPr>
              <w:spacing w:after="0" w:line="360" w:lineRule="auto"/>
            </w:pPr>
            <w:r>
              <w:rPr>
                <w:sz w:val="20"/>
              </w:rPr>
              <w:t>中</w:t>
            </w:r>
          </w:p>
        </w:tc>
        <w:tc>
          <w:tcPr>
            <w:tcW w:w="1235" w:type="dxa"/>
          </w:tcPr>
          <w:p w14:paraId="0B9BF9D1">
            <w:pPr>
              <w:spacing w:after="0" w:line="360" w:lineRule="auto"/>
            </w:pPr>
            <w:r>
              <w:rPr>
                <w:sz w:val="20"/>
              </w:rPr>
              <w:t>[29]</w:t>
            </w:r>
          </w:p>
        </w:tc>
      </w:tr>
      <w:tr w14:paraId="73A3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E5750C4">
            <w:pPr>
              <w:spacing w:after="0" w:line="360" w:lineRule="auto"/>
            </w:pPr>
            <w:r>
              <w:rPr>
                <w:sz w:val="20"/>
              </w:rPr>
              <w:t>Na</w:t>
            </w:r>
            <w:r>
              <w:rPr>
                <w:sz w:val="20"/>
                <w:vertAlign w:val="subscript"/>
              </w:rPr>
              <w:t>v</w:t>
            </w:r>
          </w:p>
        </w:tc>
        <w:tc>
          <w:tcPr>
            <w:tcW w:w="1235" w:type="dxa"/>
          </w:tcPr>
          <w:p w14:paraId="46C224C7">
            <w:pPr>
              <w:spacing w:after="0" w:line="360" w:lineRule="auto"/>
            </w:pPr>
            <w:r>
              <w:rPr>
                <w:sz w:val="20"/>
              </w:rPr>
              <w:t>V1848I</w:t>
            </w:r>
          </w:p>
        </w:tc>
        <w:tc>
          <w:tcPr>
            <w:tcW w:w="1235" w:type="dxa"/>
          </w:tcPr>
          <w:p w14:paraId="2109BB44">
            <w:pPr>
              <w:spacing w:after="0" w:line="360" w:lineRule="auto"/>
            </w:pPr>
            <w:r>
              <w:rPr>
                <w:sz w:val="20"/>
              </w:rPr>
              <w:t>DIV S6</w:t>
            </w:r>
          </w:p>
        </w:tc>
        <w:tc>
          <w:tcPr>
            <w:tcW w:w="1235" w:type="dxa"/>
          </w:tcPr>
          <w:p w14:paraId="0D61D26F">
            <w:pPr>
              <w:spacing w:after="0" w:line="360" w:lineRule="auto"/>
            </w:pPr>
            <w:r>
              <w:rPr>
                <w:sz w:val="20"/>
              </w:rPr>
              <w:t>茚虫威、氰氟虫腙</w:t>
            </w:r>
          </w:p>
        </w:tc>
        <w:tc>
          <w:tcPr>
            <w:tcW w:w="1235" w:type="dxa"/>
          </w:tcPr>
          <w:p w14:paraId="7CD29EAC">
            <w:pPr>
              <w:spacing w:after="0" w:line="360" w:lineRule="auto"/>
            </w:pPr>
            <w:r>
              <w:rPr>
                <w:sz w:val="20"/>
              </w:rPr>
              <w:t>遗传学关联</w:t>
            </w:r>
          </w:p>
        </w:tc>
        <w:tc>
          <w:tcPr>
            <w:tcW w:w="1235" w:type="dxa"/>
          </w:tcPr>
          <w:p w14:paraId="371E2F16">
            <w:pPr>
              <w:spacing w:after="0" w:line="360" w:lineRule="auto"/>
            </w:pPr>
            <w:r>
              <w:rPr>
                <w:sz w:val="20"/>
              </w:rPr>
              <w:t>中</w:t>
            </w:r>
          </w:p>
        </w:tc>
        <w:tc>
          <w:tcPr>
            <w:tcW w:w="1235" w:type="dxa"/>
          </w:tcPr>
          <w:p w14:paraId="1C01298C">
            <w:pPr>
              <w:spacing w:after="0" w:line="360" w:lineRule="auto"/>
            </w:pPr>
            <w:r>
              <w:rPr>
                <w:sz w:val="20"/>
              </w:rPr>
              <w:t>[29]</w:t>
            </w:r>
          </w:p>
        </w:tc>
      </w:tr>
      <w:tr w14:paraId="7A4A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698E0B6A">
            <w:pPr>
              <w:spacing w:after="0" w:line="360" w:lineRule="auto"/>
            </w:pPr>
            <w:r>
              <w:rPr>
                <w:sz w:val="20"/>
              </w:rPr>
              <w:t>RyR</w:t>
            </w:r>
          </w:p>
        </w:tc>
        <w:tc>
          <w:tcPr>
            <w:tcW w:w="1235" w:type="dxa"/>
          </w:tcPr>
          <w:p w14:paraId="0958D679">
            <w:pPr>
              <w:spacing w:after="0" w:line="360" w:lineRule="auto"/>
            </w:pPr>
            <w:r>
              <w:rPr>
                <w:sz w:val="20"/>
              </w:rPr>
              <w:t>G4946E</w:t>
            </w:r>
          </w:p>
        </w:tc>
        <w:tc>
          <w:tcPr>
            <w:tcW w:w="1235" w:type="dxa"/>
          </w:tcPr>
          <w:p w14:paraId="3028A830">
            <w:pPr>
              <w:spacing w:after="0" w:line="360" w:lineRule="auto"/>
            </w:pPr>
            <w:r>
              <w:rPr>
                <w:sz w:val="20"/>
              </w:rPr>
              <w:t>跨膜结构域</w:t>
            </w:r>
          </w:p>
        </w:tc>
        <w:tc>
          <w:tcPr>
            <w:tcW w:w="1235" w:type="dxa"/>
          </w:tcPr>
          <w:p w14:paraId="22C9172D">
            <w:pPr>
              <w:spacing w:after="0" w:line="360" w:lineRule="auto"/>
              <w:rPr>
                <w:lang w:eastAsia="zh-CN"/>
              </w:rPr>
            </w:pPr>
            <w:r>
              <w:rPr>
                <w:sz w:val="20"/>
                <w:lang w:eastAsia="zh-CN"/>
              </w:rPr>
              <w:t>氯虫苯甲酰胺、氟苯虫酰胺</w:t>
            </w:r>
          </w:p>
        </w:tc>
        <w:tc>
          <w:tcPr>
            <w:tcW w:w="1235" w:type="dxa"/>
          </w:tcPr>
          <w:p w14:paraId="178AD5BE">
            <w:pPr>
              <w:spacing w:after="0" w:line="360" w:lineRule="auto"/>
              <w:rPr>
                <w:lang w:eastAsia="zh-CN"/>
              </w:rPr>
            </w:pPr>
            <w:r>
              <w:rPr>
                <w:sz w:val="20"/>
                <w:lang w:eastAsia="zh-CN"/>
              </w:rPr>
              <w:t>异源表达、电生理、田间监测</w:t>
            </w:r>
          </w:p>
        </w:tc>
        <w:tc>
          <w:tcPr>
            <w:tcW w:w="1235" w:type="dxa"/>
          </w:tcPr>
          <w:p w14:paraId="44369CEF">
            <w:pPr>
              <w:spacing w:after="0" w:line="360" w:lineRule="auto"/>
            </w:pPr>
            <w:r>
              <w:rPr>
                <w:sz w:val="20"/>
              </w:rPr>
              <w:t>高</w:t>
            </w:r>
          </w:p>
        </w:tc>
        <w:tc>
          <w:tcPr>
            <w:tcW w:w="1235" w:type="dxa"/>
          </w:tcPr>
          <w:p w14:paraId="7E2F5E87">
            <w:pPr>
              <w:spacing w:after="0" w:line="360" w:lineRule="auto"/>
            </w:pPr>
            <w:r>
              <w:rPr>
                <w:sz w:val="20"/>
              </w:rPr>
              <w:t>[27,90,30]</w:t>
            </w:r>
          </w:p>
        </w:tc>
      </w:tr>
      <w:tr w14:paraId="78163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11B288F3">
            <w:pPr>
              <w:spacing w:after="0" w:line="360" w:lineRule="auto"/>
            </w:pPr>
            <w:r>
              <w:rPr>
                <w:sz w:val="20"/>
              </w:rPr>
              <w:t>RyR</w:t>
            </w:r>
          </w:p>
        </w:tc>
        <w:tc>
          <w:tcPr>
            <w:tcW w:w="1235" w:type="dxa"/>
          </w:tcPr>
          <w:p w14:paraId="093C8229">
            <w:pPr>
              <w:spacing w:after="0" w:line="360" w:lineRule="auto"/>
            </w:pPr>
            <w:r>
              <w:rPr>
                <w:sz w:val="20"/>
              </w:rPr>
              <w:t>I4790M</w:t>
            </w:r>
          </w:p>
        </w:tc>
        <w:tc>
          <w:tcPr>
            <w:tcW w:w="1235" w:type="dxa"/>
          </w:tcPr>
          <w:p w14:paraId="715A14FD">
            <w:pPr>
              <w:spacing w:after="0" w:line="360" w:lineRule="auto"/>
            </w:pPr>
            <w:r>
              <w:rPr>
                <w:sz w:val="20"/>
              </w:rPr>
              <w:t>跨膜结构域</w:t>
            </w:r>
          </w:p>
        </w:tc>
        <w:tc>
          <w:tcPr>
            <w:tcW w:w="1235" w:type="dxa"/>
          </w:tcPr>
          <w:p w14:paraId="27E433A9">
            <w:pPr>
              <w:spacing w:after="0" w:line="360" w:lineRule="auto"/>
            </w:pPr>
            <w:r>
              <w:rPr>
                <w:sz w:val="20"/>
              </w:rPr>
              <w:t>氯虫苯甲酰胺</w:t>
            </w:r>
          </w:p>
        </w:tc>
        <w:tc>
          <w:tcPr>
            <w:tcW w:w="1235" w:type="dxa"/>
          </w:tcPr>
          <w:p w14:paraId="789E96B5">
            <w:pPr>
              <w:spacing w:after="0" w:line="360" w:lineRule="auto"/>
            </w:pPr>
            <w:r>
              <w:rPr>
                <w:sz w:val="20"/>
              </w:rPr>
              <w:t>CRISPR knockin、生物测定</w:t>
            </w:r>
          </w:p>
        </w:tc>
        <w:tc>
          <w:tcPr>
            <w:tcW w:w="1235" w:type="dxa"/>
          </w:tcPr>
          <w:p w14:paraId="7708A66C">
            <w:pPr>
              <w:spacing w:after="0" w:line="360" w:lineRule="auto"/>
            </w:pPr>
            <w:r>
              <w:rPr>
                <w:sz w:val="20"/>
              </w:rPr>
              <w:t>高</w:t>
            </w:r>
          </w:p>
        </w:tc>
        <w:tc>
          <w:tcPr>
            <w:tcW w:w="1235" w:type="dxa"/>
          </w:tcPr>
          <w:p w14:paraId="21E56310">
            <w:pPr>
              <w:spacing w:after="0" w:line="360" w:lineRule="auto"/>
            </w:pPr>
            <w:r>
              <w:rPr>
                <w:sz w:val="20"/>
              </w:rPr>
              <w:t>[88,91]</w:t>
            </w:r>
          </w:p>
        </w:tc>
      </w:tr>
      <w:tr w14:paraId="2910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0661002C">
            <w:pPr>
              <w:spacing w:after="0" w:line="360" w:lineRule="auto"/>
            </w:pPr>
            <w:r>
              <w:rPr>
                <w:sz w:val="20"/>
              </w:rPr>
              <w:t>RyR</w:t>
            </w:r>
          </w:p>
        </w:tc>
        <w:tc>
          <w:tcPr>
            <w:tcW w:w="1235" w:type="dxa"/>
          </w:tcPr>
          <w:p w14:paraId="52505174">
            <w:pPr>
              <w:spacing w:after="0" w:line="360" w:lineRule="auto"/>
            </w:pPr>
            <w:r>
              <w:rPr>
                <w:sz w:val="20"/>
              </w:rPr>
              <w:t>I4790K</w:t>
            </w:r>
          </w:p>
        </w:tc>
        <w:tc>
          <w:tcPr>
            <w:tcW w:w="1235" w:type="dxa"/>
          </w:tcPr>
          <w:p w14:paraId="6E51B531">
            <w:pPr>
              <w:spacing w:after="0" w:line="360" w:lineRule="auto"/>
            </w:pPr>
            <w:r>
              <w:rPr>
                <w:sz w:val="20"/>
              </w:rPr>
              <w:t>跨膜结构域</w:t>
            </w:r>
          </w:p>
        </w:tc>
        <w:tc>
          <w:tcPr>
            <w:tcW w:w="1235" w:type="dxa"/>
          </w:tcPr>
          <w:p w14:paraId="4FA101C6">
            <w:pPr>
              <w:spacing w:after="0" w:line="360" w:lineRule="auto"/>
              <w:rPr>
                <w:lang w:eastAsia="zh-CN"/>
              </w:rPr>
            </w:pPr>
            <w:r>
              <w:rPr>
                <w:sz w:val="20"/>
                <w:lang w:eastAsia="zh-CN"/>
              </w:rPr>
              <w:t>氯虫苯甲酰胺、氰虫酰胺</w:t>
            </w:r>
          </w:p>
        </w:tc>
        <w:tc>
          <w:tcPr>
            <w:tcW w:w="1235" w:type="dxa"/>
          </w:tcPr>
          <w:p w14:paraId="6ECDF533">
            <w:pPr>
              <w:spacing w:after="0" w:line="360" w:lineRule="auto"/>
            </w:pPr>
            <w:r>
              <w:rPr>
                <w:sz w:val="20"/>
              </w:rPr>
              <w:t>CRISPR knockin、生物测定</w:t>
            </w:r>
          </w:p>
        </w:tc>
        <w:tc>
          <w:tcPr>
            <w:tcW w:w="1235" w:type="dxa"/>
          </w:tcPr>
          <w:p w14:paraId="6E44916C">
            <w:pPr>
              <w:spacing w:after="0" w:line="360" w:lineRule="auto"/>
            </w:pPr>
            <w:r>
              <w:rPr>
                <w:sz w:val="20"/>
              </w:rPr>
              <w:t>高</w:t>
            </w:r>
          </w:p>
        </w:tc>
        <w:tc>
          <w:tcPr>
            <w:tcW w:w="1235" w:type="dxa"/>
          </w:tcPr>
          <w:p w14:paraId="578BCBA7">
            <w:pPr>
              <w:spacing w:after="0" w:line="360" w:lineRule="auto"/>
            </w:pPr>
            <w:r>
              <w:rPr>
                <w:sz w:val="20"/>
              </w:rPr>
              <w:t>[33,91]</w:t>
            </w:r>
          </w:p>
        </w:tc>
      </w:tr>
    </w:tbl>
    <w:p w14:paraId="7E59892C">
      <w:pPr>
        <w:spacing w:before="120" w:after="120" w:line="360" w:lineRule="auto"/>
      </w:pPr>
    </w:p>
    <w:p w14:paraId="4BF04642">
      <w:pPr>
        <w:pStyle w:val="4"/>
        <w:spacing w:line="360" w:lineRule="auto"/>
        <w:rPr>
          <w:color w:val="auto"/>
          <w:lang w:eastAsia="zh-CN"/>
        </w:rPr>
      </w:pPr>
      <w:r>
        <w:rPr>
          <w:rFonts w:ascii="Times New Roman" w:hAnsi="Times New Roman" w:eastAsia="宋体"/>
          <w:color w:val="auto"/>
          <w:sz w:val="28"/>
          <w:lang w:eastAsia="zh-CN"/>
        </w:rPr>
        <w:t>6. 抗性演化、监测指标与靶标优先级重估</w:t>
      </w:r>
    </w:p>
    <w:p w14:paraId="5BC433C2">
      <w:pPr>
        <w:spacing w:after="80" w:line="360" w:lineRule="auto"/>
        <w:ind w:firstLine="420"/>
        <w:rPr>
          <w:lang w:eastAsia="zh-CN"/>
        </w:rPr>
      </w:pPr>
      <w:r>
        <w:rPr>
          <w:lang w:eastAsia="zh-CN"/>
        </w:rPr>
        <w:t>本章的任务是将前述分散的靶标位点证据整合为一个统一的监测框架，并在此基础上对各靶标的监测优先级和管理意义进行重估。核心论点有三：第一，靶标位点突变的解释力是有限的，非靶标机制（代谢、转运、共生菌）在多数田间抗性种群中同样不可忽视；第二，不同靶标的分子标记在检测可行性、田间频率动态和交叉抗性预测能力上存在显著差异，应按证据等级分级纳入监测panel；第三，靶标优先级的判断不应仅基于当前抗性现状，还需考虑新药开发空间和未来选择压力。</w:t>
      </w:r>
      <w:r>
        <w:rPr>
          <w:sz w:val="18"/>
          <w:vertAlign w:val="superscript"/>
          <w:lang w:eastAsia="zh-CN"/>
        </w:rPr>
        <w:t>[4,9,93,30]</w:t>
      </w:r>
    </w:p>
    <w:p w14:paraId="110274E4">
      <w:pPr>
        <w:pStyle w:val="5"/>
        <w:spacing w:line="360" w:lineRule="auto"/>
        <w:rPr>
          <w:color w:val="auto"/>
          <w:lang w:eastAsia="zh-CN"/>
        </w:rPr>
      </w:pPr>
      <w:r>
        <w:rPr>
          <w:rFonts w:ascii="Times New Roman" w:hAnsi="Times New Roman" w:eastAsia="宋体"/>
          <w:color w:val="auto"/>
          <w:lang w:eastAsia="zh-CN"/>
        </w:rPr>
        <w:t>6.1 建议整合的分子标记panel</w:t>
      </w:r>
    </w:p>
    <w:p w14:paraId="264B1962">
      <w:pPr>
        <w:spacing w:after="80" w:line="360" w:lineRule="auto"/>
        <w:ind w:firstLine="420"/>
        <w:rPr>
          <w:lang w:eastAsia="zh-CN"/>
        </w:rPr>
      </w:pPr>
      <w:r>
        <w:rPr>
          <w:lang w:eastAsia="zh-CN"/>
        </w:rPr>
        <w:t>基于前述各章节的证据综合，本文建议将以下六个基因座的分子变异纳入小菜蛾神经靶标标准化监测panel：</w:t>
      </w:r>
    </w:p>
    <w:p w14:paraId="2A19942D">
      <w:pPr>
        <w:spacing w:after="80" w:line="360" w:lineRule="auto"/>
        <w:ind w:firstLine="420"/>
        <w:rPr>
          <w:lang w:eastAsia="zh-CN"/>
        </w:rPr>
      </w:pPr>
      <w:r>
        <w:rPr>
          <w:b/>
          <w:i/>
          <w:lang w:eastAsia="zh-CN"/>
        </w:rPr>
        <w:t>Pxace1</w:t>
      </w:r>
      <w:r>
        <w:rPr>
          <w:b/>
          <w:lang w:eastAsia="zh-CN"/>
        </w:rPr>
        <w:t>替换。</w:t>
      </w:r>
      <w:r>
        <w:rPr>
          <w:lang w:eastAsia="zh-CN"/>
        </w:rPr>
        <w:t xml:space="preserve"> AChE1活性中心周边的氨基酸替换是有机磷/氨基甲酸酯类靶标位点抗性的经典标记。Lin等（2017）证明相关替换在台湾种群中具有遗传稳定性，</w:t>
      </w:r>
      <w:r>
        <w:rPr>
          <w:sz w:val="18"/>
          <w:vertAlign w:val="superscript"/>
          <w:lang w:eastAsia="zh-CN"/>
        </w:rPr>
        <w:t>[32]</w:t>
      </w:r>
      <w:r>
        <w:rPr>
          <w:lang w:eastAsia="zh-CN"/>
        </w:rPr>
        <w:t xml:space="preserve"> Zolfaghari等（2024）的结构建模进一步解析了不同替换对结合能的影响。</w:t>
      </w:r>
      <w:r>
        <w:rPr>
          <w:sz w:val="18"/>
          <w:vertAlign w:val="superscript"/>
          <w:lang w:eastAsia="zh-CN"/>
        </w:rPr>
        <w:t>[38]</w:t>
      </w:r>
      <w:r>
        <w:rPr>
          <w:lang w:eastAsia="zh-CN"/>
        </w:rPr>
        <w:t xml:space="preserve"> 该标记的监测价值主要体现在有机磷类仍在使用的地区，检测方法（等位基因特异性PCR）相对成熟。</w:t>
      </w:r>
    </w:p>
    <w:p w14:paraId="32565871">
      <w:pPr>
        <w:spacing w:after="80" w:line="360" w:lineRule="auto"/>
        <w:ind w:firstLine="420"/>
        <w:rPr>
          <w:lang w:eastAsia="zh-CN"/>
        </w:rPr>
      </w:pPr>
      <w:r>
        <w:rPr>
          <w:b/>
          <w:i/>
          <w:lang w:eastAsia="zh-CN"/>
        </w:rPr>
        <w:t>Pxalpha6</w:t>
      </w:r>
      <w:r>
        <w:rPr>
          <w:b/>
          <w:lang w:eastAsia="zh-CN"/>
        </w:rPr>
        <w:t>错误剪接/终止密码子/TM4缺失。</w:t>
      </w:r>
      <w:r>
        <w:rPr>
          <w:lang w:eastAsia="zh-CN"/>
        </w:rPr>
        <w:t xml:space="preserve"> 这是多杀菌素靶标位点抗性的核心标记，因果证据最强。</w:t>
      </w:r>
      <w:r>
        <w:rPr>
          <w:sz w:val="18"/>
          <w:vertAlign w:val="superscript"/>
          <w:lang w:eastAsia="zh-CN"/>
        </w:rPr>
        <w:t>[13,37,28]</w:t>
      </w:r>
      <w:r>
        <w:rPr>
          <w:lang w:eastAsia="zh-CN"/>
        </w:rPr>
        <w:t xml:space="preserve"> 错误剪接和截短转录本的检测需要RT-PCR，TM4缺失可通过基因组PCR检测，两种方法均已在文献中有详细描述。该标记在多杀菌素使用压力较大的地区（东南亚、中国南方）具有最高的监测优先级。</w:t>
      </w:r>
    </w:p>
    <w:p w14:paraId="358BB594">
      <w:pPr>
        <w:spacing w:after="80" w:line="360" w:lineRule="auto"/>
        <w:ind w:firstLine="420"/>
        <w:rPr>
          <w:lang w:eastAsia="zh-CN"/>
        </w:rPr>
      </w:pPr>
      <w:r>
        <w:rPr>
          <w:b/>
          <w:i/>
          <w:lang w:eastAsia="zh-CN"/>
        </w:rPr>
        <w:t>PxRdl</w:t>
      </w:r>
      <w:r>
        <w:rPr>
          <w:b/>
          <w:lang w:eastAsia="zh-CN"/>
        </w:rPr>
        <w:t>亚型差异。</w:t>
      </w:r>
      <w:r>
        <w:rPr>
          <w:lang w:eastAsia="zh-CN"/>
        </w:rPr>
        <w:t xml:space="preserve"> 小菜蛾双RDL亚型（PxRDL1/PxRDL2）的功能分化使经典A2'位点突变的监测需要区分亚型来源。</w:t>
      </w:r>
      <w:r>
        <w:rPr>
          <w:sz w:val="18"/>
          <w:vertAlign w:val="superscript"/>
          <w:lang w:eastAsia="zh-CN"/>
        </w:rPr>
        <w:t>[53,54]</w:t>
      </w:r>
      <w:r>
        <w:rPr>
          <w:lang w:eastAsia="zh-CN"/>
        </w:rPr>
        <w:t xml:space="preserve"> 间位酰胺类的推广使RDL靶标位点监测的实践价值上升，建议在新型GABA化学使用地区同步开展亚型特异性检测。</w:t>
      </w:r>
    </w:p>
    <w:p w14:paraId="4BC1B007">
      <w:pPr>
        <w:spacing w:after="80" w:line="360" w:lineRule="auto"/>
        <w:ind w:firstLine="420"/>
        <w:rPr>
          <w:lang w:eastAsia="zh-CN"/>
        </w:rPr>
      </w:pPr>
      <w:r>
        <w:rPr>
          <w:b/>
          <w:i/>
          <w:lang w:eastAsia="zh-CN"/>
        </w:rPr>
        <w:t>PxGluCl</w:t>
      </w:r>
      <w:r>
        <w:rPr>
          <w:b/>
          <w:lang w:eastAsia="zh-CN"/>
        </w:rPr>
        <w:t xml:space="preserve"> A309V / G315E / 外显子9变体 / V263I。</w:t>
      </w:r>
      <w:r>
        <w:rPr>
          <w:lang w:eastAsia="zh-CN"/>
        </w:rPr>
        <w:t xml:space="preserve"> 这四个分子变异共同构成阿维菌素类靶标位点抗性的分子图谱，均有功能验证。</w:t>
      </w:r>
      <w:r>
        <w:rPr>
          <w:sz w:val="18"/>
          <w:vertAlign w:val="superscript"/>
          <w:lang w:eastAsia="zh-CN"/>
        </w:rPr>
        <w:t>[23,55,56,57]</w:t>
      </w:r>
      <w:r>
        <w:rPr>
          <w:lang w:eastAsia="zh-CN"/>
        </w:rPr>
        <w:t xml:space="preserve"> 建议优先监测A309V和V263I（点突变，检测简便），外显子9剪接变体作为补充指标。</w:t>
      </w:r>
    </w:p>
    <w:p w14:paraId="608ADE66">
      <w:pPr>
        <w:spacing w:after="80" w:line="360" w:lineRule="auto"/>
        <w:ind w:firstLine="420"/>
        <w:rPr>
          <w:lang w:eastAsia="zh-CN"/>
        </w:rPr>
      </w:pPr>
      <w:r>
        <w:rPr>
          <w:b/>
          <w:i/>
          <w:lang w:eastAsia="zh-CN"/>
        </w:rPr>
        <w:t>PxNa</w:t>
      </w:r>
      <w:r>
        <w:rPr>
          <w:sz w:val="18"/>
          <w:vertAlign w:val="subscript"/>
          <w:lang w:eastAsia="zh-CN"/>
        </w:rPr>
        <w:t>v</w:t>
      </w:r>
      <w:r>
        <w:rPr>
          <w:b/>
          <w:lang w:eastAsia="zh-CN"/>
        </w:rPr>
        <w:t xml:space="preserve"> F1845Y / V1848I。</w:t>
      </w:r>
      <w:r>
        <w:rPr>
          <w:lang w:eastAsia="zh-CN"/>
        </w:rPr>
        <w:t xml:space="preserve"> 这两个突变是小菜蛾SCBI靶标位点抗性的特异性标记，</w:t>
      </w:r>
      <w:r>
        <w:rPr>
          <w:sz w:val="18"/>
          <w:vertAlign w:val="superscript"/>
          <w:lang w:eastAsia="zh-CN"/>
        </w:rPr>
        <w:t>[29]</w:t>
      </w:r>
      <w:r>
        <w:rPr>
          <w:lang w:eastAsia="zh-CN"/>
        </w:rPr>
        <w:t xml:space="preserve"> 在茚虫威和氰氟虫腙使用压力较大的地区具有监测价值。kdr类突变（拟除虫菊酯类相关）可作为补充指标，但其与代谢抗性的相对贡献需结合表型数据综合判断。</w:t>
      </w:r>
    </w:p>
    <w:p w14:paraId="4A82D16F">
      <w:pPr>
        <w:spacing w:after="80" w:line="360" w:lineRule="auto"/>
        <w:ind w:firstLine="420"/>
        <w:rPr>
          <w:lang w:eastAsia="zh-CN"/>
        </w:rPr>
      </w:pPr>
      <w:r>
        <w:rPr>
          <w:b/>
          <w:i/>
          <w:lang w:eastAsia="zh-CN"/>
        </w:rPr>
        <w:t>PxRyR</w:t>
      </w:r>
      <w:r>
        <w:rPr>
          <w:b/>
          <w:lang w:eastAsia="zh-CN"/>
        </w:rPr>
        <w:t xml:space="preserve"> G4946E / I4790M / I4790K。</w:t>
      </w:r>
      <w:r>
        <w:rPr>
          <w:lang w:eastAsia="zh-CN"/>
        </w:rPr>
        <w:t xml:space="preserve"> 这三个突变是双酰胺类靶标位点抗性的核心标记，均有CRISPR功能验证或稳定表达系统支持，</w:t>
      </w:r>
      <w:r>
        <w:rPr>
          <w:sz w:val="18"/>
          <w:vertAlign w:val="superscript"/>
          <w:lang w:eastAsia="zh-CN"/>
        </w:rPr>
        <w:t>[27,88,33,90,91]</w:t>
      </w:r>
      <w:r>
        <w:rPr>
          <w:lang w:eastAsia="zh-CN"/>
        </w:rPr>
        <w:t xml:space="preserve"> 且已在全球多个地区的田间种群中检出。</w:t>
      </w:r>
      <w:r>
        <w:rPr>
          <w:sz w:val="18"/>
          <w:vertAlign w:val="superscript"/>
          <w:lang w:eastAsia="zh-CN"/>
        </w:rPr>
        <w:t>[30]</w:t>
      </w:r>
      <w:r>
        <w:rPr>
          <w:lang w:eastAsia="zh-CN"/>
        </w:rPr>
        <w:t xml:space="preserve"> 建议将G4946E作为一级监测标记，I4790M和I4790K作为二级标记，三者联合检测可覆盖当前已知的主要抗性等位基因。</w:t>
      </w:r>
    </w:p>
    <w:p w14:paraId="17A97C1F">
      <w:pPr>
        <w:pStyle w:val="5"/>
        <w:spacing w:line="360" w:lineRule="auto"/>
        <w:rPr>
          <w:color w:val="auto"/>
          <w:lang w:eastAsia="zh-CN"/>
        </w:rPr>
      </w:pPr>
      <w:r>
        <w:rPr>
          <w:rFonts w:ascii="Times New Roman" w:hAnsi="Times New Roman" w:eastAsia="宋体"/>
          <w:color w:val="auto"/>
          <w:lang w:eastAsia="zh-CN"/>
        </w:rPr>
        <w:t>6.2 非靶标机制的对照意义</w:t>
      </w:r>
    </w:p>
    <w:p w14:paraId="5C0B8135">
      <w:pPr>
        <w:spacing w:after="80" w:line="360" w:lineRule="auto"/>
        <w:ind w:firstLine="420"/>
        <w:rPr>
          <w:lang w:eastAsia="zh-CN"/>
        </w:rPr>
      </w:pPr>
      <w:r>
        <w:rPr>
          <w:lang w:eastAsia="zh-CN"/>
        </w:rPr>
        <w:t>如果综述只罗列靶标位点突变，将系统性高估靶标位点机制对田间抗性的解释力。在小菜蛾的多个药剂体系中，非靶标机制均有明确证据：在双酰胺类体系中，Mallott等（2019）发现FMO可对氯虫苯甲酰胺进行氧化代谢，在部分抗性种群中，代谢机制与RyR靶标位点突变共存，两者协同决定抗性水平；</w:t>
      </w:r>
      <w:r>
        <w:rPr>
          <w:sz w:val="18"/>
          <w:vertAlign w:val="superscript"/>
          <w:lang w:eastAsia="zh-CN"/>
        </w:rPr>
        <w:t>[89]</w:t>
      </w:r>
      <w:r>
        <w:rPr>
          <w:lang w:eastAsia="zh-CN"/>
        </w:rPr>
        <w:t xml:space="preserve"> 在阿维菌素类体系中，P450介导的代谢抗性在低至中等抗性种群中往往占主导，靶标位点突变（A309V等）在高抗性种群中才显现出较高频率；</w:t>
      </w:r>
      <w:r>
        <w:rPr>
          <w:sz w:val="18"/>
          <w:vertAlign w:val="superscript"/>
          <w:lang w:eastAsia="zh-CN"/>
        </w:rPr>
        <w:t>[58]</w:t>
      </w:r>
      <w:r>
        <w:rPr>
          <w:lang w:eastAsia="zh-CN"/>
        </w:rPr>
        <w:t xml:space="preserve"> 在拟除虫菊酯类体系中，P450过表达与kdr突变的共存已有充分记录，单纯依赖kdr检测会低估代谢机制的贡献。</w:t>
      </w:r>
      <w:r>
        <w:rPr>
          <w:sz w:val="18"/>
          <w:vertAlign w:val="superscript"/>
          <w:lang w:eastAsia="zh-CN"/>
        </w:rPr>
        <w:t>[75]</w:t>
      </w:r>
      <w:r>
        <w:rPr>
          <w:lang w:eastAsia="zh-CN"/>
        </w:rPr>
        <w:t xml:space="preserve"> 上述证据共同表明，靶标位点监测panel应与代谢抗性标记联合使用，才能对田间抗性机制作出全面评估。</w:t>
      </w:r>
    </w:p>
    <w:p w14:paraId="4068C730">
      <w:pPr>
        <w:pStyle w:val="5"/>
        <w:spacing w:line="360" w:lineRule="auto"/>
        <w:rPr>
          <w:color w:val="auto"/>
        </w:rPr>
      </w:pPr>
      <w:r>
        <w:rPr>
          <w:rFonts w:ascii="Times New Roman" w:hAnsi="Times New Roman" w:eastAsia="宋体"/>
          <w:color w:val="auto"/>
        </w:rPr>
        <w:t>6.3 推荐的监测优先级</w:t>
      </w:r>
    </w:p>
    <w:p w14:paraId="0EAE5CB9">
      <w:pPr>
        <w:spacing w:after="80" w:line="360" w:lineRule="auto"/>
        <w:ind w:firstLine="420"/>
        <w:rPr>
          <w:lang w:eastAsia="zh-CN"/>
        </w:rPr>
      </w:pPr>
      <w:r>
        <w:rPr>
          <w:b/>
        </w:rPr>
        <w:t>一级（优先纳入常规监测）：</w:t>
      </w:r>
      <w:r>
        <w:t xml:space="preserve"> RyR（G4946E、I4790M、I4790K）、GluCl（A309V、V263I）、nAChR α6（错误剪接/TM4缺失）、Na</w:t>
      </w:r>
      <w:r>
        <w:rPr>
          <w:sz w:val="18"/>
          <w:vertAlign w:val="subscript"/>
        </w:rPr>
        <w:t>v</w:t>
      </w:r>
      <w:r>
        <w:t>（F1845Y、V1848I）。</w:t>
      </w:r>
      <w:r>
        <w:rPr>
          <w:lang w:eastAsia="zh-CN"/>
        </w:rPr>
        <w:t>这四个靶标的分子标记均有功能验证，检测方法成熟，且与当前主流药剂类别直接对应。</w:t>
      </w:r>
      <w:r>
        <w:rPr>
          <w:sz w:val="18"/>
          <w:vertAlign w:val="superscript"/>
          <w:lang w:eastAsia="zh-CN"/>
        </w:rPr>
        <w:t>[13,28,23,57,29,27,88,33]</w:t>
      </w:r>
    </w:p>
    <w:p w14:paraId="5227E858">
      <w:pPr>
        <w:spacing w:after="80" w:line="360" w:lineRule="auto"/>
        <w:ind w:firstLine="420"/>
        <w:rPr>
          <w:lang w:eastAsia="zh-CN"/>
        </w:rPr>
      </w:pPr>
      <w:r>
        <w:rPr>
          <w:b/>
          <w:lang w:eastAsia="zh-CN"/>
        </w:rPr>
        <w:t>二级（在特定地区或药剂压力下纳入）：</w:t>
      </w:r>
      <w:r>
        <w:rPr>
          <w:lang w:eastAsia="zh-CN"/>
        </w:rPr>
        <w:t xml:space="preserve"> AChE1替换（有机磷类使用地区）、RDL亚型差异（间位酰胺类使用地区）、GluCl外显子9剪接变体（阿维菌素高抗性种群）。这些标记的监测价值具有地区特异性，建议根据当地用药历史和抗性表型数据决定是否纳入。</w:t>
      </w:r>
      <w:r>
        <w:rPr>
          <w:sz w:val="18"/>
          <w:vertAlign w:val="superscript"/>
          <w:lang w:eastAsia="zh-CN"/>
        </w:rPr>
        <w:t>[32,53,54,56]</w:t>
      </w:r>
    </w:p>
    <w:p w14:paraId="60094837">
      <w:pPr>
        <w:spacing w:after="80" w:line="360" w:lineRule="auto"/>
        <w:ind w:firstLine="420"/>
        <w:rPr>
          <w:lang w:eastAsia="zh-CN"/>
        </w:rPr>
      </w:pPr>
      <w:r>
        <w:rPr>
          <w:b/>
          <w:lang w:eastAsia="zh-CN"/>
        </w:rPr>
        <w:t>三级（研究性监测，暂不推荐常规应用）：</w:t>
      </w:r>
      <w:r>
        <w:rPr>
          <w:lang w:eastAsia="zh-CN"/>
        </w:rPr>
        <w:t xml:space="preserve"> 新兴GPCR候选靶标（TAR1、Octbeta3）相关变异。目前尚无田间抗性证据，但随着生物胺类药剂的潜在开发，建立基线数据具有前瞻性价值。</w:t>
      </w:r>
      <w:r>
        <w:rPr>
          <w:sz w:val="18"/>
          <w:vertAlign w:val="superscript"/>
          <w:lang w:eastAsia="zh-CN"/>
        </w:rPr>
        <w:t>[18,19,94]</w:t>
      </w:r>
    </w:p>
    <w:p w14:paraId="5F24546C">
      <w:pPr>
        <w:pStyle w:val="5"/>
        <w:spacing w:line="360" w:lineRule="auto"/>
        <w:rPr>
          <w:color w:val="auto"/>
          <w:lang w:eastAsia="zh-CN"/>
        </w:rPr>
      </w:pPr>
      <w:r>
        <w:rPr>
          <w:rFonts w:ascii="Times New Roman" w:hAnsi="Times New Roman" w:eastAsia="宋体"/>
          <w:color w:val="auto"/>
          <w:lang w:eastAsia="zh-CN"/>
        </w:rPr>
        <w:t>6.4 靶标优先级评分框架</w:t>
      </w:r>
    </w:p>
    <w:p w14:paraId="0FC7A966">
      <w:pPr>
        <w:spacing w:after="80" w:line="360" w:lineRule="auto"/>
        <w:ind w:firstLine="420"/>
        <w:rPr>
          <w:lang w:eastAsia="zh-CN"/>
        </w:rPr>
      </w:pPr>
      <w:r>
        <w:rPr>
          <w:lang w:eastAsia="zh-CN"/>
        </w:rPr>
        <w:t>为使靶标优先级判断更具可操作性，本文建议以五个问题组织评分：（1）是否有小菜蛾直接功能证据？（2）是否已发现稳定的靶标位点突变或异常剪接？（3）是否能解释跨药剂类别表型（交叉抗性）？（4）是否适合作为分子监测标记（检测简便、频率可追踪）？（5）是否仍具备新药研发空间？</w:t>
      </w:r>
      <w:r>
        <w:rPr>
          <w:sz w:val="18"/>
          <w:vertAlign w:val="superscript"/>
          <w:lang w:eastAsia="zh-CN"/>
        </w:rPr>
        <w:t>[9,93]</w:t>
      </w:r>
    </w:p>
    <w:p w14:paraId="79BA72B0">
      <w:pPr>
        <w:spacing w:after="80" w:line="360" w:lineRule="auto"/>
        <w:ind w:firstLine="420"/>
        <w:rPr>
          <w:lang w:eastAsia="zh-CN"/>
        </w:rPr>
      </w:pPr>
      <w:r>
        <w:rPr>
          <w:lang w:eastAsia="zh-CN"/>
        </w:rPr>
        <w:t xml:space="preserve">按此框架，RyR和GluCl在五个维度上均得分较高，是当前监测和管理的核心靶标；nAChR </w:t>
      </w:r>
      <w:r>
        <w:t>α</w:t>
      </w:r>
      <w:r>
        <w:rPr>
          <w:lang w:eastAsia="zh-CN"/>
        </w:rPr>
        <w:t>6在前四个维度得分高，但新药开发空间相对有限；Na</w:t>
      </w:r>
      <w:r>
        <w:rPr>
          <w:sz w:val="18"/>
          <w:vertAlign w:val="subscript"/>
          <w:lang w:eastAsia="zh-CN"/>
        </w:rPr>
        <w:t>v</w:t>
      </w:r>
      <w:r>
        <w:rPr>
          <w:lang w:eastAsia="zh-CN"/>
        </w:rPr>
        <w:t>在维度（1）（2）（4）得分中等，在维度（3）（5）上仍有潜力；AChE1和RDL亚型在维度（1）（2）得分中等，整体优先级低于前三者；新兴GPCR靶标在维度（5）得分最高，但前四个维度的证据尚不充分。</w:t>
      </w:r>
    </w:p>
    <w:p w14:paraId="00CEB277">
      <w:pPr>
        <w:spacing w:line="360" w:lineRule="auto"/>
        <w:rPr>
          <w:lang w:eastAsia="zh-CN"/>
        </w:rPr>
      </w:pPr>
      <w:r>
        <w:rPr>
          <w:i/>
          <w:sz w:val="20"/>
          <w:lang w:eastAsia="zh-CN"/>
        </w:rPr>
        <w:t>Table 4. 小菜蛾神经靶标优先级评分与管理含义</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1081"/>
        <w:gridCol w:w="1133"/>
        <w:gridCol w:w="1081"/>
        <w:gridCol w:w="1081"/>
        <w:gridCol w:w="1081"/>
        <w:gridCol w:w="1081"/>
        <w:gridCol w:w="1550"/>
      </w:tblGrid>
      <w:tr w14:paraId="1482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14A141B2">
            <w:pPr>
              <w:spacing w:after="0" w:line="360" w:lineRule="auto"/>
            </w:pPr>
            <w:r>
              <w:rPr>
                <w:b/>
                <w:sz w:val="20"/>
              </w:rPr>
              <w:t>靶标</w:t>
            </w:r>
          </w:p>
        </w:tc>
        <w:tc>
          <w:tcPr>
            <w:tcW w:w="1081" w:type="dxa"/>
          </w:tcPr>
          <w:p w14:paraId="09620191">
            <w:pPr>
              <w:spacing w:after="0" w:line="360" w:lineRule="auto"/>
            </w:pPr>
            <w:r>
              <w:rPr>
                <w:b/>
                <w:sz w:val="20"/>
              </w:rPr>
              <w:t>直接功能证据</w:t>
            </w:r>
          </w:p>
        </w:tc>
        <w:tc>
          <w:tcPr>
            <w:tcW w:w="1081" w:type="dxa"/>
          </w:tcPr>
          <w:p w14:paraId="0FE2C3A0">
            <w:pPr>
              <w:spacing w:after="0" w:line="360" w:lineRule="auto"/>
            </w:pPr>
            <w:r>
              <w:rPr>
                <w:b/>
                <w:sz w:val="20"/>
              </w:rPr>
              <w:t>稳定靶标位点变异</w:t>
            </w:r>
          </w:p>
        </w:tc>
        <w:tc>
          <w:tcPr>
            <w:tcW w:w="1081" w:type="dxa"/>
          </w:tcPr>
          <w:p w14:paraId="097785D7">
            <w:pPr>
              <w:spacing w:after="0" w:line="360" w:lineRule="auto"/>
            </w:pPr>
            <w:r>
              <w:rPr>
                <w:b/>
                <w:sz w:val="20"/>
              </w:rPr>
              <w:t>交叉抗性解释力</w:t>
            </w:r>
          </w:p>
        </w:tc>
        <w:tc>
          <w:tcPr>
            <w:tcW w:w="1081" w:type="dxa"/>
          </w:tcPr>
          <w:p w14:paraId="4956477C">
            <w:pPr>
              <w:spacing w:after="0" w:line="360" w:lineRule="auto"/>
            </w:pPr>
            <w:r>
              <w:rPr>
                <w:b/>
                <w:sz w:val="20"/>
              </w:rPr>
              <w:t>监测可行性</w:t>
            </w:r>
          </w:p>
        </w:tc>
        <w:tc>
          <w:tcPr>
            <w:tcW w:w="1081" w:type="dxa"/>
          </w:tcPr>
          <w:p w14:paraId="0E012EFD">
            <w:pPr>
              <w:spacing w:after="0" w:line="360" w:lineRule="auto"/>
            </w:pPr>
            <w:r>
              <w:rPr>
                <w:b/>
                <w:sz w:val="20"/>
              </w:rPr>
              <w:t>新药开发空间</w:t>
            </w:r>
          </w:p>
        </w:tc>
        <w:tc>
          <w:tcPr>
            <w:tcW w:w="1081" w:type="dxa"/>
          </w:tcPr>
          <w:p w14:paraId="5E744DEA">
            <w:pPr>
              <w:spacing w:after="0" w:line="360" w:lineRule="auto"/>
            </w:pPr>
            <w:r>
              <w:rPr>
                <w:b/>
                <w:sz w:val="20"/>
              </w:rPr>
              <w:t>综合优先级</w:t>
            </w:r>
          </w:p>
        </w:tc>
        <w:tc>
          <w:tcPr>
            <w:tcW w:w="1081" w:type="dxa"/>
          </w:tcPr>
          <w:p w14:paraId="2EDDF814">
            <w:pPr>
              <w:spacing w:after="0" w:line="360" w:lineRule="auto"/>
            </w:pPr>
            <w:r>
              <w:rPr>
                <w:b/>
                <w:sz w:val="20"/>
              </w:rPr>
              <w:t>代表文献</w:t>
            </w:r>
          </w:p>
        </w:tc>
      </w:tr>
      <w:tr w14:paraId="6CCF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7D6E55BA">
            <w:pPr>
              <w:spacing w:after="0" w:line="360" w:lineRule="auto"/>
            </w:pPr>
            <w:r>
              <w:rPr>
                <w:sz w:val="20"/>
              </w:rPr>
              <w:t>RyR</w:t>
            </w:r>
          </w:p>
        </w:tc>
        <w:tc>
          <w:tcPr>
            <w:tcW w:w="1081" w:type="dxa"/>
          </w:tcPr>
          <w:p w14:paraId="0CDBCD97">
            <w:pPr>
              <w:spacing w:after="0" w:line="360" w:lineRule="auto"/>
            </w:pPr>
            <w:r>
              <w:rPr>
                <w:sz w:val="20"/>
              </w:rPr>
              <w:t>高</w:t>
            </w:r>
          </w:p>
        </w:tc>
        <w:tc>
          <w:tcPr>
            <w:tcW w:w="1081" w:type="dxa"/>
          </w:tcPr>
          <w:p w14:paraId="676AC7A2">
            <w:pPr>
              <w:spacing w:after="0" w:line="360" w:lineRule="auto"/>
            </w:pPr>
            <w:r>
              <w:rPr>
                <w:sz w:val="20"/>
              </w:rPr>
              <w:t>高（G4946E, I4790M, I4790K）</w:t>
            </w:r>
          </w:p>
        </w:tc>
        <w:tc>
          <w:tcPr>
            <w:tcW w:w="1081" w:type="dxa"/>
          </w:tcPr>
          <w:p w14:paraId="06799162">
            <w:pPr>
              <w:spacing w:after="0" w:line="360" w:lineRule="auto"/>
            </w:pPr>
            <w:r>
              <w:rPr>
                <w:sz w:val="20"/>
              </w:rPr>
              <w:t>中（双酰胺类内部）</w:t>
            </w:r>
          </w:p>
        </w:tc>
        <w:tc>
          <w:tcPr>
            <w:tcW w:w="1081" w:type="dxa"/>
          </w:tcPr>
          <w:p w14:paraId="00CB15ED">
            <w:pPr>
              <w:spacing w:after="0" w:line="360" w:lineRule="auto"/>
            </w:pPr>
            <w:r>
              <w:rPr>
                <w:sz w:val="20"/>
              </w:rPr>
              <w:t>高</w:t>
            </w:r>
          </w:p>
        </w:tc>
        <w:tc>
          <w:tcPr>
            <w:tcW w:w="1081" w:type="dxa"/>
          </w:tcPr>
          <w:p w14:paraId="0A14D6DB">
            <w:pPr>
              <w:spacing w:after="0" w:line="360" w:lineRule="auto"/>
              <w:rPr>
                <w:lang w:eastAsia="zh-CN"/>
              </w:rPr>
            </w:pPr>
            <w:r>
              <w:rPr>
                <w:sz w:val="20"/>
                <w:lang w:eastAsia="zh-CN"/>
              </w:rPr>
              <w:t>中（结构生物学驱动）</w:t>
            </w:r>
          </w:p>
        </w:tc>
        <w:tc>
          <w:tcPr>
            <w:tcW w:w="1081" w:type="dxa"/>
          </w:tcPr>
          <w:p w14:paraId="5C83340C">
            <w:pPr>
              <w:spacing w:after="0" w:line="360" w:lineRule="auto"/>
            </w:pPr>
            <w:r>
              <w:rPr>
                <w:b/>
                <w:sz w:val="20"/>
              </w:rPr>
              <w:t>一级</w:t>
            </w:r>
          </w:p>
        </w:tc>
        <w:tc>
          <w:tcPr>
            <w:tcW w:w="1081" w:type="dxa"/>
          </w:tcPr>
          <w:p w14:paraId="3070A74F">
            <w:pPr>
              <w:spacing w:after="0" w:line="360" w:lineRule="auto"/>
            </w:pPr>
            <w:r>
              <w:rPr>
                <w:sz w:val="20"/>
              </w:rPr>
              <w:t>[27,88,33,90,91]</w:t>
            </w:r>
          </w:p>
        </w:tc>
      </w:tr>
      <w:tr w14:paraId="76172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691FF880">
            <w:pPr>
              <w:spacing w:after="0" w:line="360" w:lineRule="auto"/>
            </w:pPr>
            <w:r>
              <w:rPr>
                <w:sz w:val="20"/>
              </w:rPr>
              <w:t>GluCl</w:t>
            </w:r>
          </w:p>
        </w:tc>
        <w:tc>
          <w:tcPr>
            <w:tcW w:w="1081" w:type="dxa"/>
          </w:tcPr>
          <w:p w14:paraId="0A8D4881">
            <w:pPr>
              <w:spacing w:after="0" w:line="360" w:lineRule="auto"/>
            </w:pPr>
            <w:r>
              <w:rPr>
                <w:sz w:val="20"/>
              </w:rPr>
              <w:t>高</w:t>
            </w:r>
          </w:p>
        </w:tc>
        <w:tc>
          <w:tcPr>
            <w:tcW w:w="1081" w:type="dxa"/>
          </w:tcPr>
          <w:p w14:paraId="692335F5">
            <w:pPr>
              <w:spacing w:after="0" w:line="360" w:lineRule="auto"/>
            </w:pPr>
            <w:r>
              <w:rPr>
                <w:sz w:val="20"/>
              </w:rPr>
              <w:t>高（A309V, G315E, V263I, 外显子9）</w:t>
            </w:r>
          </w:p>
        </w:tc>
        <w:tc>
          <w:tcPr>
            <w:tcW w:w="1081" w:type="dxa"/>
          </w:tcPr>
          <w:p w14:paraId="06D9E195">
            <w:pPr>
              <w:spacing w:after="0" w:line="360" w:lineRule="auto"/>
              <w:rPr>
                <w:lang w:eastAsia="zh-CN"/>
              </w:rPr>
            </w:pPr>
            <w:r>
              <w:rPr>
                <w:sz w:val="20"/>
                <w:lang w:eastAsia="zh-CN"/>
              </w:rPr>
              <w:t>中（阿维菌素类内部）</w:t>
            </w:r>
          </w:p>
        </w:tc>
        <w:tc>
          <w:tcPr>
            <w:tcW w:w="1081" w:type="dxa"/>
          </w:tcPr>
          <w:p w14:paraId="6FAFC1FB">
            <w:pPr>
              <w:spacing w:after="0" w:line="360" w:lineRule="auto"/>
            </w:pPr>
            <w:r>
              <w:rPr>
                <w:sz w:val="20"/>
              </w:rPr>
              <w:t>高</w:t>
            </w:r>
          </w:p>
        </w:tc>
        <w:tc>
          <w:tcPr>
            <w:tcW w:w="1081" w:type="dxa"/>
          </w:tcPr>
          <w:p w14:paraId="44B1A482">
            <w:pPr>
              <w:spacing w:after="0" w:line="360" w:lineRule="auto"/>
            </w:pPr>
            <w:r>
              <w:rPr>
                <w:sz w:val="20"/>
              </w:rPr>
              <w:t>中</w:t>
            </w:r>
          </w:p>
        </w:tc>
        <w:tc>
          <w:tcPr>
            <w:tcW w:w="1081" w:type="dxa"/>
          </w:tcPr>
          <w:p w14:paraId="6E00DF79">
            <w:pPr>
              <w:spacing w:after="0" w:line="360" w:lineRule="auto"/>
            </w:pPr>
            <w:r>
              <w:rPr>
                <w:b/>
                <w:sz w:val="20"/>
              </w:rPr>
              <w:t>一级</w:t>
            </w:r>
          </w:p>
        </w:tc>
        <w:tc>
          <w:tcPr>
            <w:tcW w:w="1081" w:type="dxa"/>
          </w:tcPr>
          <w:p w14:paraId="328A1367">
            <w:pPr>
              <w:spacing w:after="0" w:line="360" w:lineRule="auto"/>
            </w:pPr>
            <w:r>
              <w:rPr>
                <w:sz w:val="20"/>
              </w:rPr>
              <w:t>[23,55,56,57]</w:t>
            </w:r>
          </w:p>
        </w:tc>
      </w:tr>
      <w:tr w14:paraId="338E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7127B6B7">
            <w:pPr>
              <w:spacing w:after="0" w:line="360" w:lineRule="auto"/>
            </w:pPr>
            <w:r>
              <w:rPr>
                <w:sz w:val="20"/>
              </w:rPr>
              <w:t>nAChR α6</w:t>
            </w:r>
          </w:p>
        </w:tc>
        <w:tc>
          <w:tcPr>
            <w:tcW w:w="1081" w:type="dxa"/>
          </w:tcPr>
          <w:p w14:paraId="1B999147">
            <w:pPr>
              <w:spacing w:after="0" w:line="360" w:lineRule="auto"/>
            </w:pPr>
            <w:r>
              <w:rPr>
                <w:sz w:val="20"/>
              </w:rPr>
              <w:t>高</w:t>
            </w:r>
          </w:p>
        </w:tc>
        <w:tc>
          <w:tcPr>
            <w:tcW w:w="1081" w:type="dxa"/>
          </w:tcPr>
          <w:p w14:paraId="6D6721F0">
            <w:pPr>
              <w:spacing w:after="0" w:line="360" w:lineRule="auto"/>
              <w:rPr>
                <w:lang w:eastAsia="zh-CN"/>
              </w:rPr>
            </w:pPr>
            <w:r>
              <w:rPr>
                <w:sz w:val="20"/>
                <w:lang w:eastAsia="zh-CN"/>
              </w:rPr>
              <w:t>高（错误剪接, TM4缺失）</w:t>
            </w:r>
          </w:p>
        </w:tc>
        <w:tc>
          <w:tcPr>
            <w:tcW w:w="1081" w:type="dxa"/>
          </w:tcPr>
          <w:p w14:paraId="288DE987">
            <w:pPr>
              <w:spacing w:after="0" w:line="360" w:lineRule="auto"/>
            </w:pPr>
            <w:r>
              <w:rPr>
                <w:sz w:val="20"/>
              </w:rPr>
              <w:t>低（多杀菌素特异）</w:t>
            </w:r>
          </w:p>
        </w:tc>
        <w:tc>
          <w:tcPr>
            <w:tcW w:w="1081" w:type="dxa"/>
          </w:tcPr>
          <w:p w14:paraId="6744A4E6">
            <w:pPr>
              <w:spacing w:after="0" w:line="360" w:lineRule="auto"/>
            </w:pPr>
            <w:r>
              <w:rPr>
                <w:sz w:val="20"/>
              </w:rPr>
              <w:t>高</w:t>
            </w:r>
          </w:p>
        </w:tc>
        <w:tc>
          <w:tcPr>
            <w:tcW w:w="1081" w:type="dxa"/>
          </w:tcPr>
          <w:p w14:paraId="4F7708FC">
            <w:pPr>
              <w:spacing w:after="0" w:line="360" w:lineRule="auto"/>
            </w:pPr>
            <w:r>
              <w:rPr>
                <w:sz w:val="20"/>
              </w:rPr>
              <w:t>低</w:t>
            </w:r>
          </w:p>
        </w:tc>
        <w:tc>
          <w:tcPr>
            <w:tcW w:w="1081" w:type="dxa"/>
          </w:tcPr>
          <w:p w14:paraId="24A087EF">
            <w:pPr>
              <w:spacing w:after="0" w:line="360" w:lineRule="auto"/>
            </w:pPr>
            <w:r>
              <w:rPr>
                <w:b/>
                <w:sz w:val="20"/>
              </w:rPr>
              <w:t>一级</w:t>
            </w:r>
          </w:p>
        </w:tc>
        <w:tc>
          <w:tcPr>
            <w:tcW w:w="1081" w:type="dxa"/>
          </w:tcPr>
          <w:p w14:paraId="3D8BB43D">
            <w:pPr>
              <w:spacing w:after="0" w:line="360" w:lineRule="auto"/>
            </w:pPr>
            <w:r>
              <w:rPr>
                <w:sz w:val="20"/>
              </w:rPr>
              <w:t>[13,37,28]</w:t>
            </w:r>
          </w:p>
        </w:tc>
      </w:tr>
      <w:tr w14:paraId="2D96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7A40D56D">
            <w:pPr>
              <w:spacing w:after="0" w:line="360" w:lineRule="auto"/>
            </w:pPr>
            <w:r>
              <w:rPr>
                <w:sz w:val="20"/>
              </w:rPr>
              <w:t>Na</w:t>
            </w:r>
            <w:r>
              <w:rPr>
                <w:sz w:val="20"/>
                <w:vertAlign w:val="subscript"/>
              </w:rPr>
              <w:t>v</w:t>
            </w:r>
          </w:p>
        </w:tc>
        <w:tc>
          <w:tcPr>
            <w:tcW w:w="1081" w:type="dxa"/>
          </w:tcPr>
          <w:p w14:paraId="2448A412">
            <w:pPr>
              <w:spacing w:after="0" w:line="360" w:lineRule="auto"/>
            </w:pPr>
            <w:r>
              <w:rPr>
                <w:sz w:val="20"/>
              </w:rPr>
              <w:t>中</w:t>
            </w:r>
          </w:p>
        </w:tc>
        <w:tc>
          <w:tcPr>
            <w:tcW w:w="1081" w:type="dxa"/>
          </w:tcPr>
          <w:p w14:paraId="11CB088E">
            <w:pPr>
              <w:spacing w:after="0" w:line="360" w:lineRule="auto"/>
            </w:pPr>
            <w:r>
              <w:rPr>
                <w:sz w:val="20"/>
              </w:rPr>
              <w:t>中（F1845Y, V1848I, kdr）</w:t>
            </w:r>
          </w:p>
        </w:tc>
        <w:tc>
          <w:tcPr>
            <w:tcW w:w="1081" w:type="dxa"/>
          </w:tcPr>
          <w:p w14:paraId="3513E409">
            <w:pPr>
              <w:spacing w:after="0" w:line="360" w:lineRule="auto"/>
              <w:rPr>
                <w:lang w:eastAsia="zh-CN"/>
              </w:rPr>
            </w:pPr>
            <w:r>
              <w:rPr>
                <w:sz w:val="20"/>
                <w:lang w:eastAsia="zh-CN"/>
              </w:rPr>
              <w:t>中（拟除虫菊酯/SCBI）</w:t>
            </w:r>
          </w:p>
        </w:tc>
        <w:tc>
          <w:tcPr>
            <w:tcW w:w="1081" w:type="dxa"/>
          </w:tcPr>
          <w:p w14:paraId="57200CCD">
            <w:pPr>
              <w:spacing w:after="0" w:line="360" w:lineRule="auto"/>
            </w:pPr>
            <w:r>
              <w:rPr>
                <w:sz w:val="20"/>
              </w:rPr>
              <w:t>高</w:t>
            </w:r>
          </w:p>
        </w:tc>
        <w:tc>
          <w:tcPr>
            <w:tcW w:w="1081" w:type="dxa"/>
          </w:tcPr>
          <w:p w14:paraId="03980505">
            <w:pPr>
              <w:spacing w:after="0" w:line="360" w:lineRule="auto"/>
            </w:pPr>
            <w:r>
              <w:rPr>
                <w:sz w:val="20"/>
              </w:rPr>
              <w:t>中</w:t>
            </w:r>
          </w:p>
        </w:tc>
        <w:tc>
          <w:tcPr>
            <w:tcW w:w="1081" w:type="dxa"/>
          </w:tcPr>
          <w:p w14:paraId="7A053D8C">
            <w:pPr>
              <w:spacing w:after="0" w:line="360" w:lineRule="auto"/>
            </w:pPr>
            <w:r>
              <w:rPr>
                <w:b/>
                <w:sz w:val="20"/>
              </w:rPr>
              <w:t>一级</w:t>
            </w:r>
          </w:p>
        </w:tc>
        <w:tc>
          <w:tcPr>
            <w:tcW w:w="1081" w:type="dxa"/>
          </w:tcPr>
          <w:p w14:paraId="36170E8F">
            <w:pPr>
              <w:spacing w:after="0" w:line="360" w:lineRule="auto"/>
            </w:pPr>
            <w:r>
              <w:rPr>
                <w:sz w:val="20"/>
              </w:rPr>
              <w:t>[29,80,25]</w:t>
            </w:r>
          </w:p>
        </w:tc>
      </w:tr>
      <w:tr w14:paraId="65603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7A9EF6D0">
            <w:pPr>
              <w:spacing w:after="0" w:line="360" w:lineRule="auto"/>
            </w:pPr>
            <w:r>
              <w:rPr>
                <w:sz w:val="20"/>
              </w:rPr>
              <w:t>AChE1</w:t>
            </w:r>
          </w:p>
        </w:tc>
        <w:tc>
          <w:tcPr>
            <w:tcW w:w="1081" w:type="dxa"/>
          </w:tcPr>
          <w:p w14:paraId="3F6F85B8">
            <w:pPr>
              <w:spacing w:after="0" w:line="360" w:lineRule="auto"/>
            </w:pPr>
            <w:r>
              <w:rPr>
                <w:sz w:val="20"/>
              </w:rPr>
              <w:t>中</w:t>
            </w:r>
          </w:p>
        </w:tc>
        <w:tc>
          <w:tcPr>
            <w:tcW w:w="1081" w:type="dxa"/>
          </w:tcPr>
          <w:p w14:paraId="3469BCEF">
            <w:pPr>
              <w:spacing w:after="0" w:line="360" w:lineRule="auto"/>
            </w:pPr>
            <w:r>
              <w:rPr>
                <w:sz w:val="20"/>
              </w:rPr>
              <w:t>中（ace1替换）</w:t>
            </w:r>
          </w:p>
        </w:tc>
        <w:tc>
          <w:tcPr>
            <w:tcW w:w="1081" w:type="dxa"/>
          </w:tcPr>
          <w:p w14:paraId="5781F58A">
            <w:pPr>
              <w:spacing w:after="0" w:line="360" w:lineRule="auto"/>
            </w:pPr>
            <w:r>
              <w:rPr>
                <w:sz w:val="20"/>
              </w:rPr>
              <w:t>低</w:t>
            </w:r>
          </w:p>
        </w:tc>
        <w:tc>
          <w:tcPr>
            <w:tcW w:w="1081" w:type="dxa"/>
          </w:tcPr>
          <w:p w14:paraId="2FB58B5F">
            <w:pPr>
              <w:spacing w:after="0" w:line="360" w:lineRule="auto"/>
            </w:pPr>
            <w:r>
              <w:rPr>
                <w:sz w:val="20"/>
              </w:rPr>
              <w:t>高</w:t>
            </w:r>
          </w:p>
        </w:tc>
        <w:tc>
          <w:tcPr>
            <w:tcW w:w="1081" w:type="dxa"/>
          </w:tcPr>
          <w:p w14:paraId="62B085FD">
            <w:pPr>
              <w:spacing w:after="0" w:line="360" w:lineRule="auto"/>
            </w:pPr>
            <w:r>
              <w:rPr>
                <w:sz w:val="20"/>
              </w:rPr>
              <w:t>低</w:t>
            </w:r>
          </w:p>
        </w:tc>
        <w:tc>
          <w:tcPr>
            <w:tcW w:w="1081" w:type="dxa"/>
          </w:tcPr>
          <w:p w14:paraId="291129E1">
            <w:pPr>
              <w:spacing w:after="0" w:line="360" w:lineRule="auto"/>
            </w:pPr>
            <w:r>
              <w:rPr>
                <w:b/>
                <w:sz w:val="20"/>
              </w:rPr>
              <w:t>二级</w:t>
            </w:r>
          </w:p>
        </w:tc>
        <w:tc>
          <w:tcPr>
            <w:tcW w:w="1081" w:type="dxa"/>
          </w:tcPr>
          <w:p w14:paraId="128076F4">
            <w:pPr>
              <w:spacing w:after="0" w:line="360" w:lineRule="auto"/>
            </w:pPr>
            <w:r>
              <w:rPr>
                <w:sz w:val="20"/>
              </w:rPr>
              <w:t>[32,38]</w:t>
            </w:r>
          </w:p>
        </w:tc>
      </w:tr>
      <w:tr w14:paraId="6261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3808FC88">
            <w:pPr>
              <w:spacing w:after="0" w:line="360" w:lineRule="auto"/>
            </w:pPr>
            <w:r>
              <w:rPr>
                <w:sz w:val="20"/>
              </w:rPr>
              <w:t>RDL亚型</w:t>
            </w:r>
          </w:p>
        </w:tc>
        <w:tc>
          <w:tcPr>
            <w:tcW w:w="1081" w:type="dxa"/>
          </w:tcPr>
          <w:p w14:paraId="4BCCBD81">
            <w:pPr>
              <w:spacing w:after="0" w:line="360" w:lineRule="auto"/>
            </w:pPr>
            <w:r>
              <w:rPr>
                <w:sz w:val="20"/>
              </w:rPr>
              <w:t>中</w:t>
            </w:r>
          </w:p>
        </w:tc>
        <w:tc>
          <w:tcPr>
            <w:tcW w:w="1081" w:type="dxa"/>
          </w:tcPr>
          <w:p w14:paraId="088EDE60">
            <w:pPr>
              <w:spacing w:after="0" w:line="360" w:lineRule="auto"/>
            </w:pPr>
            <w:r>
              <w:rPr>
                <w:sz w:val="20"/>
              </w:rPr>
              <w:t>中（A2'位点）</w:t>
            </w:r>
          </w:p>
        </w:tc>
        <w:tc>
          <w:tcPr>
            <w:tcW w:w="1081" w:type="dxa"/>
          </w:tcPr>
          <w:p w14:paraId="6BF5BA8D">
            <w:pPr>
              <w:spacing w:after="0" w:line="360" w:lineRule="auto"/>
            </w:pPr>
            <w:r>
              <w:rPr>
                <w:sz w:val="20"/>
              </w:rPr>
              <w:t>中（fipronil/间位酰胺）</w:t>
            </w:r>
          </w:p>
        </w:tc>
        <w:tc>
          <w:tcPr>
            <w:tcW w:w="1081" w:type="dxa"/>
          </w:tcPr>
          <w:p w14:paraId="4D029D78">
            <w:pPr>
              <w:spacing w:after="0" w:line="360" w:lineRule="auto"/>
            </w:pPr>
            <w:r>
              <w:rPr>
                <w:sz w:val="20"/>
              </w:rPr>
              <w:t>中</w:t>
            </w:r>
          </w:p>
        </w:tc>
        <w:tc>
          <w:tcPr>
            <w:tcW w:w="1081" w:type="dxa"/>
          </w:tcPr>
          <w:p w14:paraId="785FF44F">
            <w:pPr>
              <w:spacing w:after="0" w:line="360" w:lineRule="auto"/>
            </w:pPr>
            <w:r>
              <w:rPr>
                <w:sz w:val="20"/>
              </w:rPr>
              <w:t>中（新位点化学）</w:t>
            </w:r>
          </w:p>
        </w:tc>
        <w:tc>
          <w:tcPr>
            <w:tcW w:w="1081" w:type="dxa"/>
          </w:tcPr>
          <w:p w14:paraId="142C743C">
            <w:pPr>
              <w:spacing w:after="0" w:line="360" w:lineRule="auto"/>
            </w:pPr>
            <w:r>
              <w:rPr>
                <w:b/>
                <w:sz w:val="20"/>
              </w:rPr>
              <w:t>二级</w:t>
            </w:r>
          </w:p>
        </w:tc>
        <w:tc>
          <w:tcPr>
            <w:tcW w:w="1081" w:type="dxa"/>
          </w:tcPr>
          <w:p w14:paraId="0873ED41">
            <w:pPr>
              <w:spacing w:after="0" w:line="360" w:lineRule="auto"/>
            </w:pPr>
            <w:r>
              <w:rPr>
                <w:sz w:val="20"/>
              </w:rPr>
              <w:t>[53,54,69]</w:t>
            </w:r>
          </w:p>
        </w:tc>
      </w:tr>
      <w:tr w14:paraId="76A2C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527A0BD9">
            <w:pPr>
              <w:spacing w:after="0" w:line="360" w:lineRule="auto"/>
            </w:pPr>
            <w:r>
              <w:rPr>
                <w:sz w:val="20"/>
              </w:rPr>
              <w:t>TAR1 / Octbeta3</w:t>
            </w:r>
          </w:p>
        </w:tc>
        <w:tc>
          <w:tcPr>
            <w:tcW w:w="1081" w:type="dxa"/>
          </w:tcPr>
          <w:p w14:paraId="2F2556DB">
            <w:pPr>
              <w:spacing w:after="0" w:line="360" w:lineRule="auto"/>
            </w:pPr>
            <w:r>
              <w:rPr>
                <w:sz w:val="20"/>
              </w:rPr>
              <w:t>低（无田间抗性）</w:t>
            </w:r>
          </w:p>
        </w:tc>
        <w:tc>
          <w:tcPr>
            <w:tcW w:w="1081" w:type="dxa"/>
          </w:tcPr>
          <w:p w14:paraId="4681CCED">
            <w:pPr>
              <w:spacing w:after="0" w:line="360" w:lineRule="auto"/>
            </w:pPr>
            <w:r>
              <w:rPr>
                <w:sz w:val="20"/>
              </w:rPr>
              <w:t>低</w:t>
            </w:r>
          </w:p>
        </w:tc>
        <w:tc>
          <w:tcPr>
            <w:tcW w:w="1081" w:type="dxa"/>
          </w:tcPr>
          <w:p w14:paraId="7C9F70DE">
            <w:pPr>
              <w:spacing w:after="0" w:line="360" w:lineRule="auto"/>
            </w:pPr>
            <w:r>
              <w:rPr>
                <w:sz w:val="20"/>
              </w:rPr>
              <w:t>未知</w:t>
            </w:r>
          </w:p>
        </w:tc>
        <w:tc>
          <w:tcPr>
            <w:tcW w:w="1081" w:type="dxa"/>
          </w:tcPr>
          <w:p w14:paraId="0BB9ED83">
            <w:pPr>
              <w:spacing w:after="0" w:line="360" w:lineRule="auto"/>
            </w:pPr>
            <w:r>
              <w:rPr>
                <w:sz w:val="20"/>
              </w:rPr>
              <w:t>低</w:t>
            </w:r>
          </w:p>
        </w:tc>
        <w:tc>
          <w:tcPr>
            <w:tcW w:w="1081" w:type="dxa"/>
          </w:tcPr>
          <w:p w14:paraId="76D96D9D">
            <w:pPr>
              <w:spacing w:after="0" w:line="360" w:lineRule="auto"/>
            </w:pPr>
            <w:r>
              <w:rPr>
                <w:sz w:val="20"/>
              </w:rPr>
              <w:t>高</w:t>
            </w:r>
          </w:p>
        </w:tc>
        <w:tc>
          <w:tcPr>
            <w:tcW w:w="1081" w:type="dxa"/>
          </w:tcPr>
          <w:p w14:paraId="0E4F14A0">
            <w:pPr>
              <w:spacing w:after="0" w:line="360" w:lineRule="auto"/>
            </w:pPr>
            <w:r>
              <w:rPr>
                <w:b/>
                <w:sz w:val="20"/>
              </w:rPr>
              <w:t>三级</w:t>
            </w:r>
          </w:p>
        </w:tc>
        <w:tc>
          <w:tcPr>
            <w:tcW w:w="1081" w:type="dxa"/>
          </w:tcPr>
          <w:p w14:paraId="0AD709E2">
            <w:pPr>
              <w:spacing w:after="0" w:line="360" w:lineRule="auto"/>
            </w:pPr>
            <w:r>
              <w:rPr>
                <w:sz w:val="20"/>
              </w:rPr>
              <w:t>[18,19,94]</w:t>
            </w:r>
          </w:p>
        </w:tc>
      </w:tr>
    </w:tbl>
    <w:p w14:paraId="5DFAF55C">
      <w:pPr>
        <w:spacing w:before="120" w:after="120" w:line="360" w:lineRule="auto"/>
      </w:pPr>
    </w:p>
    <w:p w14:paraId="7FA3C560">
      <w:pPr>
        <w:pStyle w:val="4"/>
        <w:spacing w:line="360" w:lineRule="auto"/>
        <w:rPr>
          <w:color w:val="auto"/>
          <w:lang w:eastAsia="zh-CN"/>
        </w:rPr>
      </w:pPr>
      <w:r>
        <w:rPr>
          <w:rFonts w:ascii="Times New Roman" w:hAnsi="Times New Roman" w:eastAsia="宋体"/>
          <w:color w:val="auto"/>
          <w:sz w:val="28"/>
          <w:lang w:eastAsia="zh-CN"/>
        </w:rPr>
        <w:t>7. 新兴神经靶标与未来研究路线</w:t>
      </w:r>
    </w:p>
    <w:p w14:paraId="48D7F6D9">
      <w:pPr>
        <w:spacing w:after="80" w:line="360" w:lineRule="auto"/>
        <w:ind w:firstLine="420"/>
        <w:rPr>
          <w:lang w:eastAsia="zh-CN"/>
        </w:rPr>
      </w:pPr>
      <w:r>
        <w:rPr>
          <w:lang w:eastAsia="zh-CN"/>
        </w:rPr>
        <w:t>前述章节所涵盖的靶标——AChE、nAChR、RDL/GluCl、Na</w:t>
      </w:r>
      <w:r>
        <w:rPr>
          <w:sz w:val="18"/>
          <w:vertAlign w:val="subscript"/>
          <w:lang w:eastAsia="zh-CN"/>
        </w:rPr>
        <w:t>v</w:t>
      </w:r>
      <w:r>
        <w:rPr>
          <w:lang w:eastAsia="zh-CN"/>
        </w:rPr>
        <w:t>和RyR——均已有商业化药剂与之对应，其抗性机制也已积累了相当程度的直接证据。然而，随着上述靶标上的抗性等位基因在全球种群中持续扩散，开发针对全新靶标的下一代杀虫剂已成为抗性管理的战略需求。本章聚焦于小菜蛾神经系统中尚未被商业化利用、但已具备"可药理学操控 + 可功能验证 + 可用于新药设计"三个条件的候选靶标，重点介绍酪胺受体（TAR）和章鱼胺受体（OAR）两类GPCR，并在此基础上提出面向未来靶标发现的方法学路线图。</w:t>
      </w:r>
      <w:r>
        <w:rPr>
          <w:sz w:val="18"/>
          <w:vertAlign w:val="superscript"/>
          <w:lang w:eastAsia="zh-CN"/>
        </w:rPr>
        <w:t>[95,96,98,31]</w:t>
      </w:r>
    </w:p>
    <w:p w14:paraId="2025D028">
      <w:pPr>
        <w:pStyle w:val="5"/>
        <w:spacing w:line="360" w:lineRule="auto"/>
        <w:rPr>
          <w:color w:val="auto"/>
          <w:lang w:eastAsia="zh-CN"/>
        </w:rPr>
      </w:pPr>
      <w:r>
        <w:rPr>
          <w:rFonts w:ascii="Times New Roman" w:hAnsi="Times New Roman" w:eastAsia="宋体"/>
          <w:color w:val="auto"/>
          <w:lang w:eastAsia="zh-CN"/>
        </w:rPr>
        <w:t>7.1 酪胺受体与章鱼胺受体作为下一代候选靶标</w:t>
      </w:r>
    </w:p>
    <w:p w14:paraId="65AF4288">
      <w:pPr>
        <w:spacing w:after="80" w:line="360" w:lineRule="auto"/>
        <w:ind w:firstLine="420"/>
        <w:rPr>
          <w:lang w:eastAsia="zh-CN"/>
        </w:rPr>
      </w:pPr>
      <w:r>
        <w:rPr>
          <w:lang w:eastAsia="zh-CN"/>
        </w:rPr>
        <w:t>酪胺（tyramine）和章鱼胺（octopamine）是无脊椎动物神经系统中的重要生物胺类神经调质，在昆虫中发挥类似脊椎动物肾上腺素/去甲肾上腺素的功能，参与调控运动、生殖、代谢、学习记忆和应激反应等多种生理过程。</w:t>
      </w:r>
      <w:r>
        <w:rPr>
          <w:sz w:val="18"/>
          <w:vertAlign w:val="superscript"/>
          <w:lang w:eastAsia="zh-CN"/>
        </w:rPr>
        <w:t>[95,96]</w:t>
      </w:r>
      <w:r>
        <w:rPr>
          <w:lang w:eastAsia="zh-CN"/>
        </w:rPr>
        <w:t xml:space="preserve"> 酪胺是章鱼胺的生物合成前体，两者均通过与特异性GPCR结合发挥作用。由于哺乳动物中不存在酪胺受体和章鱼胺受体的直系同源物（哺乳动物的痕量胺相关受体TAAR与昆虫TAR在药理学上存在显著差异），这类受体具有天然的选择性优势，是开发对哺乳动物低毒杀虫剂的理想靶标。</w:t>
      </w:r>
      <w:r>
        <w:rPr>
          <w:sz w:val="18"/>
          <w:vertAlign w:val="superscript"/>
          <w:lang w:eastAsia="zh-CN"/>
        </w:rPr>
        <w:t>[98,101]</w:t>
      </w:r>
      <w:r>
        <w:rPr>
          <w:lang w:eastAsia="zh-CN"/>
        </w:rPr>
        <w:t xml:space="preserve"> 昆虫章鱼胺受体按信号偶联方式分为四类：</w:t>
      </w:r>
      <w:r>
        <w:t>α</w:t>
      </w:r>
      <w:r>
        <w:rPr>
          <w:lang w:eastAsia="zh-CN"/>
        </w:rPr>
        <w:t>-肾上腺素能样受体（Oct</w:t>
      </w:r>
      <w:r>
        <w:t>α</w:t>
      </w:r>
      <w:r>
        <w:rPr>
          <w:lang w:eastAsia="zh-CN"/>
        </w:rPr>
        <w:t>R）、</w:t>
      </w:r>
      <w:r>
        <w:t>β</w:t>
      </w:r>
      <w:r>
        <w:rPr>
          <w:lang w:eastAsia="zh-CN"/>
        </w:rPr>
        <w:t>-肾上腺素能样受体（Oct</w:t>
      </w:r>
      <w:r>
        <w:t>β</w:t>
      </w:r>
      <w:r>
        <w:rPr>
          <w:lang w:eastAsia="zh-CN"/>
        </w:rPr>
        <w:t>R）、酪胺受体1型（TAR1/TyrR）和酪胺受体2型（TAR2）。</w:t>
      </w:r>
      <w:r>
        <w:rPr>
          <w:sz w:val="18"/>
          <w:vertAlign w:val="superscript"/>
          <w:lang w:eastAsia="zh-CN"/>
        </w:rPr>
        <w:t>[97]</w:t>
      </w:r>
      <w:r>
        <w:rPr>
          <w:lang w:eastAsia="zh-CN"/>
        </w:rPr>
        <w:t xml:space="preserve"> 甲脒类（formamidines）杀虫剂（如双甲脒amitraz）已被证明通过激动章鱼胺受体发挥杀虫活性，为这类受体作为杀虫剂靶标提供了概念验证。</w:t>
      </w:r>
      <w:r>
        <w:rPr>
          <w:sz w:val="18"/>
          <w:vertAlign w:val="superscript"/>
          <w:lang w:eastAsia="zh-CN"/>
        </w:rPr>
        <w:t>[99,100]</w:t>
      </w:r>
    </w:p>
    <w:p w14:paraId="0F98377F">
      <w:pPr>
        <w:spacing w:after="80" w:line="360" w:lineRule="auto"/>
        <w:ind w:firstLine="420"/>
        <w:rPr>
          <w:lang w:eastAsia="zh-CN"/>
        </w:rPr>
      </w:pPr>
      <w:r>
        <w:rPr>
          <w:lang w:eastAsia="zh-CN"/>
        </w:rPr>
        <w:t>Ma等（2019）克隆并表征了小菜蛾酪胺受体1型（PxTAR1），通过异源表达系统（HEK293细胞）系统研究了其药理学特性。结果表明，PxTAR1对酪胺具有高亲和力，对章鱼胺的亲和力较低，与已知的TAR1药理学特征一致；多种甲脒类化合物（包括双甲脒）可激动PxTAR1，提示该受体是甲脒类在小菜蛾中的潜在作用靶标之一。</w:t>
      </w:r>
      <w:r>
        <w:rPr>
          <w:sz w:val="18"/>
          <w:vertAlign w:val="superscript"/>
          <w:lang w:eastAsia="zh-CN"/>
        </w:rPr>
        <w:t>[18]</w:t>
      </w:r>
      <w:r>
        <w:rPr>
          <w:lang w:eastAsia="zh-CN"/>
        </w:rPr>
        <w:t xml:space="preserve"> Zheng等（2023）利用CRISPR/Cas9技术敲除小菜蛾</w:t>
      </w:r>
      <w:r>
        <w:rPr>
          <w:i/>
          <w:lang w:eastAsia="zh-CN"/>
        </w:rPr>
        <w:t>PxTAR1</w:t>
      </w:r>
      <w:r>
        <w:rPr>
          <w:lang w:eastAsia="zh-CN"/>
        </w:rPr>
        <w:t>基因，发现TAR1缺失导致雌虫产卵量显著下降、交配行为异常，并影响性信息素的生物合成。这一表型证明PxTAR1在小菜蛾生殖调控中发挥不可替代的功能，也意味着以TAR1为靶标的干预策略具有影响种群繁殖的潜力，不仅限于直接神经毒性。</w:t>
      </w:r>
      <w:r>
        <w:rPr>
          <w:sz w:val="18"/>
          <w:vertAlign w:val="superscript"/>
          <w:lang w:eastAsia="zh-CN"/>
        </w:rPr>
        <w:t>[94]</w:t>
      </w:r>
    </w:p>
    <w:p w14:paraId="5D95BFAD">
      <w:pPr>
        <w:spacing w:after="80" w:line="360" w:lineRule="auto"/>
        <w:ind w:firstLine="420"/>
        <w:rPr>
          <w:lang w:eastAsia="zh-CN"/>
        </w:rPr>
      </w:pPr>
      <w:r>
        <w:rPr>
          <w:lang w:eastAsia="zh-CN"/>
        </w:rPr>
        <w:t>Zhu等（2022）克隆并表征了小菜蛾</w:t>
      </w:r>
      <w:r>
        <w:t>β</w:t>
      </w:r>
      <w:r>
        <w:rPr>
          <w:lang w:eastAsia="zh-CN"/>
        </w:rPr>
        <w:t>型章鱼胺受体亚型PxOctbeta3，通过异源表达证明其与章鱼胺结合后激活腺苷酸环化酶，升高胞内cAMP水平，符合Oct</w:t>
      </w:r>
      <w:r>
        <w:t>β</w:t>
      </w:r>
      <w:r>
        <w:rPr>
          <w:lang w:eastAsia="zh-CN"/>
        </w:rPr>
        <w:t>受体的经典信号特征。药理学分析表明，双甲脒及其代谢物对PxOctbeta3具有激动活性。RNAi沉默</w:t>
      </w:r>
      <w:r>
        <w:rPr>
          <w:i/>
          <w:lang w:eastAsia="zh-CN"/>
        </w:rPr>
        <w:t>PxOctbeta3</w:t>
      </w:r>
      <w:r>
        <w:rPr>
          <w:lang w:eastAsia="zh-CN"/>
        </w:rPr>
        <w:t>后，小菜蛾幼虫对双甲脒的敏感性显著降低，提供了该受体参与甲脒类杀虫活性的功能证据。</w:t>
      </w:r>
      <w:r>
        <w:rPr>
          <w:sz w:val="18"/>
          <w:vertAlign w:val="superscript"/>
          <w:lang w:eastAsia="zh-CN"/>
        </w:rPr>
        <w:t>[19]</w:t>
      </w:r>
    </w:p>
    <w:p w14:paraId="54E7470F">
      <w:pPr>
        <w:spacing w:after="80" w:line="360" w:lineRule="auto"/>
        <w:ind w:firstLine="420"/>
        <w:rPr>
          <w:lang w:eastAsia="zh-CN"/>
        </w:rPr>
      </w:pPr>
      <w:r>
        <w:rPr>
          <w:lang w:eastAsia="zh-CN"/>
        </w:rPr>
        <w:t>综合PxTAR1和PxOctbeta3的证据，小菜蛾生物胺受体系统已具备"异源表达药理学表征 + CRISPR/RNAi功能验证 + 与现有药剂（甲脒类）的关联"三个层次的证据，满足将其列为下一代候选靶标的基本条件。与已有田间抗性的靶标（RyR、GluCl等）相比，生物胺受体目前尚无田间抗性记录，这既是其作为新靶标的优势（选择压力尚未积累），也意味着其作为监测标记的当前价值有限。</w:t>
      </w:r>
    </w:p>
    <w:p w14:paraId="479DE3EA">
      <w:pPr>
        <w:pStyle w:val="5"/>
        <w:spacing w:line="360" w:lineRule="auto"/>
        <w:rPr>
          <w:color w:val="auto"/>
          <w:lang w:eastAsia="zh-CN"/>
        </w:rPr>
      </w:pPr>
      <w:r>
        <w:rPr>
          <w:rFonts w:ascii="Times New Roman" w:hAnsi="Times New Roman" w:eastAsia="宋体"/>
          <w:color w:val="auto"/>
          <w:lang w:eastAsia="zh-CN"/>
        </w:rPr>
        <w:t>7.2 方法学路线图</w:t>
      </w:r>
    </w:p>
    <w:p w14:paraId="0F3D5D34">
      <w:pPr>
        <w:spacing w:after="80" w:line="360" w:lineRule="auto"/>
        <w:ind w:firstLine="420"/>
        <w:rPr>
          <w:lang w:eastAsia="zh-CN"/>
        </w:rPr>
      </w:pPr>
      <w:r>
        <w:rPr>
          <w:lang w:eastAsia="zh-CN"/>
        </w:rPr>
        <w:t>将候选靶标从"有功能证据"推进到"可用于新药设计"，需要一套系统性的方法学支撑。基于小菜蛾现有研究基础，本文建议以下五条技术路线并行推进：</w:t>
      </w:r>
    </w:p>
    <w:p w14:paraId="402D5B86">
      <w:pPr>
        <w:spacing w:after="80" w:line="360" w:lineRule="auto"/>
        <w:ind w:firstLine="420"/>
        <w:rPr>
          <w:lang w:eastAsia="zh-CN"/>
        </w:rPr>
      </w:pPr>
      <w:r>
        <w:rPr>
          <w:b/>
          <w:lang w:eastAsia="zh-CN"/>
        </w:rPr>
        <w:t>异源表达与电生理。</w:t>
      </w:r>
      <w:r>
        <w:rPr>
          <w:lang w:eastAsia="zh-CN"/>
        </w:rPr>
        <w:t xml:space="preserve"> 非洲爪蟾卵母细胞双电极电压钳和哺乳动物细胞系（HEK293、CHO）是表征昆虫离子通道和GPCR药理学的标准平台。对于nAChR、GluCl、RDL等离子通道靶标，卵母细胞系统已在小菜蛾研究中广泛应用；</w:t>
      </w:r>
      <w:r>
        <w:rPr>
          <w:sz w:val="18"/>
          <w:vertAlign w:val="superscript"/>
          <w:lang w:eastAsia="zh-CN"/>
        </w:rPr>
        <w:t>[23,55,56]</w:t>
      </w:r>
      <w:r>
        <w:rPr>
          <w:lang w:eastAsia="zh-CN"/>
        </w:rPr>
        <w:t xml:space="preserve"> 对于TAR1和Octbeta3等GPCR，HEK293细胞结合cAMP/Ca</w:t>
      </w:r>
      <w:r>
        <w:rPr>
          <w:sz w:val="18"/>
          <w:vertAlign w:val="superscript"/>
          <w:lang w:eastAsia="zh-CN"/>
        </w:rPr>
        <w:t>2+</w:t>
      </w:r>
      <w:r>
        <w:rPr>
          <w:lang w:eastAsia="zh-CN"/>
        </w:rPr>
        <w:t>荧光报告系统是当前主流方案。</w:t>
      </w:r>
      <w:r>
        <w:rPr>
          <w:sz w:val="18"/>
          <w:vertAlign w:val="superscript"/>
          <w:lang w:eastAsia="zh-CN"/>
        </w:rPr>
        <w:t>[18,19]</w:t>
      </w:r>
      <w:r>
        <w:rPr>
          <w:lang w:eastAsia="zh-CN"/>
        </w:rPr>
        <w:t xml:space="preserve"> 建立稳定、可重复的异源表达体系是后续高通量筛选的前提。</w:t>
      </w:r>
    </w:p>
    <w:p w14:paraId="271CF009">
      <w:pPr>
        <w:spacing w:after="80" w:line="360" w:lineRule="auto"/>
        <w:ind w:firstLine="420"/>
        <w:rPr>
          <w:lang w:eastAsia="zh-CN"/>
        </w:rPr>
      </w:pPr>
      <w:r>
        <w:rPr>
          <w:b/>
        </w:rPr>
        <w:t>CRISPR knockin/knockout。</w:t>
      </w:r>
      <w:r>
        <w:rPr>
          <w:rFonts w:ascii="宋体" w:hAnsi="宋体"/>
          <w:szCs w:val="24"/>
        </w:rPr>
        <w:t xml:space="preserve"> CRISPR/Cas9技术已在小菜蛾中成功应用于RyR抗性突变的功能验证（I4790M knockin、I4790K knockin）</w:t>
      </w:r>
      <w:r>
        <w:rPr>
          <w:rFonts w:ascii="宋体" w:hAnsi="宋体"/>
          <w:szCs w:val="24"/>
          <w:vertAlign w:val="superscript"/>
        </w:rPr>
        <w:t>[88,33]</w:t>
      </w:r>
      <w:r>
        <w:rPr>
          <w:rFonts w:ascii="宋体" w:hAnsi="宋体"/>
          <w:szCs w:val="24"/>
        </w:rPr>
        <w:t xml:space="preserve"> 和TAR1功能研究（knockout）。</w:t>
      </w:r>
      <w:r>
        <w:rPr>
          <w:rFonts w:ascii="宋体" w:hAnsi="宋体"/>
          <w:szCs w:val="24"/>
          <w:vertAlign w:val="superscript"/>
          <w:lang w:eastAsia="zh-CN"/>
        </w:rPr>
        <w:t>[94]</w:t>
      </w:r>
      <w:r>
        <w:rPr>
          <w:rFonts w:ascii="宋体" w:hAnsi="宋体"/>
          <w:szCs w:val="24"/>
          <w:lang w:eastAsia="zh-CN"/>
        </w:rPr>
        <w:t xml:space="preserve"> 将这一技术扩展至其他候选靶标（GluCl突变、RDL亚型、Octbeta3），可系统建立靶标位点突变与抗性表型之间的因果关系，是当前最具说服力的功能验证手段。</w:t>
      </w:r>
    </w:p>
    <w:p w14:paraId="1C314045">
      <w:pPr>
        <w:spacing w:after="80" w:line="360" w:lineRule="auto"/>
        <w:ind w:firstLine="420"/>
        <w:rPr>
          <w:lang w:eastAsia="zh-CN"/>
        </w:rPr>
      </w:pPr>
      <w:r>
        <w:rPr>
          <w:b/>
          <w:lang w:eastAsia="zh-CN"/>
        </w:rPr>
        <w:t>受体-配体对接与分子动力学（MD）模拟。</w:t>
      </w:r>
      <w:r>
        <w:rPr>
          <w:lang w:eastAsia="zh-CN"/>
        </w:rPr>
        <w:t xml:space="preserve"> 基于同源建模或冷冻电镜结构的计算化学方法，已被用于解析小菜蛾AChE1抗性替换的结构基础</w:t>
      </w:r>
      <w:r>
        <w:rPr>
          <w:sz w:val="18"/>
          <w:vertAlign w:val="superscript"/>
          <w:lang w:eastAsia="zh-CN"/>
        </w:rPr>
        <w:t>[38]</w:t>
      </w:r>
      <w:r>
        <w:rPr>
          <w:lang w:eastAsia="zh-CN"/>
        </w:rPr>
        <w:t xml:space="preserve"> 和Na</w:t>
      </w:r>
      <w:r>
        <w:rPr>
          <w:sz w:val="18"/>
          <w:vertAlign w:val="subscript"/>
          <w:lang w:eastAsia="zh-CN"/>
        </w:rPr>
        <w:t>v</w:t>
      </w:r>
      <w:r>
        <w:rPr>
          <w:lang w:eastAsia="zh-CN"/>
        </w:rPr>
        <w:t>药剂结合位点。</w:t>
      </w:r>
      <w:r>
        <w:rPr>
          <w:sz w:val="18"/>
          <w:vertAlign w:val="superscript"/>
          <w:lang w:eastAsia="zh-CN"/>
        </w:rPr>
        <w:t>[102]</w:t>
      </w:r>
      <w:r>
        <w:rPr>
          <w:lang w:eastAsia="zh-CN"/>
        </w:rPr>
        <w:t xml:space="preserve"> 对于生物胺受体，利用近年来解析的人源GPCR结构作为模板进行同源建模，结合分子对接和MD模拟，可预测候选化合物与受体的结合模式，为先导化合物优化提供结构指导。</w:t>
      </w:r>
    </w:p>
    <w:p w14:paraId="287B56FB">
      <w:pPr>
        <w:spacing w:after="80" w:line="360" w:lineRule="auto"/>
        <w:ind w:firstLine="420"/>
        <w:rPr>
          <w:lang w:eastAsia="zh-CN"/>
        </w:rPr>
      </w:pPr>
      <w:r>
        <w:rPr>
          <w:b/>
          <w:lang w:eastAsia="zh-CN"/>
        </w:rPr>
        <w:t>单细胞转录组与神经解剖定位。</w:t>
      </w:r>
      <w:r>
        <w:rPr>
          <w:lang w:eastAsia="zh-CN"/>
        </w:rPr>
        <w:t xml:space="preserve"> 靶标在神经系统中的表达模式直接影响药剂的选择性和毒性特征。单细胞RNA测序（scRNA-seq）技术的应用，可绘制小菜蛾神经系统中各靶标基因的细胞类型特异性表达图谱，为理解靶标的生理功能和预测药剂的神经毒性特征提供基础。</w:t>
      </w:r>
      <w:r>
        <w:rPr>
          <w:sz w:val="18"/>
          <w:vertAlign w:val="superscript"/>
          <w:lang w:eastAsia="zh-CN"/>
        </w:rPr>
        <w:t>[31]</w:t>
      </w:r>
    </w:p>
    <w:p w14:paraId="1EC4B2B4">
      <w:pPr>
        <w:spacing w:after="80" w:line="360" w:lineRule="auto"/>
        <w:ind w:firstLine="420"/>
        <w:rPr>
          <w:lang w:eastAsia="zh-CN"/>
        </w:rPr>
      </w:pPr>
      <w:r>
        <w:rPr>
          <w:b/>
          <w:lang w:eastAsia="zh-CN"/>
        </w:rPr>
        <w:t>群体监测与高通量分型。</w:t>
      </w:r>
      <w:r>
        <w:rPr>
          <w:lang w:eastAsia="zh-CN"/>
        </w:rPr>
        <w:t xml:space="preserve"> 对于已有功能验证的靶标位点突变，建立基于扩增子测序（amplicon sequencing）或数字PCR的高通量分型平台，可实现对田间种群中抗性等位基因频率的大规模、低成本监测，为抗性管理决策提供实时数据支撑。</w:t>
      </w:r>
      <w:r>
        <w:rPr>
          <w:sz w:val="18"/>
          <w:vertAlign w:val="superscript"/>
          <w:lang w:eastAsia="zh-CN"/>
        </w:rPr>
        <w:t>[29,30]</w:t>
      </w:r>
    </w:p>
    <w:p w14:paraId="7B085CDB">
      <w:pPr>
        <w:pStyle w:val="5"/>
        <w:spacing w:line="360" w:lineRule="auto"/>
        <w:rPr>
          <w:color w:val="auto"/>
          <w:lang w:eastAsia="zh-CN"/>
        </w:rPr>
      </w:pPr>
      <w:r>
        <w:rPr>
          <w:rFonts w:ascii="Times New Roman" w:hAnsi="Times New Roman" w:eastAsia="宋体"/>
          <w:color w:val="auto"/>
          <w:lang w:eastAsia="zh-CN"/>
        </w:rPr>
        <w:t>7.3 可操作路线图</w:t>
      </w:r>
    </w:p>
    <w:p w14:paraId="0ADF49FA">
      <w:pPr>
        <w:spacing w:after="80" w:line="360" w:lineRule="auto"/>
        <w:ind w:firstLine="420"/>
        <w:rPr>
          <w:lang w:eastAsia="zh-CN"/>
        </w:rPr>
      </w:pPr>
      <w:r>
        <w:rPr>
          <w:b/>
          <w:lang w:eastAsia="zh-CN"/>
        </w:rPr>
        <w:t>短期（6–18个月）：</w:t>
      </w:r>
      <w:r>
        <w:rPr>
          <w:lang w:eastAsia="zh-CN"/>
        </w:rPr>
        <w:t xml:space="preserve"> 第一，基于现有文献证据，形成小菜蛾神经靶标标准化分子标记panel（参见第6章），并在中国及全球代表性种群中开展关键等位基因（RyR G4946E/I4790M/I4790K、GluCl A309V/V263I、alpha6错误剪接、Na</w:t>
      </w:r>
      <w:r>
        <w:rPr>
          <w:sz w:val="18"/>
          <w:vertAlign w:val="subscript"/>
          <w:lang w:eastAsia="zh-CN"/>
        </w:rPr>
        <w:t>v</w:t>
      </w:r>
      <w:r>
        <w:rPr>
          <w:lang w:eastAsia="zh-CN"/>
        </w:rPr>
        <w:t xml:space="preserve"> F1845Y/V1848I）的基线频率调查，建立可供比较的参考数据集。</w:t>
      </w:r>
      <w:r>
        <w:rPr>
          <w:sz w:val="18"/>
          <w:vertAlign w:val="superscript"/>
          <w:lang w:eastAsia="zh-CN"/>
        </w:rPr>
        <w:t>[29,13,23,57,29,27]</w:t>
      </w:r>
      <w:r>
        <w:rPr>
          <w:lang w:eastAsia="zh-CN"/>
        </w:rPr>
        <w:t xml:space="preserve"> 第二，对PxTAR1和PxOctbeta3建立稳定的异源表达与药理筛选体系，完成对现有甲脒类及相关化合物库的初步筛选，确定先导化合物结构类型。</w:t>
      </w:r>
      <w:r>
        <w:rPr>
          <w:sz w:val="18"/>
          <w:vertAlign w:val="superscript"/>
          <w:lang w:eastAsia="zh-CN"/>
        </w:rPr>
        <w:t>[18,19]</w:t>
      </w:r>
      <w:r>
        <w:rPr>
          <w:lang w:eastAsia="zh-CN"/>
        </w:rPr>
        <w:t xml:space="preserve"> 第三，补充GluCl外显子9剪接变体和RDL亚型差异的田间频率数据，完善二级监测标记的基线。</w:t>
      </w:r>
    </w:p>
    <w:p w14:paraId="3325BE95">
      <w:pPr>
        <w:spacing w:after="80" w:line="360" w:lineRule="auto"/>
        <w:ind w:firstLine="420"/>
        <w:rPr>
          <w:lang w:eastAsia="zh-CN"/>
        </w:rPr>
      </w:pPr>
      <w:r>
        <w:rPr>
          <w:b/>
          <w:lang w:eastAsia="zh-CN"/>
        </w:rPr>
        <w:t>中期（2–5年）：</w:t>
      </w:r>
      <w:r>
        <w:rPr>
          <w:lang w:eastAsia="zh-CN"/>
        </w:rPr>
        <w:t xml:space="preserve"> 第一，将结构生物学（冷冻电镜或同源建模）与田间抗性预测连接起来——对RyR、GluCl等已有多个抗性突变的靶标，解析突变体与药剂复合物的结构，预测哪些新化合物能够克服现有抗性突变，指导下一代化学先导的设计。</w:t>
      </w:r>
      <w:r>
        <w:rPr>
          <w:sz w:val="18"/>
          <w:vertAlign w:val="superscript"/>
          <w:lang w:eastAsia="zh-CN"/>
        </w:rPr>
        <w:t>[26,85]</w:t>
      </w:r>
      <w:r>
        <w:rPr>
          <w:lang w:eastAsia="zh-CN"/>
        </w:rPr>
        <w:t xml:space="preserve"> 第二，针对TAR1/Octbeta3等GPCR变构位点或其他新兴靶标，设计具有昆虫选择性的小分子先导化合物，推进至细胞水平和整体动物水平的活性验证。</w:t>
      </w:r>
      <w:r>
        <w:rPr>
          <w:sz w:val="18"/>
          <w:vertAlign w:val="superscript"/>
          <w:lang w:eastAsia="zh-CN"/>
        </w:rPr>
        <w:t>[98,31]</w:t>
      </w:r>
      <w:r>
        <w:rPr>
          <w:lang w:eastAsia="zh-CN"/>
        </w:rPr>
        <w:t xml:space="preserve"> 第三，建立"小菜蛾神经靶标图谱 + 抗性位点数据库 + 抗性管理推荐"的一体化开放平台，整合全球监测数据，为IRM（insecticide resistance management）决策提供数据支撑。</w:t>
      </w:r>
      <w:r>
        <w:rPr>
          <w:sz w:val="18"/>
          <w:vertAlign w:val="superscript"/>
          <w:lang w:eastAsia="zh-CN"/>
        </w:rPr>
        <w:t>[4,9,103]</w:t>
      </w:r>
    </w:p>
    <w:p w14:paraId="4A0D2DE6">
      <w:pPr>
        <w:spacing w:line="360" w:lineRule="auto"/>
        <w:rPr>
          <w:lang w:eastAsia="zh-CN"/>
        </w:rPr>
      </w:pPr>
      <w:r>
        <w:rPr>
          <w:i/>
          <w:sz w:val="20"/>
          <w:lang w:eastAsia="zh-CN"/>
        </w:rPr>
        <w:t>Table 5. 小菜蛾新兴神经靶标证据概览与研究优先级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1235"/>
        <w:gridCol w:w="1235"/>
        <w:gridCol w:w="1235"/>
        <w:gridCol w:w="1235"/>
        <w:gridCol w:w="1235"/>
        <w:gridCol w:w="1235"/>
      </w:tblGrid>
      <w:tr w14:paraId="3F52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5" w:type="dxa"/>
          </w:tcPr>
          <w:p w14:paraId="76A6AD3D">
            <w:pPr>
              <w:spacing w:after="0" w:line="360" w:lineRule="auto"/>
            </w:pPr>
            <w:r>
              <w:rPr>
                <w:b/>
                <w:sz w:val="20"/>
              </w:rPr>
              <w:t>靶标</w:t>
            </w:r>
          </w:p>
        </w:tc>
        <w:tc>
          <w:tcPr>
            <w:tcW w:w="1235" w:type="dxa"/>
          </w:tcPr>
          <w:p w14:paraId="7350F172">
            <w:pPr>
              <w:spacing w:after="0" w:line="360" w:lineRule="auto"/>
            </w:pPr>
            <w:r>
              <w:rPr>
                <w:b/>
                <w:sz w:val="20"/>
              </w:rPr>
              <w:t>基因</w:t>
            </w:r>
          </w:p>
        </w:tc>
        <w:tc>
          <w:tcPr>
            <w:tcW w:w="1235" w:type="dxa"/>
          </w:tcPr>
          <w:p w14:paraId="034B9F06">
            <w:pPr>
              <w:spacing w:after="0" w:line="360" w:lineRule="auto"/>
            </w:pPr>
            <w:r>
              <w:rPr>
                <w:b/>
                <w:sz w:val="20"/>
              </w:rPr>
              <w:t>已有证据</w:t>
            </w:r>
          </w:p>
        </w:tc>
        <w:tc>
          <w:tcPr>
            <w:tcW w:w="1235" w:type="dxa"/>
          </w:tcPr>
          <w:p w14:paraId="07205F5B">
            <w:pPr>
              <w:spacing w:after="0" w:line="360" w:lineRule="auto"/>
            </w:pPr>
            <w:r>
              <w:rPr>
                <w:b/>
                <w:sz w:val="20"/>
              </w:rPr>
              <w:t>田间抗性</w:t>
            </w:r>
          </w:p>
        </w:tc>
        <w:tc>
          <w:tcPr>
            <w:tcW w:w="1235" w:type="dxa"/>
          </w:tcPr>
          <w:p w14:paraId="7FF6E60C">
            <w:pPr>
              <w:spacing w:after="0" w:line="360" w:lineRule="auto"/>
            </w:pPr>
            <w:r>
              <w:rPr>
                <w:b/>
                <w:sz w:val="20"/>
              </w:rPr>
              <w:t>选择性优势</w:t>
            </w:r>
          </w:p>
        </w:tc>
        <w:tc>
          <w:tcPr>
            <w:tcW w:w="1235" w:type="dxa"/>
          </w:tcPr>
          <w:p w14:paraId="3DE44FD7">
            <w:pPr>
              <w:spacing w:after="0" w:line="360" w:lineRule="auto"/>
            </w:pPr>
            <w:r>
              <w:rPr>
                <w:b/>
                <w:sz w:val="20"/>
              </w:rPr>
              <w:t>研究优先级</w:t>
            </w:r>
          </w:p>
        </w:tc>
        <w:tc>
          <w:tcPr>
            <w:tcW w:w="1235" w:type="dxa"/>
          </w:tcPr>
          <w:p w14:paraId="7AD7AE9D">
            <w:pPr>
              <w:spacing w:after="0" w:line="360" w:lineRule="auto"/>
            </w:pPr>
            <w:r>
              <w:rPr>
                <w:b/>
                <w:sz w:val="20"/>
              </w:rPr>
              <w:t>文献</w:t>
            </w:r>
          </w:p>
        </w:tc>
      </w:tr>
      <w:tr w14:paraId="1673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623B9576">
            <w:pPr>
              <w:spacing w:after="0" w:line="360" w:lineRule="auto"/>
            </w:pPr>
            <w:r>
              <w:rPr>
                <w:sz w:val="20"/>
              </w:rPr>
              <w:t>酪胺受体1型（TAR1）</w:t>
            </w:r>
          </w:p>
        </w:tc>
        <w:tc>
          <w:tcPr>
            <w:tcW w:w="1235" w:type="dxa"/>
          </w:tcPr>
          <w:p w14:paraId="22E1C7E8">
            <w:pPr>
              <w:spacing w:after="0" w:line="360" w:lineRule="auto"/>
            </w:pPr>
            <w:r>
              <w:rPr>
                <w:i/>
                <w:sz w:val="20"/>
              </w:rPr>
              <w:t>PxTAR1</w:t>
            </w:r>
          </w:p>
        </w:tc>
        <w:tc>
          <w:tcPr>
            <w:tcW w:w="1235" w:type="dxa"/>
          </w:tcPr>
          <w:p w14:paraId="4ABEC24F">
            <w:pPr>
              <w:spacing w:after="0" w:line="360" w:lineRule="auto"/>
            </w:pPr>
            <w:r>
              <w:rPr>
                <w:sz w:val="20"/>
              </w:rPr>
              <w:t>异源表达药理学；CRISPR knockout生殖表型</w:t>
            </w:r>
          </w:p>
        </w:tc>
        <w:tc>
          <w:tcPr>
            <w:tcW w:w="1235" w:type="dxa"/>
          </w:tcPr>
          <w:p w14:paraId="13311EED">
            <w:pPr>
              <w:spacing w:after="0" w:line="360" w:lineRule="auto"/>
            </w:pPr>
            <w:r>
              <w:rPr>
                <w:sz w:val="20"/>
              </w:rPr>
              <w:t>无</w:t>
            </w:r>
          </w:p>
        </w:tc>
        <w:tc>
          <w:tcPr>
            <w:tcW w:w="1235" w:type="dxa"/>
          </w:tcPr>
          <w:p w14:paraId="5E7C35D9">
            <w:pPr>
              <w:spacing w:after="0" w:line="360" w:lineRule="auto"/>
            </w:pPr>
            <w:r>
              <w:rPr>
                <w:sz w:val="20"/>
              </w:rPr>
              <w:t>无脊椎动物特异性</w:t>
            </w:r>
          </w:p>
        </w:tc>
        <w:tc>
          <w:tcPr>
            <w:tcW w:w="1235" w:type="dxa"/>
          </w:tcPr>
          <w:p w14:paraId="5E2AB82C">
            <w:pPr>
              <w:spacing w:after="0" w:line="360" w:lineRule="auto"/>
            </w:pPr>
            <w:r>
              <w:rPr>
                <w:sz w:val="20"/>
              </w:rPr>
              <w:t>高</w:t>
            </w:r>
          </w:p>
        </w:tc>
        <w:tc>
          <w:tcPr>
            <w:tcW w:w="1235" w:type="dxa"/>
          </w:tcPr>
          <w:p w14:paraId="27E850DE">
            <w:pPr>
              <w:spacing w:after="0" w:line="360" w:lineRule="auto"/>
            </w:pPr>
            <w:r>
              <w:rPr>
                <w:sz w:val="20"/>
              </w:rPr>
              <w:t>[18,94]</w:t>
            </w:r>
          </w:p>
        </w:tc>
      </w:tr>
      <w:tr w14:paraId="466B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5AFF2C43">
            <w:pPr>
              <w:spacing w:after="0" w:line="360" w:lineRule="auto"/>
            </w:pPr>
            <w:r>
              <w:rPr>
                <w:sz w:val="20"/>
              </w:rPr>
              <w:t>β型章鱼胺受体（Octbeta3）</w:t>
            </w:r>
          </w:p>
        </w:tc>
        <w:tc>
          <w:tcPr>
            <w:tcW w:w="1235" w:type="dxa"/>
          </w:tcPr>
          <w:p w14:paraId="0A51F7C9">
            <w:pPr>
              <w:spacing w:after="0" w:line="360" w:lineRule="auto"/>
            </w:pPr>
            <w:r>
              <w:rPr>
                <w:i/>
                <w:sz w:val="20"/>
              </w:rPr>
              <w:t>PxOctbeta3</w:t>
            </w:r>
          </w:p>
        </w:tc>
        <w:tc>
          <w:tcPr>
            <w:tcW w:w="1235" w:type="dxa"/>
          </w:tcPr>
          <w:p w14:paraId="059B8DA6">
            <w:pPr>
              <w:spacing w:after="0" w:line="360" w:lineRule="auto"/>
              <w:rPr>
                <w:lang w:eastAsia="zh-CN"/>
              </w:rPr>
            </w:pPr>
            <w:r>
              <w:rPr>
                <w:sz w:val="20"/>
                <w:lang w:eastAsia="zh-CN"/>
              </w:rPr>
              <w:t>异源表达药理学；RNAi功能验证</w:t>
            </w:r>
          </w:p>
        </w:tc>
        <w:tc>
          <w:tcPr>
            <w:tcW w:w="1235" w:type="dxa"/>
          </w:tcPr>
          <w:p w14:paraId="3B95D28D">
            <w:pPr>
              <w:spacing w:after="0" w:line="360" w:lineRule="auto"/>
            </w:pPr>
            <w:r>
              <w:rPr>
                <w:sz w:val="20"/>
              </w:rPr>
              <w:t>无</w:t>
            </w:r>
          </w:p>
        </w:tc>
        <w:tc>
          <w:tcPr>
            <w:tcW w:w="1235" w:type="dxa"/>
          </w:tcPr>
          <w:p w14:paraId="7DBB3C5E">
            <w:pPr>
              <w:spacing w:after="0" w:line="360" w:lineRule="auto"/>
            </w:pPr>
            <w:r>
              <w:rPr>
                <w:sz w:val="20"/>
              </w:rPr>
              <w:t>无脊椎动物特异性</w:t>
            </w:r>
          </w:p>
        </w:tc>
        <w:tc>
          <w:tcPr>
            <w:tcW w:w="1235" w:type="dxa"/>
          </w:tcPr>
          <w:p w14:paraId="1307D77D">
            <w:pPr>
              <w:spacing w:after="0" w:line="360" w:lineRule="auto"/>
            </w:pPr>
            <w:r>
              <w:rPr>
                <w:sz w:val="20"/>
              </w:rPr>
              <w:t>高</w:t>
            </w:r>
          </w:p>
        </w:tc>
        <w:tc>
          <w:tcPr>
            <w:tcW w:w="1235" w:type="dxa"/>
          </w:tcPr>
          <w:p w14:paraId="2EE29B45">
            <w:pPr>
              <w:spacing w:after="0" w:line="360" w:lineRule="auto"/>
            </w:pPr>
            <w:r>
              <w:rPr>
                <w:sz w:val="20"/>
              </w:rPr>
              <w:t>[19]</w:t>
            </w:r>
          </w:p>
        </w:tc>
      </w:tr>
    </w:tbl>
    <w:p w14:paraId="24AC5DBD">
      <w:pPr>
        <w:spacing w:before="120" w:after="120" w:line="360" w:lineRule="auto"/>
      </w:pPr>
    </w:p>
    <w:p w14:paraId="0394F414">
      <w:pPr>
        <w:pStyle w:val="4"/>
        <w:spacing w:line="360" w:lineRule="auto"/>
        <w:rPr>
          <w:color w:val="auto"/>
        </w:rPr>
      </w:pPr>
      <w:r>
        <w:rPr>
          <w:rFonts w:ascii="Times New Roman" w:hAnsi="Times New Roman" w:eastAsia="宋体"/>
          <w:color w:val="auto"/>
          <w:sz w:val="28"/>
        </w:rPr>
        <w:t>参考文献</w:t>
      </w:r>
    </w:p>
    <w:p w14:paraId="046463A2">
      <w:pPr>
        <w:spacing w:after="80" w:line="360" w:lineRule="auto"/>
        <w:ind w:left="420" w:hanging="420"/>
      </w:pPr>
      <w:r>
        <w:rPr>
          <w:sz w:val="20"/>
        </w:rPr>
        <w:t xml:space="preserve">[1] Zalucki MP, Shabbir A, Silva R, Adamson D, Shu-Sheng L, Furlong MJ. Estimating the economic cost of one of the world's major insect pests, </w:t>
      </w:r>
      <w:r>
        <w:rPr>
          <w:i/>
          <w:sz w:val="20"/>
        </w:rPr>
        <w:t>Plutella xylostella</w:t>
      </w:r>
      <w:r>
        <w:rPr>
          <w:sz w:val="20"/>
        </w:rPr>
        <w:t xml:space="preserve"> (Lepidoptera: Plutellidae): just how long is a piece of string? </w:t>
      </w:r>
      <w:r>
        <w:rPr>
          <w:i/>
          <w:sz w:val="20"/>
        </w:rPr>
        <w:t>J Econ Entomol.</w:t>
      </w:r>
      <w:r>
        <w:rPr>
          <w:sz w:val="20"/>
        </w:rPr>
        <w:t xml:space="preserve"> 2012;105(4):1115–1129.</w:t>
      </w:r>
    </w:p>
    <w:p w14:paraId="1A4EF274">
      <w:pPr>
        <w:spacing w:after="80" w:line="360" w:lineRule="auto"/>
        <w:ind w:left="420" w:hanging="420"/>
      </w:pPr>
      <w:r>
        <w:rPr>
          <w:sz w:val="20"/>
        </w:rPr>
        <w:t xml:space="preserve">[2] Furlong MJ, Wright DJ, Dosdall LM. Diamondback moth ecology and management: problems, progress, and prospects. </w:t>
      </w:r>
      <w:r>
        <w:rPr>
          <w:i/>
          <w:sz w:val="20"/>
        </w:rPr>
        <w:t>Annu Rev Entomol.</w:t>
      </w:r>
      <w:r>
        <w:rPr>
          <w:sz w:val="20"/>
        </w:rPr>
        <w:t xml:space="preserve"> 2013;58:517–541.</w:t>
      </w:r>
    </w:p>
    <w:p w14:paraId="61B8133F">
      <w:pPr>
        <w:spacing w:after="80" w:line="360" w:lineRule="auto"/>
        <w:ind w:left="420" w:hanging="420"/>
      </w:pPr>
      <w:r>
        <w:rPr>
          <w:sz w:val="20"/>
        </w:rPr>
        <w:t xml:space="preserve">[3] Talekar NS, Shelton AM. Biology, ecology, and management of the diamondback moth. </w:t>
      </w:r>
      <w:r>
        <w:rPr>
          <w:i/>
          <w:sz w:val="20"/>
        </w:rPr>
        <w:t>Annu Rev Entomol.</w:t>
      </w:r>
      <w:r>
        <w:rPr>
          <w:sz w:val="20"/>
        </w:rPr>
        <w:t xml:space="preserve"> 1993;38:275–301.</w:t>
      </w:r>
    </w:p>
    <w:p w14:paraId="6DC7402F">
      <w:pPr>
        <w:spacing w:after="80" w:line="360" w:lineRule="auto"/>
        <w:ind w:left="420" w:hanging="420"/>
      </w:pPr>
      <w:r>
        <w:rPr>
          <w:sz w:val="20"/>
        </w:rPr>
        <w:t xml:space="preserve">[4] Sparks TC, Crossthwaite AJ, Nauen R, et al. Insecticides, biologics and nematicides: Updates to IRAC's mode of action classification. </w:t>
      </w:r>
      <w:r>
        <w:rPr>
          <w:i/>
          <w:sz w:val="20"/>
        </w:rPr>
        <w:t>Pestic Biochem Physiol.</w:t>
      </w:r>
      <w:r>
        <w:rPr>
          <w:sz w:val="20"/>
        </w:rPr>
        <w:t xml:space="preserve"> 2020;167:104587.</w:t>
      </w:r>
    </w:p>
    <w:p w14:paraId="0FF64549">
      <w:pPr>
        <w:spacing w:after="80" w:line="360" w:lineRule="auto"/>
        <w:ind w:left="420" w:hanging="420"/>
      </w:pPr>
      <w:r>
        <w:rPr>
          <w:sz w:val="20"/>
        </w:rPr>
        <w:t xml:space="preserve">[5] Shelton AM, Zhao JZ, Roush RT. Economic, ecological, food safety, and social consequences of the deployment of Bt transgenic plants. </w:t>
      </w:r>
      <w:r>
        <w:rPr>
          <w:i/>
          <w:sz w:val="20"/>
        </w:rPr>
        <w:t>Annu Rev Entomol.</w:t>
      </w:r>
      <w:r>
        <w:rPr>
          <w:sz w:val="20"/>
        </w:rPr>
        <w:t xml:space="preserve"> 2002;47:845–881.</w:t>
      </w:r>
    </w:p>
    <w:p w14:paraId="75CCBEE2">
      <w:pPr>
        <w:spacing w:after="80" w:line="360" w:lineRule="auto"/>
        <w:ind w:left="420" w:hanging="420"/>
      </w:pPr>
      <w:r>
        <w:rPr>
          <w:sz w:val="20"/>
        </w:rPr>
        <w:t xml:space="preserve">[6] Tabashnik BE, Brévault T, Carrière Y. Insect resistance to Bt crops: lessons from the first billion acres. </w:t>
      </w:r>
      <w:r>
        <w:rPr>
          <w:i/>
          <w:sz w:val="20"/>
        </w:rPr>
        <w:t>Nat Biotechnol.</w:t>
      </w:r>
      <w:r>
        <w:rPr>
          <w:sz w:val="20"/>
        </w:rPr>
        <w:t xml:space="preserve"> 2013;31(6):510–521.</w:t>
      </w:r>
    </w:p>
    <w:p w14:paraId="4AC3DB3D">
      <w:pPr>
        <w:spacing w:after="80" w:line="360" w:lineRule="auto"/>
        <w:ind w:left="420" w:hanging="420"/>
      </w:pPr>
      <w:r>
        <w:rPr>
          <w:sz w:val="20"/>
        </w:rPr>
        <w:t xml:space="preserve">[7] You M, Yue Z, He W, et al. A heterozygous moth genome provides insights into herbivory and detoxification. </w:t>
      </w:r>
      <w:r>
        <w:rPr>
          <w:i/>
          <w:sz w:val="20"/>
        </w:rPr>
        <w:t>Nat Genet.</w:t>
      </w:r>
      <w:r>
        <w:rPr>
          <w:sz w:val="20"/>
        </w:rPr>
        <w:t xml:space="preserve"> 2013;45(2):220–225.</w:t>
      </w:r>
    </w:p>
    <w:p w14:paraId="56BE85CE">
      <w:pPr>
        <w:spacing w:after="80" w:line="360" w:lineRule="auto"/>
        <w:ind w:left="420" w:hanging="420"/>
      </w:pPr>
      <w:r>
        <w:rPr>
          <w:sz w:val="20"/>
        </w:rPr>
        <w:t xml:space="preserve">[8] Vogel H, Heidel AJ, Heckel DG, Groot AT. Transcriptome analysis of the sex pheromone gland of the noctuid moth </w:t>
      </w:r>
      <w:r>
        <w:rPr>
          <w:i/>
          <w:sz w:val="20"/>
        </w:rPr>
        <w:t>Heliothis virescens</w:t>
      </w:r>
      <w:r>
        <w:rPr>
          <w:sz w:val="20"/>
        </w:rPr>
        <w:t xml:space="preserve">. </w:t>
      </w:r>
      <w:r>
        <w:rPr>
          <w:i/>
          <w:sz w:val="20"/>
        </w:rPr>
        <w:t>BMC Genomics.</w:t>
      </w:r>
      <w:r>
        <w:rPr>
          <w:sz w:val="20"/>
        </w:rPr>
        <w:t xml:space="preserve"> 2010;11:29.</w:t>
      </w:r>
    </w:p>
    <w:p w14:paraId="66201716">
      <w:pPr>
        <w:spacing w:after="80" w:line="360" w:lineRule="auto"/>
        <w:ind w:left="420" w:hanging="420"/>
      </w:pPr>
      <w:r>
        <w:rPr>
          <w:sz w:val="20"/>
        </w:rPr>
        <w:t xml:space="preserve">[9] Sparks TC, Nauen R. IRAC: Mode of action classification and insecticide resistance management. </w:t>
      </w:r>
      <w:r>
        <w:rPr>
          <w:i/>
          <w:sz w:val="20"/>
        </w:rPr>
        <w:t>Pestic Biochem Physiol.</w:t>
      </w:r>
      <w:r>
        <w:rPr>
          <w:sz w:val="20"/>
        </w:rPr>
        <w:t xml:space="preserve"> 2015;121:122–128.</w:t>
      </w:r>
    </w:p>
    <w:p w14:paraId="78228C5E">
      <w:pPr>
        <w:spacing w:after="80" w:line="360" w:lineRule="auto"/>
        <w:ind w:left="420" w:hanging="420"/>
      </w:pPr>
      <w:r>
        <w:rPr>
          <w:sz w:val="20"/>
        </w:rPr>
        <w:t xml:space="preserve">[10] Casida JE, Durkin KA. Neuroactive insecticides: targets, selectivity, resistance, and secondary effects. </w:t>
      </w:r>
      <w:r>
        <w:rPr>
          <w:i/>
          <w:sz w:val="20"/>
        </w:rPr>
        <w:t>Annu Rev Entomol.</w:t>
      </w:r>
      <w:r>
        <w:rPr>
          <w:sz w:val="20"/>
        </w:rPr>
        <w:t xml:space="preserve"> 2013;58:99–117.</w:t>
      </w:r>
    </w:p>
    <w:p w14:paraId="606FE922">
      <w:pPr>
        <w:spacing w:after="80" w:line="360" w:lineRule="auto"/>
        <w:ind w:left="420" w:hanging="420"/>
      </w:pPr>
      <w:r>
        <w:rPr>
          <w:sz w:val="20"/>
        </w:rPr>
        <w:t xml:space="preserve">[11] Nauen R, Denholm I. Resistance of insect pests to neonicotinoid insecticides: current status and future prospects. </w:t>
      </w:r>
      <w:r>
        <w:rPr>
          <w:i/>
          <w:sz w:val="20"/>
        </w:rPr>
        <w:t>Arch Insect Biochem Physiol.</w:t>
      </w:r>
      <w:r>
        <w:rPr>
          <w:sz w:val="20"/>
        </w:rPr>
        <w:t xml:space="preserve"> 2005;58(4):200–215.</w:t>
      </w:r>
    </w:p>
    <w:p w14:paraId="404FA846">
      <w:pPr>
        <w:spacing w:after="80" w:line="360" w:lineRule="auto"/>
        <w:ind w:left="420" w:hanging="420"/>
      </w:pPr>
      <w:r>
        <w:rPr>
          <w:sz w:val="20"/>
        </w:rPr>
        <w:t xml:space="preserve">[12] Roush RT, Tabashnik BE, editors. </w:t>
      </w:r>
      <w:r>
        <w:rPr>
          <w:i/>
          <w:sz w:val="20"/>
        </w:rPr>
        <w:t>Pesticide Resistance in Arthropods.</w:t>
      </w:r>
      <w:r>
        <w:rPr>
          <w:sz w:val="20"/>
        </w:rPr>
        <w:t xml:space="preserve"> New York: Chapman and Hall; 1990.</w:t>
      </w:r>
    </w:p>
    <w:p w14:paraId="4AF766FC">
      <w:pPr>
        <w:spacing w:after="80" w:line="360" w:lineRule="auto"/>
        <w:ind w:left="420" w:hanging="420"/>
      </w:pPr>
      <w:r>
        <w:rPr>
          <w:sz w:val="20"/>
        </w:rPr>
        <w:t xml:space="preserve">[13] Baxter SW, Chen M, Dawson A, et al. Mis-spliced transcripts of nicotinic acetylcholine receptor alpha6 are associated with field evolved spinosad resistance in </w:t>
      </w:r>
      <w:r>
        <w:rPr>
          <w:i/>
          <w:sz w:val="20"/>
        </w:rPr>
        <w:t>Plutella xylostella</w:t>
      </w:r>
      <w:r>
        <w:rPr>
          <w:sz w:val="20"/>
        </w:rPr>
        <w:t xml:space="preserve">. </w:t>
      </w:r>
      <w:r>
        <w:rPr>
          <w:i/>
          <w:sz w:val="20"/>
        </w:rPr>
        <w:t>PLoS Genet.</w:t>
      </w:r>
      <w:r>
        <w:rPr>
          <w:sz w:val="20"/>
        </w:rPr>
        <w:t xml:space="preserve"> 2010;6(1):e1000802.</w:t>
      </w:r>
    </w:p>
    <w:p w14:paraId="1036BE6C">
      <w:pPr>
        <w:spacing w:after="80" w:line="360" w:lineRule="auto"/>
        <w:ind w:left="420" w:hanging="420"/>
      </w:pPr>
      <w:r>
        <w:rPr>
          <w:sz w:val="20"/>
        </w:rPr>
        <w:t xml:space="preserve">[14] Tomizawa M, Casida JE. Neonicotinoid insecticide toxicology: mechanisms of selective action. </w:t>
      </w:r>
      <w:r>
        <w:rPr>
          <w:i/>
          <w:sz w:val="20"/>
        </w:rPr>
        <w:t>Annu Rev Pharmacol Toxicol.</w:t>
      </w:r>
      <w:r>
        <w:rPr>
          <w:sz w:val="20"/>
        </w:rPr>
        <w:t xml:space="preserve"> 2005;45:247–268.</w:t>
      </w:r>
    </w:p>
    <w:p w14:paraId="1F33E5CA">
      <w:pPr>
        <w:spacing w:after="80" w:line="360" w:lineRule="auto"/>
        <w:ind w:left="420" w:hanging="420"/>
      </w:pPr>
      <w:r>
        <w:rPr>
          <w:sz w:val="20"/>
        </w:rPr>
        <w:t xml:space="preserve">[15] Salgado VL, Sparks TC. The spinosyns: chemistry, biochemistry, mode of action, and resistance. In: Gilbert LI, Gill SS, editors. </w:t>
      </w:r>
      <w:r>
        <w:rPr>
          <w:i/>
          <w:sz w:val="20"/>
        </w:rPr>
        <w:t>Insect Control.</w:t>
      </w:r>
      <w:r>
        <w:rPr>
          <w:sz w:val="20"/>
        </w:rPr>
        <w:t xml:space="preserve"> Academic Press; 2010. p. 207–243.</w:t>
      </w:r>
    </w:p>
    <w:p w14:paraId="250344D6">
      <w:pPr>
        <w:spacing w:after="80" w:line="360" w:lineRule="auto"/>
        <w:ind w:left="420" w:hanging="420"/>
      </w:pPr>
      <w:r>
        <w:rPr>
          <w:sz w:val="20"/>
        </w:rPr>
        <w:t xml:space="preserve">[16] Bloomquist JR. Ion channels as targets for insecticides. </w:t>
      </w:r>
      <w:r>
        <w:rPr>
          <w:i/>
          <w:sz w:val="20"/>
        </w:rPr>
        <w:t>Annu Rev Entomol.</w:t>
      </w:r>
      <w:r>
        <w:rPr>
          <w:sz w:val="20"/>
        </w:rPr>
        <w:t xml:space="preserve"> 1996;41:163–190.</w:t>
      </w:r>
    </w:p>
    <w:p w14:paraId="0974800A">
      <w:pPr>
        <w:spacing w:after="80" w:line="360" w:lineRule="auto"/>
        <w:ind w:left="420" w:hanging="420"/>
      </w:pPr>
      <w:r>
        <w:rPr>
          <w:sz w:val="20"/>
        </w:rPr>
        <w:t xml:space="preserve">[17] Raymond-Delpech V, Matsuda K, Sattelle BM, Rauh JJ, Sattelle DB. Ion channels: molecular targets of neuroactive insecticides. </w:t>
      </w:r>
      <w:r>
        <w:rPr>
          <w:i/>
          <w:sz w:val="20"/>
        </w:rPr>
        <w:t>Invert Neurosci.</w:t>
      </w:r>
      <w:r>
        <w:rPr>
          <w:sz w:val="20"/>
        </w:rPr>
        <w:t xml:space="preserve"> 2005;5(3–4):119–133.</w:t>
      </w:r>
    </w:p>
    <w:p w14:paraId="5560BF3F">
      <w:pPr>
        <w:spacing w:after="80" w:line="360" w:lineRule="auto"/>
        <w:ind w:left="420" w:hanging="420"/>
      </w:pPr>
      <w:r>
        <w:rPr>
          <w:sz w:val="20"/>
        </w:rPr>
        <w:t xml:space="preserve">[18] Ma H, Huang Q, Lai X, et al. Pharmacological properties of the type 1 tyramine receptor in the diamondback moth, </w:t>
      </w:r>
      <w:r>
        <w:rPr>
          <w:i/>
          <w:sz w:val="20"/>
        </w:rPr>
        <w:t>Plutella xylostella</w:t>
      </w:r>
      <w:r>
        <w:rPr>
          <w:sz w:val="20"/>
        </w:rPr>
        <w:t xml:space="preserve">. </w:t>
      </w:r>
      <w:r>
        <w:rPr>
          <w:i/>
          <w:sz w:val="20"/>
        </w:rPr>
        <w:t>Int J Mol Sci.</w:t>
      </w:r>
      <w:r>
        <w:rPr>
          <w:sz w:val="20"/>
        </w:rPr>
        <w:t xml:space="preserve"> 2019;20(12):2953.</w:t>
      </w:r>
    </w:p>
    <w:p w14:paraId="7B95B5E4">
      <w:pPr>
        <w:spacing w:after="80" w:line="360" w:lineRule="auto"/>
        <w:ind w:left="420" w:hanging="420"/>
      </w:pPr>
      <w:r>
        <w:rPr>
          <w:sz w:val="20"/>
        </w:rPr>
        <w:t xml:space="preserve">[19] Zhu H, Liu Z, Ma H, et al. Pharmacological properties and function of the PxOctbeta3 octopamine receptor in </w:t>
      </w:r>
      <w:r>
        <w:rPr>
          <w:i/>
          <w:sz w:val="20"/>
        </w:rPr>
        <w:t>Plutella xylostella</w:t>
      </w:r>
      <w:r>
        <w:rPr>
          <w:sz w:val="20"/>
        </w:rPr>
        <w:t xml:space="preserve">. </w:t>
      </w:r>
      <w:r>
        <w:rPr>
          <w:i/>
          <w:sz w:val="20"/>
        </w:rPr>
        <w:t>Insects.</w:t>
      </w:r>
      <w:r>
        <w:rPr>
          <w:sz w:val="20"/>
        </w:rPr>
        <w:t xml:space="preserve"> 2022;13(8):735.</w:t>
      </w:r>
    </w:p>
    <w:p w14:paraId="396FDC25">
      <w:pPr>
        <w:spacing w:after="80" w:line="360" w:lineRule="auto"/>
        <w:ind w:left="420" w:hanging="420"/>
      </w:pPr>
      <w:r>
        <w:rPr>
          <w:sz w:val="20"/>
        </w:rPr>
        <w:t xml:space="preserve">[20] Zheng W, Ma H, Liu Z, et al. Knockout of tyramine receptor 1 results in a decrease of oviposition, mating, and sex pheromone biosynthesis in female </w:t>
      </w:r>
      <w:r>
        <w:rPr>
          <w:i/>
          <w:sz w:val="20"/>
        </w:rPr>
        <w:t>Plutella xylostella</w:t>
      </w:r>
      <w:r>
        <w:rPr>
          <w:sz w:val="20"/>
        </w:rPr>
        <w:t xml:space="preserve">. </w:t>
      </w:r>
      <w:r>
        <w:rPr>
          <w:i/>
          <w:sz w:val="20"/>
        </w:rPr>
        <w:t>Pest Manag Sci.</w:t>
      </w:r>
      <w:r>
        <w:rPr>
          <w:sz w:val="20"/>
        </w:rPr>
        <w:t xml:space="preserve"> 2023;79(10):3903–3912.</w:t>
      </w:r>
    </w:p>
    <w:p w14:paraId="135D5C13">
      <w:pPr>
        <w:spacing w:after="80" w:line="360" w:lineRule="auto"/>
        <w:ind w:left="420" w:hanging="420"/>
      </w:pPr>
      <w:r>
        <w:rPr>
          <w:sz w:val="20"/>
        </w:rPr>
        <w:t xml:space="preserve">[21] Matsuda K, Buckingham SD, Kleier D, Rauh JJ, Grauso M, Sattelle DB. Neonicotinoids: insecticides acting on insect nicotinic acetylcholine receptors. </w:t>
      </w:r>
      <w:r>
        <w:rPr>
          <w:i/>
          <w:sz w:val="20"/>
        </w:rPr>
        <w:t>Trends Pharmacol Sci.</w:t>
      </w:r>
      <w:r>
        <w:rPr>
          <w:sz w:val="20"/>
        </w:rPr>
        <w:t xml:space="preserve"> 2001;22(11):573–580.</w:t>
      </w:r>
    </w:p>
    <w:p w14:paraId="7FA1F634">
      <w:pPr>
        <w:spacing w:after="80" w:line="360" w:lineRule="auto"/>
        <w:ind w:left="420" w:hanging="420"/>
      </w:pPr>
      <w:r>
        <w:rPr>
          <w:sz w:val="20"/>
        </w:rPr>
        <w:t xml:space="preserve">[22] Salgado VL. Studies on the mode of action of spinosad: insect symptoms and physiological correlates. </w:t>
      </w:r>
      <w:r>
        <w:rPr>
          <w:i/>
          <w:sz w:val="20"/>
        </w:rPr>
        <w:t>Pestic Biochem Physiol.</w:t>
      </w:r>
      <w:r>
        <w:rPr>
          <w:sz w:val="20"/>
        </w:rPr>
        <w:t xml:space="preserve"> 1998;60(2):91–102.</w:t>
      </w:r>
    </w:p>
    <w:p w14:paraId="036F16AA">
      <w:pPr>
        <w:spacing w:after="80" w:line="360" w:lineRule="auto"/>
        <w:ind w:left="420" w:hanging="420"/>
      </w:pPr>
      <w:r>
        <w:rPr>
          <w:sz w:val="20"/>
        </w:rPr>
        <w:t xml:space="preserve">[23] Wang X, Wang R, Yang Y, Wu S, O'Reilly AO, Wu Y. A point mutation in the glutamate-gated chloride channel of </w:t>
      </w:r>
      <w:r>
        <w:rPr>
          <w:i/>
          <w:sz w:val="20"/>
        </w:rPr>
        <w:t>Plutella xylostella</w:t>
      </w:r>
      <w:r>
        <w:rPr>
          <w:sz w:val="20"/>
        </w:rPr>
        <w:t xml:space="preserve"> is associated with resistance to abamectin. </w:t>
      </w:r>
      <w:r>
        <w:rPr>
          <w:i/>
          <w:sz w:val="20"/>
        </w:rPr>
        <w:t>Insect Mol Biol.</w:t>
      </w:r>
      <w:r>
        <w:rPr>
          <w:sz w:val="20"/>
        </w:rPr>
        <w:t xml:space="preserve"> 2016;25(2):116–125.</w:t>
      </w:r>
    </w:p>
    <w:p w14:paraId="57C52F47">
      <w:pPr>
        <w:spacing w:after="80" w:line="360" w:lineRule="auto"/>
        <w:ind w:left="420" w:hanging="420"/>
      </w:pPr>
      <w:r>
        <w:rPr>
          <w:sz w:val="20"/>
        </w:rPr>
        <w:t xml:space="preserve">[24] Nakao T, Banba S. Broflanilide: A meta-diamide insecticide with a novel mode of action. </w:t>
      </w:r>
      <w:r>
        <w:rPr>
          <w:i/>
          <w:sz w:val="20"/>
        </w:rPr>
        <w:t>Bioorg Med Chem.</w:t>
      </w:r>
      <w:r>
        <w:rPr>
          <w:sz w:val="20"/>
        </w:rPr>
        <w:t xml:space="preserve"> 2016;24(3):372–377.</w:t>
      </w:r>
    </w:p>
    <w:p w14:paraId="42B3A77C">
      <w:pPr>
        <w:spacing w:after="80" w:line="360" w:lineRule="auto"/>
        <w:ind w:left="420" w:hanging="420"/>
      </w:pPr>
      <w:r>
        <w:rPr>
          <w:sz w:val="20"/>
        </w:rPr>
        <w:t xml:space="preserve">[25] Dong K, Du Y, Rinkevich F, et al. Molecular biology of insect sodium channels and pyrethroid resistance. </w:t>
      </w:r>
      <w:r>
        <w:rPr>
          <w:i/>
          <w:sz w:val="20"/>
        </w:rPr>
        <w:t>Insect Biochem Mol Biol.</w:t>
      </w:r>
      <w:r>
        <w:rPr>
          <w:sz w:val="20"/>
        </w:rPr>
        <w:t xml:space="preserve"> 2014;50:1–17.</w:t>
      </w:r>
    </w:p>
    <w:p w14:paraId="012D2115">
      <w:pPr>
        <w:spacing w:after="80" w:line="360" w:lineRule="auto"/>
        <w:ind w:left="420" w:hanging="420"/>
      </w:pPr>
      <w:r>
        <w:rPr>
          <w:sz w:val="20"/>
        </w:rPr>
        <w:t xml:space="preserve">[26] Sattelle DB, Cordova D, Cheek TR. Insect ryanodine receptors: molecular targets for novel pest control chemicals. </w:t>
      </w:r>
      <w:r>
        <w:rPr>
          <w:i/>
          <w:sz w:val="20"/>
        </w:rPr>
        <w:t>Invert Neurosci.</w:t>
      </w:r>
      <w:r>
        <w:rPr>
          <w:sz w:val="20"/>
        </w:rPr>
        <w:t xml:space="preserve"> 2008;8(3):107–119.</w:t>
      </w:r>
    </w:p>
    <w:p w14:paraId="3B5ADEB9">
      <w:pPr>
        <w:spacing w:after="80" w:line="360" w:lineRule="auto"/>
        <w:ind w:left="420" w:hanging="420"/>
      </w:pPr>
      <w:r>
        <w:rPr>
          <w:sz w:val="20"/>
        </w:rPr>
        <w:t xml:space="preserve">[27] Troczka B, Zimmer CT, Elias J, et al. Resistance to diamide insecticides in diamondback moth is associated with a mutation in the membrane-spanning domain of the ryanodine receptor. </w:t>
      </w:r>
      <w:r>
        <w:rPr>
          <w:i/>
          <w:sz w:val="20"/>
        </w:rPr>
        <w:t>Insect Biochem Mol Biol.</w:t>
      </w:r>
      <w:r>
        <w:rPr>
          <w:sz w:val="20"/>
        </w:rPr>
        <w:t xml:space="preserve"> 2012;42(11):873–880.</w:t>
      </w:r>
    </w:p>
    <w:p w14:paraId="281F2C9C">
      <w:pPr>
        <w:spacing w:after="80" w:line="360" w:lineRule="auto"/>
        <w:ind w:left="420" w:hanging="420"/>
      </w:pPr>
      <w:r>
        <w:rPr>
          <w:sz w:val="20"/>
        </w:rPr>
        <w:t xml:space="preserve">[28] Wang J, Wang X, Lansdell SJ, et al. A three amino acid deletion in the transmembrane domain of the nicotinic acetylcholine receptor alpha6 subunit confers high-level resistance to spinosad in </w:t>
      </w:r>
      <w:r>
        <w:rPr>
          <w:i/>
          <w:sz w:val="20"/>
        </w:rPr>
        <w:t>Plutella xylostella</w:t>
      </w:r>
      <w:r>
        <w:rPr>
          <w:sz w:val="20"/>
        </w:rPr>
        <w:t xml:space="preserve">. </w:t>
      </w:r>
      <w:r>
        <w:rPr>
          <w:i/>
          <w:sz w:val="20"/>
        </w:rPr>
        <w:t>Insect Biochem Mol Biol.</w:t>
      </w:r>
      <w:r>
        <w:rPr>
          <w:sz w:val="20"/>
        </w:rPr>
        <w:t xml:space="preserve"> 2016;71:29–36.</w:t>
      </w:r>
    </w:p>
    <w:p w14:paraId="4EFF33F6">
      <w:pPr>
        <w:spacing w:after="80" w:line="360" w:lineRule="auto"/>
        <w:ind w:left="420" w:hanging="420"/>
      </w:pPr>
      <w:r>
        <w:rPr>
          <w:sz w:val="20"/>
        </w:rPr>
        <w:t xml:space="preserve">[29] Wang XL, Su W, Zhang JH, Yang YH, Dong K, Wu YD. Two novel sodium channel mutations associated with resistance to indoxacarb and metaflumizone in the diamondback moth. </w:t>
      </w:r>
      <w:r>
        <w:rPr>
          <w:i/>
          <w:sz w:val="20"/>
        </w:rPr>
        <w:t>Insect Sci.</w:t>
      </w:r>
      <w:r>
        <w:rPr>
          <w:sz w:val="20"/>
        </w:rPr>
        <w:t xml:space="preserve"> 2016;23(1):50–58.</w:t>
      </w:r>
    </w:p>
    <w:p w14:paraId="2F7955A9">
      <w:pPr>
        <w:spacing w:after="80" w:line="360" w:lineRule="auto"/>
        <w:ind w:left="420" w:hanging="420"/>
      </w:pPr>
      <w:r>
        <w:rPr>
          <w:sz w:val="20"/>
        </w:rPr>
        <w:t xml:space="preserve">[30] Steinbach D, Gutbrod O, Lümmen P, Matthiesen S, Schorn C, Nauen R. Geographic spread, genetics and functional characteristics of ryanodine receptor-based target-site resistance to diamide insecticides in diamondback moth. </w:t>
      </w:r>
      <w:r>
        <w:rPr>
          <w:i/>
          <w:sz w:val="20"/>
        </w:rPr>
        <w:t>Insect Biochem Mol Biol.</w:t>
      </w:r>
      <w:r>
        <w:rPr>
          <w:sz w:val="20"/>
        </w:rPr>
        <w:t xml:space="preserve"> 2015;54:11–20.</w:t>
      </w:r>
    </w:p>
    <w:p w14:paraId="5CD80072">
      <w:pPr>
        <w:spacing w:after="80" w:line="360" w:lineRule="auto"/>
        <w:ind w:left="420" w:hanging="420"/>
      </w:pPr>
      <w:r>
        <w:rPr>
          <w:sz w:val="20"/>
        </w:rPr>
        <w:t xml:space="preserve">[31] Verlinden H, Vleugels R, Zels S, et al. Receptors for neuronal or hormonal ligands as targets for the control of insect pests. </w:t>
      </w:r>
      <w:r>
        <w:rPr>
          <w:i/>
          <w:sz w:val="20"/>
        </w:rPr>
        <w:t>Adv Insect Physiol.</w:t>
      </w:r>
      <w:r>
        <w:rPr>
          <w:sz w:val="20"/>
        </w:rPr>
        <w:t xml:space="preserve"> 2014;46:167–303.</w:t>
      </w:r>
    </w:p>
    <w:p w14:paraId="6595FD43">
      <w:pPr>
        <w:spacing w:after="80" w:line="360" w:lineRule="auto"/>
        <w:ind w:left="420" w:hanging="420"/>
      </w:pPr>
      <w:r>
        <w:rPr>
          <w:sz w:val="20"/>
        </w:rPr>
        <w:t xml:space="preserve">[32] Lin CL, Yeh SC, Feng HT, Dai SM. Inheritance and stability of mevinphos-resistance in </w:t>
      </w:r>
      <w:r>
        <w:rPr>
          <w:i/>
          <w:sz w:val="20"/>
        </w:rPr>
        <w:t>Plutella xylostella</w:t>
      </w:r>
      <w:r>
        <w:rPr>
          <w:sz w:val="20"/>
        </w:rPr>
        <w:t xml:space="preserve">, with special reference to mutations of acetylcholinesterase 1. </w:t>
      </w:r>
      <w:r>
        <w:rPr>
          <w:i/>
          <w:sz w:val="20"/>
        </w:rPr>
        <w:t>Pestic Biochem Physiol.</w:t>
      </w:r>
      <w:r>
        <w:rPr>
          <w:sz w:val="20"/>
        </w:rPr>
        <w:t xml:space="preserve"> 2017;141:65–70.</w:t>
      </w:r>
    </w:p>
    <w:p w14:paraId="4621EA1A">
      <w:pPr>
        <w:spacing w:after="80" w:line="360" w:lineRule="auto"/>
        <w:ind w:left="420" w:hanging="420"/>
      </w:pPr>
      <w:r>
        <w:rPr>
          <w:sz w:val="20"/>
        </w:rPr>
        <w:t xml:space="preserve">[33] Jiang D, Harvey-Samuel T, Senevirathna M, et al. Key role of the ryanodine receptor I4790K mutation in mediating diamide resistance in </w:t>
      </w:r>
      <w:r>
        <w:rPr>
          <w:i/>
          <w:sz w:val="20"/>
        </w:rPr>
        <w:t>Plutella xylostella</w:t>
      </w:r>
      <w:r>
        <w:rPr>
          <w:sz w:val="20"/>
        </w:rPr>
        <w:t xml:space="preserve">. </w:t>
      </w:r>
      <w:r>
        <w:rPr>
          <w:i/>
          <w:sz w:val="20"/>
        </w:rPr>
        <w:t>Insect Biochem Mol Biol.</w:t>
      </w:r>
      <w:r>
        <w:rPr>
          <w:sz w:val="20"/>
        </w:rPr>
        <w:t xml:space="preserve"> 2024;168:104107.</w:t>
      </w:r>
    </w:p>
    <w:p w14:paraId="1C5745CA">
      <w:pPr>
        <w:spacing w:after="80" w:line="360" w:lineRule="auto"/>
        <w:ind w:left="420" w:hanging="420"/>
      </w:pPr>
      <w:r>
        <w:rPr>
          <w:sz w:val="20"/>
        </w:rPr>
        <w:t xml:space="preserve">[35] Bass C, Denholm I, Williamson MS, Nauen R. The global status of insect resistance to neonicotinoid insecticides. </w:t>
      </w:r>
      <w:r>
        <w:rPr>
          <w:i/>
          <w:sz w:val="20"/>
        </w:rPr>
        <w:t>Pestic Biochem Physiol.</w:t>
      </w:r>
      <w:r>
        <w:rPr>
          <w:sz w:val="20"/>
        </w:rPr>
        <w:t xml:space="preserve"> 2015;121:78–87.</w:t>
      </w:r>
    </w:p>
    <w:p w14:paraId="5B1D1BC4">
      <w:pPr>
        <w:spacing w:after="80" w:line="360" w:lineRule="auto"/>
        <w:ind w:left="420" w:hanging="420"/>
      </w:pPr>
      <w:r>
        <w:rPr>
          <w:sz w:val="20"/>
        </w:rPr>
        <w:t xml:space="preserve">[36] Jeschke P, Nauen R, Schindler M, Elbert A. Overview of the status and global strategy for neonicotinoids. </w:t>
      </w:r>
      <w:r>
        <w:rPr>
          <w:i/>
          <w:sz w:val="20"/>
        </w:rPr>
        <w:t>J Agric Food Chem.</w:t>
      </w:r>
      <w:r>
        <w:rPr>
          <w:sz w:val="20"/>
        </w:rPr>
        <w:t xml:space="preserve"> 2011;59(7):2897–2908.</w:t>
      </w:r>
    </w:p>
    <w:p w14:paraId="06BF0FB0">
      <w:pPr>
        <w:spacing w:after="80" w:line="360" w:lineRule="auto"/>
        <w:ind w:left="420" w:hanging="420"/>
      </w:pPr>
      <w:r>
        <w:rPr>
          <w:sz w:val="20"/>
        </w:rPr>
        <w:t xml:space="preserve">[37] Rinkevich FD, Chen M, Shelton AM, Scott JG. Transcripts of the nicotinic acetylcholine receptor subunit gene </w:t>
      </w:r>
      <w:r>
        <w:rPr>
          <w:i/>
          <w:sz w:val="20"/>
        </w:rPr>
        <w:t>Pxylalpha6</w:t>
      </w:r>
      <w:r>
        <w:rPr>
          <w:sz w:val="20"/>
        </w:rPr>
        <w:t xml:space="preserve"> with premature stop codons in the spinosad resistant diamondback moth. </w:t>
      </w:r>
      <w:r>
        <w:rPr>
          <w:i/>
          <w:sz w:val="20"/>
        </w:rPr>
        <w:t>Invert Neurosci.</w:t>
      </w:r>
      <w:r>
        <w:rPr>
          <w:sz w:val="20"/>
        </w:rPr>
        <w:t xml:space="preserve"> 2010;10(1):25–33.</w:t>
      </w:r>
    </w:p>
    <w:p w14:paraId="6AC99279">
      <w:pPr>
        <w:spacing w:after="80" w:line="360" w:lineRule="auto"/>
        <w:ind w:left="420" w:hanging="420"/>
      </w:pPr>
      <w:r>
        <w:rPr>
          <w:sz w:val="20"/>
        </w:rPr>
        <w:t xml:space="preserve">[38] Zolfaghari M, Xiao Y, Azam FMS, et al. Resistance mechanism of </w:t>
      </w:r>
      <w:r>
        <w:rPr>
          <w:i/>
          <w:sz w:val="20"/>
        </w:rPr>
        <w:t>Plutella xylostella</w:t>
      </w:r>
      <w:r>
        <w:rPr>
          <w:sz w:val="20"/>
        </w:rPr>
        <w:t xml:space="preserve"> associated with amino acid substitutions in acetylcholinesterase-1. </w:t>
      </w:r>
      <w:r>
        <w:rPr>
          <w:i/>
          <w:sz w:val="20"/>
        </w:rPr>
        <w:t>Insects.</w:t>
      </w:r>
      <w:r>
        <w:rPr>
          <w:sz w:val="20"/>
        </w:rPr>
        <w:t xml:space="preserve"> 2024;15(3):144.</w:t>
      </w:r>
    </w:p>
    <w:p w14:paraId="52052D5B">
      <w:pPr>
        <w:spacing w:after="80" w:line="360" w:lineRule="auto"/>
        <w:ind w:left="420" w:hanging="420"/>
      </w:pPr>
      <w:r>
        <w:rPr>
          <w:sz w:val="20"/>
        </w:rPr>
        <w:t xml:space="preserve">[39] Sayyed AH, Saeed S, Noor-Ul-Ane M, Crickmore N. Genetics, realized heritability and possible mechanism of resistance to spinosad in diamondback moth. </w:t>
      </w:r>
      <w:r>
        <w:rPr>
          <w:i/>
          <w:sz w:val="20"/>
        </w:rPr>
        <w:t>Pest Manag Sci.</w:t>
      </w:r>
      <w:r>
        <w:rPr>
          <w:sz w:val="20"/>
        </w:rPr>
        <w:t xml:space="preserve"> 2008;64(7):756–762.</w:t>
      </w:r>
    </w:p>
    <w:p w14:paraId="2BA9F093">
      <w:pPr>
        <w:spacing w:after="80" w:line="360" w:lineRule="auto"/>
        <w:ind w:left="420" w:hanging="420"/>
      </w:pPr>
      <w:r>
        <w:rPr>
          <w:sz w:val="20"/>
        </w:rPr>
        <w:t xml:space="preserve">[40] Bao WX, Narai Y, Nakano A, Kaneda T, Murai T, Sonoda S. Spinosad resistance in diamondback moth: inheritance, fitness cost and cross-resistance. </w:t>
      </w:r>
      <w:r>
        <w:rPr>
          <w:i/>
          <w:sz w:val="20"/>
        </w:rPr>
        <w:t>Pestic Biochem Physiol.</w:t>
      </w:r>
      <w:r>
        <w:rPr>
          <w:sz w:val="20"/>
        </w:rPr>
        <w:t xml:space="preserve"> 2014;112:1–5.</w:t>
      </w:r>
    </w:p>
    <w:p w14:paraId="6F9D8D89">
      <w:pPr>
        <w:spacing w:after="80" w:line="360" w:lineRule="auto"/>
        <w:ind w:left="420" w:hanging="420"/>
      </w:pPr>
      <w:r>
        <w:rPr>
          <w:sz w:val="20"/>
        </w:rPr>
        <w:t xml:space="preserve">[42] Perry T, McKenzie JA, Batterham P. A </w:t>
      </w:r>
      <w:r>
        <w:rPr>
          <w:i/>
          <w:sz w:val="20"/>
        </w:rPr>
        <w:t>Drosophila</w:t>
      </w:r>
      <w:r>
        <w:rPr>
          <w:sz w:val="20"/>
        </w:rPr>
        <w:t xml:space="preserve"> nicotinic acetylcholine receptor subunit is associated with spinosad resistance. </w:t>
      </w:r>
      <w:r>
        <w:rPr>
          <w:i/>
          <w:sz w:val="20"/>
        </w:rPr>
        <w:t>Insect Biochem Mol Biol.</w:t>
      </w:r>
      <w:r>
        <w:rPr>
          <w:sz w:val="20"/>
        </w:rPr>
        <w:t xml:space="preserve"> 2007;37(3):213–219.</w:t>
      </w:r>
    </w:p>
    <w:p w14:paraId="0A4BA148">
      <w:pPr>
        <w:spacing w:after="80" w:line="360" w:lineRule="auto"/>
        <w:ind w:left="420" w:hanging="420"/>
      </w:pPr>
      <w:r>
        <w:rPr>
          <w:sz w:val="20"/>
        </w:rPr>
        <w:t xml:space="preserve">[43] Watson GB, Chouinard SW, Cook KR, et al. A spinosyn-sensitive </w:t>
      </w:r>
      <w:r>
        <w:rPr>
          <w:i/>
          <w:sz w:val="20"/>
        </w:rPr>
        <w:t>Drosophila melanogaster</w:t>
      </w:r>
      <w:r>
        <w:rPr>
          <w:sz w:val="20"/>
        </w:rPr>
        <w:t xml:space="preserve"> nicotinic acetylcholine receptor identified through chemically induced target-site resistance, resistance gene identification, and heterologous expression. </w:t>
      </w:r>
      <w:r>
        <w:rPr>
          <w:i/>
          <w:sz w:val="20"/>
        </w:rPr>
        <w:t>Insect Biochem Mol Biol.</w:t>
      </w:r>
      <w:r>
        <w:rPr>
          <w:sz w:val="20"/>
        </w:rPr>
        <w:t xml:space="preserve"> 2010;40(5):376–384.</w:t>
      </w:r>
    </w:p>
    <w:p w14:paraId="1276F8D6">
      <w:pPr>
        <w:spacing w:after="80" w:line="360" w:lineRule="auto"/>
        <w:ind w:left="420" w:hanging="420"/>
      </w:pPr>
      <w:r>
        <w:rPr>
          <w:sz w:val="20"/>
        </w:rPr>
        <w:t xml:space="preserve">[44] Millar NS, Denholm I. Nicotinic acetylcholine receptors: targets for commercially important insecticides. </w:t>
      </w:r>
      <w:r>
        <w:rPr>
          <w:i/>
          <w:sz w:val="20"/>
        </w:rPr>
        <w:t>Invert Neurosci.</w:t>
      </w:r>
      <w:r>
        <w:rPr>
          <w:sz w:val="20"/>
        </w:rPr>
        <w:t xml:space="preserve"> 2007;7(1):53–66.</w:t>
      </w:r>
    </w:p>
    <w:p w14:paraId="7934EDA0">
      <w:pPr>
        <w:spacing w:after="80" w:line="360" w:lineRule="auto"/>
        <w:ind w:left="420" w:hanging="420"/>
      </w:pPr>
      <w:r>
        <w:rPr>
          <w:sz w:val="20"/>
        </w:rPr>
        <w:t xml:space="preserve">[45] Puinean AM, Lansdell SJ, Collins T, Bielza P, Millar NS. A nicotinic acetylcholine receptor transmembrane point mutation (G275E) associated with resistance to spinosad in </w:t>
      </w:r>
      <w:r>
        <w:rPr>
          <w:i/>
          <w:sz w:val="20"/>
        </w:rPr>
        <w:t>Frankliniella occidentalis</w:t>
      </w:r>
      <w:r>
        <w:rPr>
          <w:sz w:val="20"/>
        </w:rPr>
        <w:t xml:space="preserve">. </w:t>
      </w:r>
      <w:r>
        <w:rPr>
          <w:i/>
          <w:sz w:val="20"/>
        </w:rPr>
        <w:t>J Neurochem.</w:t>
      </w:r>
      <w:r>
        <w:rPr>
          <w:sz w:val="20"/>
        </w:rPr>
        <w:t xml:space="preserve"> 2013;124(5):590–601.</w:t>
      </w:r>
    </w:p>
    <w:p w14:paraId="7E8D02B1">
      <w:pPr>
        <w:spacing w:after="80" w:line="360" w:lineRule="auto"/>
        <w:ind w:left="420" w:hanging="420"/>
      </w:pPr>
      <w:r>
        <w:rPr>
          <w:sz w:val="20"/>
        </w:rPr>
        <w:t xml:space="preserve">[46] Crossthwaite AJ, Bigot A, Camblin P, et al. The invertebrate pharmacology of sulfoxaflor, a member of the sulfoximine class of insecticides. </w:t>
      </w:r>
      <w:r>
        <w:rPr>
          <w:i/>
          <w:sz w:val="20"/>
        </w:rPr>
        <w:t>J Pestic Sci.</w:t>
      </w:r>
      <w:r>
        <w:rPr>
          <w:sz w:val="20"/>
        </w:rPr>
        <w:t xml:space="preserve"> 2017;42(3):67–72.</w:t>
      </w:r>
    </w:p>
    <w:p w14:paraId="02AD2BFA">
      <w:pPr>
        <w:spacing w:after="80" w:line="360" w:lineRule="auto"/>
        <w:ind w:left="420" w:hanging="420"/>
      </w:pPr>
      <w:r>
        <w:rPr>
          <w:sz w:val="20"/>
        </w:rPr>
        <w:t xml:space="preserve">[47] Fournier D. Mutations of acetylcholinesterase which confer insecticide resistance in insect populations. </w:t>
      </w:r>
      <w:r>
        <w:rPr>
          <w:i/>
          <w:sz w:val="20"/>
        </w:rPr>
        <w:t>Chem Biol Interact.</w:t>
      </w:r>
      <w:r>
        <w:rPr>
          <w:sz w:val="20"/>
        </w:rPr>
        <w:t xml:space="preserve"> 2005;157–158:257–261.</w:t>
      </w:r>
    </w:p>
    <w:p w14:paraId="487CCA0C">
      <w:pPr>
        <w:spacing w:after="80" w:line="360" w:lineRule="auto"/>
        <w:ind w:left="420" w:hanging="420"/>
      </w:pPr>
      <w:r>
        <w:rPr>
          <w:sz w:val="20"/>
        </w:rPr>
        <w:t xml:space="preserve">[48] Mutero A, Pralavorio M, Bride JM, Fournier D. Resistance-associated point mutations in insect acetylcholinesterase. </w:t>
      </w:r>
      <w:r>
        <w:rPr>
          <w:i/>
          <w:sz w:val="20"/>
        </w:rPr>
        <w:t>Proc Natl Acad Sci USA.</w:t>
      </w:r>
      <w:r>
        <w:rPr>
          <w:sz w:val="20"/>
        </w:rPr>
        <w:t xml:space="preserve"> 1994;91(13):5922–5926.</w:t>
      </w:r>
    </w:p>
    <w:p w14:paraId="765FF8FD">
      <w:pPr>
        <w:spacing w:after="80" w:line="360" w:lineRule="auto"/>
        <w:ind w:left="420" w:hanging="420"/>
      </w:pPr>
      <w:r>
        <w:rPr>
          <w:sz w:val="20"/>
        </w:rPr>
        <w:t xml:space="preserve">[49] Weill M, Malcolm C, Chandre F, et al. The unique mutation in ace-1 giving high insecticide resistance is easily detectable in mosquito vectors. </w:t>
      </w:r>
      <w:r>
        <w:rPr>
          <w:i/>
          <w:sz w:val="20"/>
        </w:rPr>
        <w:t>Insect Mol Biol.</w:t>
      </w:r>
      <w:r>
        <w:rPr>
          <w:sz w:val="20"/>
        </w:rPr>
        <w:t xml:space="preserve"> 2004;13(1):1–7.</w:t>
      </w:r>
    </w:p>
    <w:p w14:paraId="5BF2248F">
      <w:pPr>
        <w:spacing w:after="80" w:line="360" w:lineRule="auto"/>
        <w:ind w:left="420" w:hanging="420"/>
      </w:pPr>
      <w:r>
        <w:rPr>
          <w:sz w:val="20"/>
        </w:rPr>
        <w:t xml:space="preserve">[51] Wolstenholme AJ. Glutamate-gated chloride channels. </w:t>
      </w:r>
      <w:r>
        <w:rPr>
          <w:i/>
          <w:sz w:val="20"/>
        </w:rPr>
        <w:t>J Biol Chem.</w:t>
      </w:r>
      <w:r>
        <w:rPr>
          <w:sz w:val="20"/>
        </w:rPr>
        <w:t xml:space="preserve"> 2012;287(48):40232–40238.</w:t>
      </w:r>
    </w:p>
    <w:p w14:paraId="73715F9B">
      <w:pPr>
        <w:spacing w:after="80" w:line="360" w:lineRule="auto"/>
        <w:ind w:left="420" w:hanging="420"/>
      </w:pPr>
      <w:r>
        <w:rPr>
          <w:sz w:val="20"/>
        </w:rPr>
        <w:t xml:space="preserve">[52] Buckingham SD, Biggin PC, Sattelle BM, Brown LA, Sattelle DB. Insect GABA receptors: splicing, editing, and targeting by insecticides and lead compounds. </w:t>
      </w:r>
      <w:r>
        <w:rPr>
          <w:i/>
          <w:sz w:val="20"/>
        </w:rPr>
        <w:t>Mol Pharmacol.</w:t>
      </w:r>
      <w:r>
        <w:rPr>
          <w:sz w:val="20"/>
        </w:rPr>
        <w:t xml:space="preserve"> 2005;68(4):942–951.</w:t>
      </w:r>
    </w:p>
    <w:p w14:paraId="5F6DBF75">
      <w:pPr>
        <w:spacing w:after="80" w:line="360" w:lineRule="auto"/>
        <w:ind w:left="420" w:hanging="420"/>
      </w:pPr>
      <w:r>
        <w:rPr>
          <w:sz w:val="20"/>
        </w:rPr>
        <w:t xml:space="preserve">[53] Yuan G, Gao W, Yang Y, Wu Y. Molecular cloning, genomic structure, and genetic mapping of two Rdl-orthologous genes of GABA receptors in the diamondback moth. </w:t>
      </w:r>
      <w:r>
        <w:rPr>
          <w:i/>
          <w:sz w:val="20"/>
        </w:rPr>
        <w:t>Arch Insect Biochem Physiol.</w:t>
      </w:r>
      <w:r>
        <w:rPr>
          <w:sz w:val="20"/>
        </w:rPr>
        <w:t xml:space="preserve"> 2010;74(2):81–90.</w:t>
      </w:r>
    </w:p>
    <w:p w14:paraId="1056D8FA">
      <w:pPr>
        <w:spacing w:after="80" w:line="360" w:lineRule="auto"/>
        <w:ind w:left="420" w:hanging="420"/>
      </w:pPr>
      <w:r>
        <w:rPr>
          <w:sz w:val="20"/>
        </w:rPr>
        <w:t xml:space="preserve">[54] Li BJ, Wang KK, Chen DP, et al. Distinct roles of two RDL GABA receptors in fipronil action in the diamondback moth. </w:t>
      </w:r>
      <w:r>
        <w:rPr>
          <w:i/>
          <w:sz w:val="20"/>
        </w:rPr>
        <w:t>Insect Sci.</w:t>
      </w:r>
      <w:r>
        <w:rPr>
          <w:sz w:val="20"/>
        </w:rPr>
        <w:t xml:space="preserve"> 2021;28(6):1721–1733.</w:t>
      </w:r>
    </w:p>
    <w:p w14:paraId="6ECEB0C1">
      <w:pPr>
        <w:spacing w:after="80" w:line="360" w:lineRule="auto"/>
        <w:ind w:left="420" w:hanging="420"/>
      </w:pPr>
      <w:r>
        <w:rPr>
          <w:sz w:val="20"/>
        </w:rPr>
        <w:t xml:space="preserve">[55] Wang X, Wang R, Yang Y, et al. Mutations on M3 helix of </w:t>
      </w:r>
      <w:r>
        <w:rPr>
          <w:i/>
          <w:sz w:val="20"/>
        </w:rPr>
        <w:t>Plutella xylostella</w:t>
      </w:r>
      <w:r>
        <w:rPr>
          <w:sz w:val="20"/>
        </w:rPr>
        <w:t xml:space="preserve"> glutamate-gated chloride channel confer unequal resistance to abamectin by two different mechanisms. </w:t>
      </w:r>
      <w:r>
        <w:rPr>
          <w:i/>
          <w:sz w:val="20"/>
        </w:rPr>
        <w:t>Insect Biochem Mol Biol.</w:t>
      </w:r>
      <w:r>
        <w:rPr>
          <w:sz w:val="20"/>
        </w:rPr>
        <w:t xml:space="preserve"> 2017;86:50–57.</w:t>
      </w:r>
    </w:p>
    <w:p w14:paraId="0A5FD653">
      <w:pPr>
        <w:spacing w:after="80" w:line="360" w:lineRule="auto"/>
        <w:ind w:left="420" w:hanging="420"/>
      </w:pPr>
      <w:r>
        <w:rPr>
          <w:sz w:val="20"/>
        </w:rPr>
        <w:t xml:space="preserve">[56] Wang X, Wang R, Chen J, et al. Function and pharmacology of glutamate-gated chloride channel exon 9 splice variants from the diamondback moth </w:t>
      </w:r>
      <w:r>
        <w:rPr>
          <w:i/>
          <w:sz w:val="20"/>
        </w:rPr>
        <w:t>Plutella xylostella</w:t>
      </w:r>
      <w:r>
        <w:rPr>
          <w:sz w:val="20"/>
        </w:rPr>
        <w:t xml:space="preserve">. </w:t>
      </w:r>
      <w:r>
        <w:rPr>
          <w:i/>
          <w:sz w:val="20"/>
        </w:rPr>
        <w:t>Insect Biochem Mol Biol.</w:t>
      </w:r>
      <w:r>
        <w:rPr>
          <w:sz w:val="20"/>
        </w:rPr>
        <w:t xml:space="preserve"> 2019;104:58–64.</w:t>
      </w:r>
    </w:p>
    <w:p w14:paraId="19ADEB85">
      <w:pPr>
        <w:spacing w:after="80" w:line="360" w:lineRule="auto"/>
        <w:ind w:left="420" w:hanging="420"/>
      </w:pPr>
      <w:r>
        <w:rPr>
          <w:sz w:val="20"/>
        </w:rPr>
        <w:t xml:space="preserve">[57] Liu Z, Wang K, Zhang Y, et al. A novel V263I mutation in the glutamate-gated chloride channel of </w:t>
      </w:r>
      <w:r>
        <w:rPr>
          <w:i/>
          <w:sz w:val="20"/>
        </w:rPr>
        <w:t>Plutella xylostella</w:t>
      </w:r>
      <w:r>
        <w:rPr>
          <w:sz w:val="20"/>
        </w:rPr>
        <w:t xml:space="preserve"> confers a high level of resistance to abamectin. </w:t>
      </w:r>
      <w:r>
        <w:rPr>
          <w:i/>
          <w:sz w:val="20"/>
        </w:rPr>
        <w:t>Int J Biol Macromol.</w:t>
      </w:r>
      <w:r>
        <w:rPr>
          <w:sz w:val="20"/>
        </w:rPr>
        <w:t xml:space="preserve"> 2023;230:123389.</w:t>
      </w:r>
    </w:p>
    <w:p w14:paraId="40311E17">
      <w:pPr>
        <w:spacing w:after="80" w:line="360" w:lineRule="auto"/>
        <w:ind w:left="420" w:hanging="420"/>
      </w:pPr>
      <w:r>
        <w:rPr>
          <w:sz w:val="20"/>
        </w:rPr>
        <w:t xml:space="preserve">[58] Clark JM, Scott JG, Campos F, Bloomquist JR. Resistance to avermectins: extent, mechanisms, and management implications. </w:t>
      </w:r>
      <w:r>
        <w:rPr>
          <w:i/>
          <w:sz w:val="20"/>
        </w:rPr>
        <w:t>Annu Rev Entomol.</w:t>
      </w:r>
      <w:r>
        <w:rPr>
          <w:sz w:val="20"/>
        </w:rPr>
        <w:t xml:space="preserve"> 1995;40:1–30.</w:t>
      </w:r>
    </w:p>
    <w:p w14:paraId="375C2ADA">
      <w:pPr>
        <w:spacing w:after="80" w:line="360" w:lineRule="auto"/>
        <w:ind w:left="420" w:hanging="420"/>
      </w:pPr>
      <w:r>
        <w:rPr>
          <w:sz w:val="20"/>
        </w:rPr>
        <w:t xml:space="preserve">[59] Lasota JA, Dybas RA. Avermectins, a novel class of compounds: implications for use in arthropod pest control. </w:t>
      </w:r>
      <w:r>
        <w:rPr>
          <w:i/>
          <w:sz w:val="20"/>
        </w:rPr>
        <w:t>Annu Rev Entomol.</w:t>
      </w:r>
      <w:r>
        <w:rPr>
          <w:sz w:val="20"/>
        </w:rPr>
        <w:t xml:space="preserve"> 1991;36:91–117.</w:t>
      </w:r>
    </w:p>
    <w:p w14:paraId="65E4C682">
      <w:pPr>
        <w:spacing w:after="80" w:line="360" w:lineRule="auto"/>
        <w:ind w:left="420" w:hanging="420"/>
      </w:pPr>
      <w:r>
        <w:rPr>
          <w:sz w:val="20"/>
        </w:rPr>
        <w:t xml:space="preserve">[60] Cully DF, Vassilatis DK, Liu KK, et al. Cloning of an avermectin-sensitive glutamate-gated chloride channel from </w:t>
      </w:r>
      <w:r>
        <w:rPr>
          <w:i/>
          <w:sz w:val="20"/>
        </w:rPr>
        <w:t>Caenorhabditis elegans</w:t>
      </w:r>
      <w:r>
        <w:rPr>
          <w:sz w:val="20"/>
        </w:rPr>
        <w:t xml:space="preserve">. </w:t>
      </w:r>
      <w:r>
        <w:rPr>
          <w:i/>
          <w:sz w:val="20"/>
        </w:rPr>
        <w:t>Nature.</w:t>
      </w:r>
      <w:r>
        <w:rPr>
          <w:sz w:val="20"/>
        </w:rPr>
        <w:t xml:space="preserve"> 1994;371(6499):707–711.</w:t>
      </w:r>
    </w:p>
    <w:p w14:paraId="14A056DA">
      <w:pPr>
        <w:spacing w:after="80" w:line="360" w:lineRule="auto"/>
        <w:ind w:left="420" w:hanging="420"/>
      </w:pPr>
      <w:r>
        <w:rPr>
          <w:sz w:val="20"/>
        </w:rPr>
        <w:t xml:space="preserve">[61] Hibbs RE, Gouaux E. Principles of activation and permeation in an anion-selective Cys-loop receptor. </w:t>
      </w:r>
      <w:r>
        <w:rPr>
          <w:i/>
          <w:sz w:val="20"/>
        </w:rPr>
        <w:t>Nature.</w:t>
      </w:r>
      <w:r>
        <w:rPr>
          <w:sz w:val="20"/>
        </w:rPr>
        <w:t xml:space="preserve"> 2011;474(7349):54–60.</w:t>
      </w:r>
    </w:p>
    <w:p w14:paraId="663092B4">
      <w:pPr>
        <w:spacing w:after="80" w:line="360" w:lineRule="auto"/>
        <w:ind w:left="420" w:hanging="420"/>
      </w:pPr>
      <w:r>
        <w:rPr>
          <w:sz w:val="20"/>
        </w:rPr>
        <w:t xml:space="preserve">[62] Wolstenholme AJ, Rogers AT. Glutamate-gated chloride channels and the mode of action of the avermectin/milbemycin anthelmintics. </w:t>
      </w:r>
      <w:r>
        <w:rPr>
          <w:i/>
          <w:sz w:val="20"/>
        </w:rPr>
        <w:t>Parasitology.</w:t>
      </w:r>
      <w:r>
        <w:rPr>
          <w:sz w:val="20"/>
        </w:rPr>
        <w:t xml:space="preserve"> 2005;131(Suppl):S85–S95.</w:t>
      </w:r>
    </w:p>
    <w:p w14:paraId="7078F55B">
      <w:pPr>
        <w:spacing w:after="80" w:line="360" w:lineRule="auto"/>
        <w:ind w:left="420" w:hanging="420"/>
      </w:pPr>
      <w:r>
        <w:rPr>
          <w:sz w:val="20"/>
        </w:rPr>
        <w:t xml:space="preserve">[63] ffrench-Constant RH, Rocheleau TA, Steichen JC, Chalmers AE. A point mutation in a </w:t>
      </w:r>
      <w:r>
        <w:rPr>
          <w:i/>
          <w:sz w:val="20"/>
        </w:rPr>
        <w:t>Drosophila</w:t>
      </w:r>
      <w:r>
        <w:rPr>
          <w:sz w:val="20"/>
        </w:rPr>
        <w:t xml:space="preserve"> GABA receptor confers insecticide resistance. </w:t>
      </w:r>
      <w:r>
        <w:rPr>
          <w:i/>
          <w:sz w:val="20"/>
        </w:rPr>
        <w:t>Nature.</w:t>
      </w:r>
      <w:r>
        <w:rPr>
          <w:sz w:val="20"/>
        </w:rPr>
        <w:t xml:space="preserve"> 1993;363(6428):449–451.</w:t>
      </w:r>
    </w:p>
    <w:p w14:paraId="6B698876">
      <w:pPr>
        <w:spacing w:after="80" w:line="360" w:lineRule="auto"/>
        <w:ind w:left="420" w:hanging="420"/>
      </w:pPr>
      <w:r>
        <w:rPr>
          <w:sz w:val="20"/>
        </w:rPr>
        <w:t xml:space="preserve">[64] ffrench-Constant RH, Anthony N, Aronstein K, Rocheleau T, Stilwell G. Cyclodiene insecticide resistance: from molecular to population genetics. </w:t>
      </w:r>
      <w:r>
        <w:rPr>
          <w:i/>
          <w:sz w:val="20"/>
        </w:rPr>
        <w:t>Annu Rev Entomol.</w:t>
      </w:r>
      <w:r>
        <w:rPr>
          <w:sz w:val="20"/>
        </w:rPr>
        <w:t xml:space="preserve"> 2000;45:449–466.</w:t>
      </w:r>
    </w:p>
    <w:p w14:paraId="4AA4FFFE">
      <w:pPr>
        <w:spacing w:after="80" w:line="360" w:lineRule="auto"/>
        <w:ind w:left="420" w:hanging="420"/>
      </w:pPr>
      <w:r>
        <w:rPr>
          <w:sz w:val="20"/>
        </w:rPr>
        <w:t xml:space="preserve">[65] Hosie AM, Aronstein K, Sattelle DB, ffrench-Constant RH. Molecular biology of insect neuronal GABA receptors. </w:t>
      </w:r>
      <w:r>
        <w:rPr>
          <w:i/>
          <w:sz w:val="20"/>
        </w:rPr>
        <w:t>Trends Neurosci.</w:t>
      </w:r>
      <w:r>
        <w:rPr>
          <w:sz w:val="20"/>
        </w:rPr>
        <w:t xml:space="preserve"> 1997;20(12):578–583.</w:t>
      </w:r>
    </w:p>
    <w:p w14:paraId="36FD871E">
      <w:pPr>
        <w:spacing w:after="80" w:line="360" w:lineRule="auto"/>
        <w:ind w:left="420" w:hanging="420"/>
      </w:pPr>
      <w:r>
        <w:rPr>
          <w:sz w:val="20"/>
        </w:rPr>
        <w:t xml:space="preserve">[66] Narahashi T, Zhao X, Ikeda T, Nagata K, Yeh JZ. Differential actions of insecticides on target sites: fipronil and GABA-gated chloride channels. </w:t>
      </w:r>
      <w:r>
        <w:rPr>
          <w:i/>
          <w:sz w:val="20"/>
        </w:rPr>
        <w:t>Neurotoxicology.</w:t>
      </w:r>
      <w:r>
        <w:rPr>
          <w:sz w:val="20"/>
        </w:rPr>
        <w:t xml:space="preserve"> 2010;31(5):513–519.</w:t>
      </w:r>
    </w:p>
    <w:p w14:paraId="37356D8E">
      <w:pPr>
        <w:spacing w:after="80" w:line="360" w:lineRule="auto"/>
        <w:ind w:left="420" w:hanging="420"/>
      </w:pPr>
      <w:r>
        <w:rPr>
          <w:sz w:val="20"/>
        </w:rPr>
        <w:t xml:space="preserve">[67] Zhao X, Yeh JZ, Salgado VL, Narahashi T. Fipronil is a potent open-channel blocker of glutamate-activated chloride channels in cockroach neurons. </w:t>
      </w:r>
      <w:r>
        <w:rPr>
          <w:i/>
          <w:sz w:val="20"/>
        </w:rPr>
        <w:t>J Pharmacol Exp Ther.</w:t>
      </w:r>
      <w:r>
        <w:rPr>
          <w:sz w:val="20"/>
        </w:rPr>
        <w:t xml:space="preserve"> 2005;314(1):363–373.</w:t>
      </w:r>
    </w:p>
    <w:p w14:paraId="226D94F3">
      <w:pPr>
        <w:spacing w:after="80" w:line="360" w:lineRule="auto"/>
        <w:ind w:left="420" w:hanging="420"/>
      </w:pPr>
      <w:r>
        <w:rPr>
          <w:sz w:val="20"/>
        </w:rPr>
        <w:t xml:space="preserve">[69] Nakao T, Kawase A, Kinoshita A, et al. The A2' mutation in RDL GABA receptor confers resistance to meta-diamide and isoxazoline insecticides in </w:t>
      </w:r>
      <w:r>
        <w:rPr>
          <w:i/>
          <w:sz w:val="20"/>
        </w:rPr>
        <w:t>Spodoptera frugiperda</w:t>
      </w:r>
      <w:r>
        <w:rPr>
          <w:sz w:val="20"/>
        </w:rPr>
        <w:t xml:space="preserve">. </w:t>
      </w:r>
      <w:r>
        <w:rPr>
          <w:i/>
          <w:sz w:val="20"/>
        </w:rPr>
        <w:t>Insect Biochem Mol Biol.</w:t>
      </w:r>
      <w:r>
        <w:rPr>
          <w:sz w:val="20"/>
        </w:rPr>
        <w:t xml:space="preserve"> 2021;130:103537.</w:t>
      </w:r>
    </w:p>
    <w:p w14:paraId="60F7E0DA">
      <w:pPr>
        <w:spacing w:after="80" w:line="360" w:lineRule="auto"/>
        <w:ind w:left="420" w:hanging="420"/>
      </w:pPr>
      <w:r>
        <w:rPr>
          <w:sz w:val="20"/>
        </w:rPr>
        <w:t xml:space="preserve">[70] Davies TGE, Field LM, Usherwood PNR, Williamson MS. DDT, pyrethrins, pyrethroids and insect sodium channels. </w:t>
      </w:r>
      <w:r>
        <w:rPr>
          <w:i/>
          <w:sz w:val="20"/>
        </w:rPr>
        <w:t>IUBMB Life.</w:t>
      </w:r>
      <w:r>
        <w:rPr>
          <w:sz w:val="20"/>
        </w:rPr>
        <w:t xml:space="preserve"> 2007;59(3):151–162.</w:t>
      </w:r>
    </w:p>
    <w:p w14:paraId="2079FC57">
      <w:pPr>
        <w:spacing w:after="80" w:line="360" w:lineRule="auto"/>
        <w:ind w:left="420" w:hanging="420"/>
      </w:pPr>
      <w:r>
        <w:rPr>
          <w:sz w:val="20"/>
        </w:rPr>
        <w:t xml:space="preserve">[71] Soderlund DM. Molecular mechanisms of pyrethroid insecticide neurotoxicity: recent advances. </w:t>
      </w:r>
      <w:r>
        <w:rPr>
          <w:i/>
          <w:sz w:val="20"/>
        </w:rPr>
        <w:t>Arch Toxicol.</w:t>
      </w:r>
      <w:r>
        <w:rPr>
          <w:sz w:val="20"/>
        </w:rPr>
        <w:t xml:space="preserve"> 2012;86(2):165–181.</w:t>
      </w:r>
    </w:p>
    <w:p w14:paraId="02D253BA">
      <w:pPr>
        <w:spacing w:after="80" w:line="360" w:lineRule="auto"/>
        <w:ind w:left="420" w:hanging="420"/>
      </w:pPr>
      <w:r>
        <w:rPr>
          <w:sz w:val="20"/>
        </w:rPr>
        <w:t xml:space="preserve">[72] Silver KS, Du Y, Nomura Y, et al. Voltage-gated sodium channels as insecticide targets. </w:t>
      </w:r>
      <w:r>
        <w:rPr>
          <w:i/>
          <w:sz w:val="20"/>
        </w:rPr>
        <w:t>Adv Insect Physiol.</w:t>
      </w:r>
      <w:r>
        <w:rPr>
          <w:sz w:val="20"/>
        </w:rPr>
        <w:t xml:space="preserve"> 2014;46:389–433.</w:t>
      </w:r>
    </w:p>
    <w:p w14:paraId="59E2A9EF">
      <w:pPr>
        <w:spacing w:after="80" w:line="360" w:lineRule="auto"/>
        <w:ind w:left="420" w:hanging="420"/>
      </w:pPr>
      <w:r>
        <w:rPr>
          <w:sz w:val="20"/>
        </w:rPr>
        <w:t xml:space="preserve">[73] Lahm GP, Cordova D, Barry JD. New and selective ryanodine receptor activators for insect control. </w:t>
      </w:r>
      <w:r>
        <w:rPr>
          <w:i/>
          <w:sz w:val="20"/>
        </w:rPr>
        <w:t>Bioorg Med Chem.</w:t>
      </w:r>
      <w:r>
        <w:rPr>
          <w:sz w:val="20"/>
        </w:rPr>
        <w:t xml:space="preserve"> 2009;17(12):4127–4133.</w:t>
      </w:r>
    </w:p>
    <w:p w14:paraId="679E2BD6">
      <w:pPr>
        <w:spacing w:after="80" w:line="360" w:lineRule="auto"/>
        <w:ind w:left="420" w:hanging="420"/>
      </w:pPr>
      <w:r>
        <w:rPr>
          <w:sz w:val="20"/>
        </w:rPr>
        <w:t xml:space="preserve">[74] Martinez-Torres D, Chandre F, Williamson MS, et al. Molecular characterization of pyrethroid knockdown resistance (kdr) in the major malaria vector </w:t>
      </w:r>
      <w:r>
        <w:rPr>
          <w:i/>
          <w:sz w:val="20"/>
        </w:rPr>
        <w:t>Anopheles gambiae</w:t>
      </w:r>
      <w:r>
        <w:rPr>
          <w:sz w:val="20"/>
        </w:rPr>
        <w:t xml:space="preserve"> s.s. </w:t>
      </w:r>
      <w:r>
        <w:rPr>
          <w:i/>
          <w:sz w:val="20"/>
        </w:rPr>
        <w:t>Insect Mol Biol.</w:t>
      </w:r>
      <w:r>
        <w:rPr>
          <w:sz w:val="20"/>
        </w:rPr>
        <w:t xml:space="preserve"> 1998;7(2):179–184.</w:t>
      </w:r>
    </w:p>
    <w:p w14:paraId="3A04A4CF">
      <w:pPr>
        <w:spacing w:after="80" w:line="360" w:lineRule="auto"/>
        <w:ind w:left="420" w:hanging="420"/>
      </w:pPr>
      <w:r>
        <w:rPr>
          <w:sz w:val="20"/>
        </w:rPr>
        <w:t xml:space="preserve">[75] Schuler TH, Martinez-Torres D, Thompson AJ, et al. Toxicological, electrophysiological, and molecular characterisation of knockdown resistance to pyrethroid insecticides in the diamondback moth, </w:t>
      </w:r>
      <w:r>
        <w:rPr>
          <w:i/>
          <w:sz w:val="20"/>
        </w:rPr>
        <w:t>Plutella xylostella</w:t>
      </w:r>
      <w:r>
        <w:rPr>
          <w:sz w:val="20"/>
        </w:rPr>
        <w:t xml:space="preserve">. </w:t>
      </w:r>
      <w:r>
        <w:rPr>
          <w:i/>
          <w:sz w:val="20"/>
        </w:rPr>
        <w:t>Pestic Biochem Physiol.</w:t>
      </w:r>
      <w:r>
        <w:rPr>
          <w:sz w:val="20"/>
        </w:rPr>
        <w:t xml:space="preserve"> 1998;59(3):169–182.</w:t>
      </w:r>
    </w:p>
    <w:p w14:paraId="5F335A89">
      <w:pPr>
        <w:spacing w:after="80" w:line="360" w:lineRule="auto"/>
        <w:ind w:left="420" w:hanging="420"/>
      </w:pPr>
      <w:r>
        <w:rPr>
          <w:sz w:val="20"/>
        </w:rPr>
        <w:t xml:space="preserve">[76] Sonoda S, Tsukahara Y, Ashfaq M, Tsumuki H. Genomic organization of the sodium channel gene and its relationship to pyrethroid resistance in the diamondback moth, </w:t>
      </w:r>
      <w:r>
        <w:rPr>
          <w:i/>
          <w:sz w:val="20"/>
        </w:rPr>
        <w:t>Plutella xylostella</w:t>
      </w:r>
      <w:r>
        <w:rPr>
          <w:sz w:val="20"/>
        </w:rPr>
        <w:t xml:space="preserve">. </w:t>
      </w:r>
      <w:r>
        <w:rPr>
          <w:i/>
          <w:sz w:val="20"/>
        </w:rPr>
        <w:t>Genome.</w:t>
      </w:r>
      <w:r>
        <w:rPr>
          <w:sz w:val="20"/>
        </w:rPr>
        <w:t xml:space="preserve"> 2006;49(2):118–124.</w:t>
      </w:r>
    </w:p>
    <w:p w14:paraId="50252298">
      <w:pPr>
        <w:spacing w:after="80" w:line="360" w:lineRule="auto"/>
        <w:ind w:left="420" w:hanging="420"/>
      </w:pPr>
      <w:r>
        <w:rPr>
          <w:sz w:val="20"/>
        </w:rPr>
        <w:t xml:space="preserve">[77] Wing KD, Schnee ME, Sacher M, Connair M. A novel oxadiazine insecticide is bioactivated in lepidopteran larvae. </w:t>
      </w:r>
      <w:r>
        <w:rPr>
          <w:i/>
          <w:sz w:val="20"/>
        </w:rPr>
        <w:t>Arch Insect Biochem Physiol.</w:t>
      </w:r>
      <w:r>
        <w:rPr>
          <w:sz w:val="20"/>
        </w:rPr>
        <w:t xml:space="preserve"> 1998;37(1):91–103.</w:t>
      </w:r>
    </w:p>
    <w:p w14:paraId="3BACFF7B">
      <w:pPr>
        <w:spacing w:after="80" w:line="360" w:lineRule="auto"/>
        <w:ind w:left="420" w:hanging="420"/>
      </w:pPr>
      <w:r>
        <w:rPr>
          <w:sz w:val="20"/>
        </w:rPr>
        <w:t xml:space="preserve">[78] Wing KD, Andaloro JT, McCann SF, Salgado VL. Indoxacarb and the sodium-channel blocker insecticides: chemistry, physiology and field use. </w:t>
      </w:r>
      <w:r>
        <w:rPr>
          <w:i/>
          <w:sz w:val="20"/>
        </w:rPr>
        <w:t>Compr Mol Insect Sci.</w:t>
      </w:r>
      <w:r>
        <w:rPr>
          <w:sz w:val="20"/>
        </w:rPr>
        <w:t xml:space="preserve"> 2005;6:31–53.</w:t>
      </w:r>
    </w:p>
    <w:p w14:paraId="76D1D87D">
      <w:pPr>
        <w:spacing w:after="80" w:line="360" w:lineRule="auto"/>
        <w:ind w:left="420" w:hanging="420"/>
      </w:pPr>
      <w:r>
        <w:rPr>
          <w:sz w:val="20"/>
        </w:rPr>
        <w:t xml:space="preserve">[79] Lapied B, Grolleau F, Sattelle DB. Indoxacarb, an oxadiazine insecticide, blocks insect neuronal sodium channels. </w:t>
      </w:r>
      <w:r>
        <w:rPr>
          <w:i/>
          <w:sz w:val="20"/>
        </w:rPr>
        <w:t>Br J Pharmacol.</w:t>
      </w:r>
      <w:r>
        <w:rPr>
          <w:sz w:val="20"/>
        </w:rPr>
        <w:t xml:space="preserve"> 2001;132(2):587–595.</w:t>
      </w:r>
    </w:p>
    <w:p w14:paraId="6B6B2633">
      <w:pPr>
        <w:spacing w:after="80" w:line="360" w:lineRule="auto"/>
        <w:ind w:left="420" w:hanging="420"/>
      </w:pPr>
      <w:r>
        <w:rPr>
          <w:sz w:val="20"/>
        </w:rPr>
        <w:t xml:space="preserve">[80] Rinkevich FD, Du Y, Dong K. Diversity and convergence of sodium channel mutations involved in resistance to pyrethroids. </w:t>
      </w:r>
      <w:r>
        <w:rPr>
          <w:i/>
          <w:sz w:val="20"/>
        </w:rPr>
        <w:t>Pestic Biochem Physiol.</w:t>
      </w:r>
      <w:r>
        <w:rPr>
          <w:sz w:val="20"/>
        </w:rPr>
        <w:t xml:space="preserve"> 2013;106(3):93–100.</w:t>
      </w:r>
    </w:p>
    <w:p w14:paraId="08A556DC">
      <w:pPr>
        <w:spacing w:after="80" w:line="360" w:lineRule="auto"/>
        <w:ind w:left="420" w:hanging="420"/>
      </w:pPr>
      <w:r>
        <w:rPr>
          <w:sz w:val="20"/>
        </w:rPr>
        <w:t xml:space="preserve">[81] Vais H, Williamson MS, Devonshire AL, Usherwood PNR. The molecular interactions of pyrethroid insecticides with insect and mammalian sodium channels. </w:t>
      </w:r>
      <w:r>
        <w:rPr>
          <w:i/>
          <w:sz w:val="20"/>
        </w:rPr>
        <w:t>Pest Manag Sci.</w:t>
      </w:r>
      <w:r>
        <w:rPr>
          <w:sz w:val="20"/>
        </w:rPr>
        <w:t xml:space="preserve"> 2001;57(10):877–888.</w:t>
      </w:r>
    </w:p>
    <w:p w14:paraId="4A01F1CA">
      <w:pPr>
        <w:spacing w:after="80" w:line="360" w:lineRule="auto"/>
        <w:ind w:left="420" w:hanging="420"/>
      </w:pPr>
      <w:r>
        <w:rPr>
          <w:sz w:val="20"/>
        </w:rPr>
        <w:t xml:space="preserve">[82] Du Y, Nomura Y, Zhorov BS, Dong K. Sodium channel mutations and dual pyrethroid receptor sites. </w:t>
      </w:r>
      <w:r>
        <w:rPr>
          <w:i/>
          <w:sz w:val="20"/>
        </w:rPr>
        <w:t>Insect Biochem Mol Biol.</w:t>
      </w:r>
      <w:r>
        <w:rPr>
          <w:sz w:val="20"/>
        </w:rPr>
        <w:t xml:space="preserve"> 2016;71:116–122.</w:t>
      </w:r>
    </w:p>
    <w:p w14:paraId="47A5B13E">
      <w:pPr>
        <w:spacing w:after="80" w:line="360" w:lineRule="auto"/>
        <w:ind w:left="420" w:hanging="420"/>
      </w:pPr>
      <w:r>
        <w:rPr>
          <w:sz w:val="20"/>
        </w:rPr>
        <w:t xml:space="preserve">[83] Cordova D, Benner EA, Sacher MD, et al. Anthranilic diamides: a new class of insecticides with a novel mode of action, ryanodine receptor activation. </w:t>
      </w:r>
      <w:r>
        <w:rPr>
          <w:i/>
          <w:sz w:val="20"/>
        </w:rPr>
        <w:t>Pestic Biochem Physiol.</w:t>
      </w:r>
      <w:r>
        <w:rPr>
          <w:sz w:val="20"/>
        </w:rPr>
        <w:t xml:space="preserve"> 2006;84(3):196–214.</w:t>
      </w:r>
    </w:p>
    <w:p w14:paraId="3A8D6FB7">
      <w:pPr>
        <w:spacing w:after="80" w:line="360" w:lineRule="auto"/>
        <w:ind w:left="420" w:hanging="420"/>
      </w:pPr>
      <w:r>
        <w:rPr>
          <w:sz w:val="20"/>
        </w:rPr>
        <w:t xml:space="preserve">[84] Lahm GP, Stevenson TM, Selby TP, et al. Rynaxypyr: a new insecticidal anthranilic diamide that acts as a potent and selective ryanodine receptor activator. </w:t>
      </w:r>
      <w:r>
        <w:rPr>
          <w:i/>
          <w:sz w:val="20"/>
        </w:rPr>
        <w:t>Bioorg Med Chem Lett.</w:t>
      </w:r>
      <w:r>
        <w:rPr>
          <w:sz w:val="20"/>
        </w:rPr>
        <w:t xml:space="preserve"> 2007;17(22):6274–6279.</w:t>
      </w:r>
    </w:p>
    <w:p w14:paraId="26EA1E4D">
      <w:pPr>
        <w:spacing w:after="80" w:line="360" w:lineRule="auto"/>
        <w:ind w:left="420" w:hanging="420"/>
      </w:pPr>
      <w:r>
        <w:rPr>
          <w:sz w:val="20"/>
        </w:rPr>
        <w:t xml:space="preserve">[86] Tohnishi M, Nakao H, Furuya T, et al. Flubendiamide, a novel insecticide highly active against lepidopterous insect pests. </w:t>
      </w:r>
      <w:r>
        <w:rPr>
          <w:i/>
          <w:sz w:val="20"/>
        </w:rPr>
        <w:t>J Pestic Sci.</w:t>
      </w:r>
      <w:r>
        <w:rPr>
          <w:sz w:val="20"/>
        </w:rPr>
        <w:t xml:space="preserve"> 2005;30(4):354–360.</w:t>
      </w:r>
    </w:p>
    <w:p w14:paraId="7E9935F4">
      <w:pPr>
        <w:spacing w:after="80" w:line="360" w:lineRule="auto"/>
        <w:ind w:left="420" w:hanging="420"/>
      </w:pPr>
      <w:r>
        <w:rPr>
          <w:sz w:val="20"/>
        </w:rPr>
        <w:t xml:space="preserve">[87] Ebbinghaus-Kintscher U, Luemmen P, Lobitz N, et al. Phthalic acid diamides activate ryanodine-sensitive calcium release channels in insects. </w:t>
      </w:r>
      <w:r>
        <w:rPr>
          <w:i/>
          <w:sz w:val="20"/>
        </w:rPr>
        <w:t>Cell Calcium.</w:t>
      </w:r>
      <w:r>
        <w:rPr>
          <w:sz w:val="20"/>
        </w:rPr>
        <w:t xml:space="preserve"> 2006;39(1):21–33.</w:t>
      </w:r>
    </w:p>
    <w:p w14:paraId="56B7C481">
      <w:pPr>
        <w:spacing w:after="80" w:line="360" w:lineRule="auto"/>
        <w:ind w:left="420" w:hanging="420"/>
      </w:pPr>
      <w:r>
        <w:rPr>
          <w:sz w:val="20"/>
        </w:rPr>
        <w:t xml:space="preserve">[88] Wang X, Chen J, Ma Y, et al. CRISPR/Cas9 mediated ryanodine receptor I4790M knockin confers unequal resistance to diamides in </w:t>
      </w:r>
      <w:r>
        <w:rPr>
          <w:i/>
          <w:sz w:val="20"/>
        </w:rPr>
        <w:t>Plutella xylostella</w:t>
      </w:r>
      <w:r>
        <w:rPr>
          <w:sz w:val="20"/>
        </w:rPr>
        <w:t xml:space="preserve">. </w:t>
      </w:r>
      <w:r>
        <w:rPr>
          <w:i/>
          <w:sz w:val="20"/>
        </w:rPr>
        <w:t>Insect Biochem Mol Biol.</w:t>
      </w:r>
      <w:r>
        <w:rPr>
          <w:sz w:val="20"/>
        </w:rPr>
        <w:t xml:space="preserve"> 2020;125:103453.</w:t>
      </w:r>
    </w:p>
    <w:p w14:paraId="62FA743C">
      <w:pPr>
        <w:spacing w:after="80" w:line="360" w:lineRule="auto"/>
        <w:ind w:left="420" w:hanging="420"/>
      </w:pPr>
      <w:r>
        <w:rPr>
          <w:sz w:val="20"/>
        </w:rPr>
        <w:t xml:space="preserve">[89] Mallott M, Hamm S, Troczka BJ, et al. A flavin-dependent monooxygenase confers resistance to chlorantraniliprole in the diamondback moth. </w:t>
      </w:r>
      <w:r>
        <w:rPr>
          <w:i/>
          <w:sz w:val="20"/>
        </w:rPr>
        <w:t>Insect Biochem Mol Biol.</w:t>
      </w:r>
      <w:r>
        <w:rPr>
          <w:sz w:val="20"/>
        </w:rPr>
        <w:t xml:space="preserve"> 2019;115:103247.</w:t>
      </w:r>
    </w:p>
    <w:p w14:paraId="3D4A06CD">
      <w:pPr>
        <w:spacing w:after="80" w:line="360" w:lineRule="auto"/>
        <w:ind w:left="420" w:hanging="420"/>
      </w:pPr>
      <w:r>
        <w:rPr>
          <w:sz w:val="20"/>
        </w:rPr>
        <w:t xml:space="preserve">[90] Troczka BJ, Williams AJ, Williamson MS, et al. Stable expression and functional characterisation of the diamondback moth ryanodine receptor G4946E variant conferring resistance to diamide insecticides. </w:t>
      </w:r>
      <w:r>
        <w:rPr>
          <w:i/>
          <w:sz w:val="20"/>
        </w:rPr>
        <w:t>Sci Rep.</w:t>
      </w:r>
      <w:r>
        <w:rPr>
          <w:sz w:val="20"/>
        </w:rPr>
        <w:t xml:space="preserve"> 2015;5:14680.</w:t>
      </w:r>
    </w:p>
    <w:p w14:paraId="5BF3BA9E">
      <w:pPr>
        <w:spacing w:after="80" w:line="360" w:lineRule="auto"/>
        <w:ind w:left="420" w:hanging="420"/>
      </w:pPr>
      <w:r>
        <w:rPr>
          <w:sz w:val="20"/>
        </w:rPr>
        <w:t xml:space="preserve">[91] Jouraku A, Kuwazaki S, Miyamoto K, et al. Ryanodine receptor mutations G4946E and I4790K differentially responsible for diamide insecticide resistance in diamondback moth. </w:t>
      </w:r>
      <w:r>
        <w:rPr>
          <w:i/>
          <w:sz w:val="20"/>
        </w:rPr>
        <w:t>Insect Biochem Mol Biol.</w:t>
      </w:r>
      <w:r>
        <w:rPr>
          <w:sz w:val="20"/>
        </w:rPr>
        <w:t xml:space="preserve"> 2020;118:103308.</w:t>
      </w:r>
    </w:p>
    <w:p w14:paraId="304B1890">
      <w:pPr>
        <w:spacing w:after="80" w:line="360" w:lineRule="auto"/>
        <w:ind w:left="420" w:hanging="420"/>
      </w:pPr>
      <w:r>
        <w:rPr>
          <w:sz w:val="20"/>
        </w:rPr>
        <w:t xml:space="preserve">[92] Qi S, Casida JE. Species differences in chlorantraniliprole and flubendiamide responses at the ryanodine receptor target site. </w:t>
      </w:r>
      <w:r>
        <w:rPr>
          <w:i/>
          <w:sz w:val="20"/>
        </w:rPr>
        <w:t>Pestic Biochem Physiol.</w:t>
      </w:r>
      <w:r>
        <w:rPr>
          <w:sz w:val="20"/>
        </w:rPr>
        <w:t xml:space="preserve"> 2008;92(3):172–175.</w:t>
      </w:r>
    </w:p>
    <w:p w14:paraId="4BFA2BFF">
      <w:pPr>
        <w:spacing w:after="80" w:line="360" w:lineRule="auto"/>
        <w:ind w:left="420" w:hanging="420"/>
      </w:pPr>
      <w:r>
        <w:rPr>
          <w:sz w:val="20"/>
        </w:rPr>
        <w:t xml:space="preserve">[93] Sayyed AH, Wright DJ. Genetics and evidence for field-evolved resistance to insecticides in diamondback moth. </w:t>
      </w:r>
      <w:r>
        <w:rPr>
          <w:i/>
          <w:sz w:val="20"/>
        </w:rPr>
        <w:t>Pest Manag Sci.</w:t>
      </w:r>
      <w:r>
        <w:rPr>
          <w:sz w:val="20"/>
        </w:rPr>
        <w:t xml:space="preserve"> 2006;62(9):788–793.</w:t>
      </w:r>
    </w:p>
    <w:p w14:paraId="7EF48FF7">
      <w:pPr>
        <w:spacing w:after="80" w:line="360" w:lineRule="auto"/>
        <w:ind w:left="420" w:hanging="420"/>
      </w:pPr>
      <w:r>
        <w:rPr>
          <w:sz w:val="20"/>
        </w:rPr>
        <w:t xml:space="preserve">[95] Roeder T. Octopamine in invertebrates. </w:t>
      </w:r>
      <w:r>
        <w:rPr>
          <w:i/>
          <w:sz w:val="20"/>
        </w:rPr>
        <w:t>Prog Neurobiol.</w:t>
      </w:r>
      <w:r>
        <w:rPr>
          <w:sz w:val="20"/>
        </w:rPr>
        <w:t xml:space="preserve"> 1999;59(5):533–561.</w:t>
      </w:r>
    </w:p>
    <w:p w14:paraId="0743E22E">
      <w:pPr>
        <w:spacing w:after="80" w:line="360" w:lineRule="auto"/>
        <w:ind w:left="420" w:hanging="420"/>
      </w:pPr>
      <w:r>
        <w:rPr>
          <w:sz w:val="20"/>
        </w:rPr>
        <w:t xml:space="preserve">[96] Roeder T. Tyramine and octopamine: ruling behavior and metabolism. </w:t>
      </w:r>
      <w:r>
        <w:rPr>
          <w:i/>
          <w:sz w:val="20"/>
        </w:rPr>
        <w:t>Annu Rev Entomol.</w:t>
      </w:r>
      <w:r>
        <w:rPr>
          <w:sz w:val="20"/>
        </w:rPr>
        <w:t xml:space="preserve"> 2005;50:447–477.</w:t>
      </w:r>
    </w:p>
    <w:p w14:paraId="5248C478">
      <w:pPr>
        <w:spacing w:after="80" w:line="360" w:lineRule="auto"/>
        <w:ind w:left="420" w:hanging="420"/>
      </w:pPr>
      <w:r>
        <w:rPr>
          <w:sz w:val="20"/>
        </w:rPr>
        <w:t xml:space="preserve">[97] Evans PD, Maqueira B. Insect octopamine receptors: a new classification scheme based on studies of cloned </w:t>
      </w:r>
      <w:r>
        <w:rPr>
          <w:i/>
          <w:sz w:val="20"/>
        </w:rPr>
        <w:t>Drosophila</w:t>
      </w:r>
      <w:r>
        <w:rPr>
          <w:sz w:val="20"/>
        </w:rPr>
        <w:t xml:space="preserve"> G-protein coupled receptors. </w:t>
      </w:r>
      <w:r>
        <w:rPr>
          <w:i/>
          <w:sz w:val="20"/>
        </w:rPr>
        <w:t>Invert Neurosci.</w:t>
      </w:r>
      <w:r>
        <w:rPr>
          <w:sz w:val="20"/>
        </w:rPr>
        <w:t xml:space="preserve"> 2005;5(3–4):111–118.</w:t>
      </w:r>
    </w:p>
    <w:p w14:paraId="4CA60D8E">
      <w:pPr>
        <w:spacing w:after="80" w:line="360" w:lineRule="auto"/>
        <w:ind w:left="420" w:hanging="420"/>
      </w:pPr>
      <w:r>
        <w:rPr>
          <w:sz w:val="20"/>
        </w:rPr>
        <w:t xml:space="preserve">[98] Ohta H, Ozoe Y. Molecular signalling, pharmacology, and physiology of octopamine and tyramine receptors as potential insect pest-control targets. </w:t>
      </w:r>
      <w:r>
        <w:rPr>
          <w:i/>
          <w:sz w:val="20"/>
        </w:rPr>
        <w:t>Adv Insect Physiol.</w:t>
      </w:r>
      <w:r>
        <w:rPr>
          <w:sz w:val="20"/>
        </w:rPr>
        <w:t xml:space="preserve"> 2014;46:73–166.</w:t>
      </w:r>
    </w:p>
    <w:p w14:paraId="1962D1E3">
      <w:pPr>
        <w:spacing w:after="80" w:line="360" w:lineRule="auto"/>
        <w:ind w:left="420" w:hanging="420"/>
      </w:pPr>
      <w:r>
        <w:rPr>
          <w:sz w:val="20"/>
        </w:rPr>
        <w:t xml:space="preserve">[99] Hollingworth RM, Lund AE. Biological and neurotoxic actions of formamidine pesticides. </w:t>
      </w:r>
      <w:r>
        <w:rPr>
          <w:i/>
          <w:sz w:val="20"/>
        </w:rPr>
        <w:t>Cholinergic Mechanisms.</w:t>
      </w:r>
      <w:r>
        <w:rPr>
          <w:sz w:val="20"/>
        </w:rPr>
        <w:t xml:space="preserve"> 1982:189–202.</w:t>
      </w:r>
    </w:p>
    <w:p w14:paraId="7F1AA802">
      <w:pPr>
        <w:spacing w:after="80" w:line="360" w:lineRule="auto"/>
        <w:ind w:left="420" w:hanging="420"/>
      </w:pPr>
      <w:r>
        <w:rPr>
          <w:sz w:val="20"/>
        </w:rPr>
        <w:t xml:space="preserve">[100] Kita T, Hayashi T, Ohtani T, et al. Amitraz and chlordimeform actions on insect octopamine/tyramine receptors. </w:t>
      </w:r>
      <w:r>
        <w:rPr>
          <w:i/>
          <w:sz w:val="20"/>
        </w:rPr>
        <w:t>Pestic Biochem Physiol.</w:t>
      </w:r>
      <w:r>
        <w:rPr>
          <w:sz w:val="20"/>
        </w:rPr>
        <w:t xml:space="preserve"> 2017;142:60–65.</w:t>
      </w:r>
    </w:p>
    <w:p w14:paraId="3CAC5DEC">
      <w:pPr>
        <w:spacing w:after="80" w:line="360" w:lineRule="auto"/>
        <w:ind w:left="420" w:hanging="420"/>
      </w:pPr>
      <w:r>
        <w:rPr>
          <w:sz w:val="20"/>
        </w:rPr>
        <w:t xml:space="preserve">[101] Blenau W, Baumann A. Molecular and pharmacological properties of insect biogenic amine receptors: lessons from </w:t>
      </w:r>
      <w:r>
        <w:rPr>
          <w:i/>
          <w:sz w:val="20"/>
        </w:rPr>
        <w:t>Drosophila melanogaster</w:t>
      </w:r>
      <w:r>
        <w:rPr>
          <w:sz w:val="20"/>
        </w:rPr>
        <w:t xml:space="preserve"> and </w:t>
      </w:r>
      <w:r>
        <w:rPr>
          <w:i/>
          <w:sz w:val="20"/>
        </w:rPr>
        <w:t>Apis mellifera</w:t>
      </w:r>
      <w:r>
        <w:rPr>
          <w:sz w:val="20"/>
        </w:rPr>
        <w:t xml:space="preserve">. </w:t>
      </w:r>
      <w:r>
        <w:rPr>
          <w:i/>
          <w:sz w:val="20"/>
        </w:rPr>
        <w:t>Arch Insect Biochem Physiol.</w:t>
      </w:r>
      <w:r>
        <w:rPr>
          <w:sz w:val="20"/>
        </w:rPr>
        <w:t xml:space="preserve"> 2001;48(1):13–38.</w:t>
      </w:r>
    </w:p>
    <w:p w14:paraId="3B9BF0B0">
      <w:pPr>
        <w:spacing w:after="80" w:line="360" w:lineRule="auto"/>
        <w:ind w:left="420" w:hanging="420"/>
      </w:pPr>
      <w:r>
        <w:rPr>
          <w:sz w:val="20"/>
        </w:rPr>
        <w:t xml:space="preserve">[102] O'Reilly AO, Khambay BPS, Williamson MS, et al. Modelling insecticide-binding sites in the voltage-gated sodium channel. </w:t>
      </w:r>
      <w:r>
        <w:rPr>
          <w:i/>
          <w:sz w:val="20"/>
        </w:rPr>
        <w:t>Biochem J.</w:t>
      </w:r>
      <w:r>
        <w:rPr>
          <w:sz w:val="20"/>
        </w:rPr>
        <w:t xml:space="preserve"> 2006;396(2):255–263.</w:t>
      </w:r>
    </w:p>
    <w:p w14:paraId="686D747D">
      <w:pPr>
        <w:spacing w:after="80" w:line="360" w:lineRule="auto"/>
        <w:ind w:left="420" w:hanging="420"/>
      </w:pPr>
      <w:r>
        <w:rPr>
          <w:sz w:val="20"/>
        </w:rPr>
        <w:t>[103] Mota-Sanchez D, Wise JC. Arthropod Pesticide Resistance Database. Michigan State University. Available at: www.pesticideresistance.org.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15E6"/>
    <w:rsid w:val="00063EDA"/>
    <w:rsid w:val="0015074B"/>
    <w:rsid w:val="0029639D"/>
    <w:rsid w:val="00326F90"/>
    <w:rsid w:val="006215B0"/>
    <w:rsid w:val="007358FB"/>
    <w:rsid w:val="00AA1D8D"/>
    <w:rsid w:val="00B47730"/>
    <w:rsid w:val="00CB0664"/>
    <w:rsid w:val="00D06417"/>
    <w:rsid w:val="00FC693F"/>
    <w:rsid w:val="17470CC3"/>
    <w:rsid w:val="4C263128"/>
    <w:rsid w:val="611422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14363</Words>
  <Characters>17723</Characters>
  <Lines>804</Lines>
  <Paragraphs>506</Paragraphs>
  <TotalTime>1360</TotalTime>
  <ScaleCrop>false</ScaleCrop>
  <LinksUpToDate>false</LinksUpToDate>
  <CharactersWithSpaces>17937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周勇1619</cp:lastModifiedBy>
  <dcterms:modified xsi:type="dcterms:W3CDTF">2026-05-13T09:09:50Z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eyJoZGlkIjoiNzE4YjBkOTlhYWI5NzM0OWNlMjIwNmRlN2FkMGI3Y2EiLCJ1c2VySWQiOiIxODIzMDUxNjQ0In0=</vt:lpwstr>
  </property>
  <property fmtid="{D5CDD505-2E9C-101B-9397-08002B2CF9AE}" pid="3" name="KSOProductBuildVer">
    <vt:lpwstr>2052-12.1.0.25865</vt:lpwstr>
  </property>
  <property fmtid="{D5CDD505-2E9C-101B-9397-08002B2CF9AE}" pid="4" name="ICV">
    <vt:lpwstr>C6EFEB38ED4546A5956699FB9BEC0EE3_12</vt:lpwstr>
  </property>
</Properties>
</file>