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>
  <w:body>
    <w:p>
      <w:pPr>
        <w:pStyle w:val="000002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奥斯翰2026招生 · 韩国留学方向项目信息收集清单</w:t>
      </w:r>
    </w:p>
    <w:p>
      <w:pPr>
        <w:snapToGrid w:val="1"/>
        <w:spacing w:before="24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填写人：</w:t>
      </w: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 xml:space="preserve"> 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许惠聪、柯珍</w:t>
      </w: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（项目负责人姓名）</w:t>
      </w:r>
    </w:p>
    <w:p>
      <w:pPr>
        <w:snapToGrid w:val="1"/>
        <w:spacing w:before="24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项目名称：</w:t>
      </w: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 xml:space="preserve"> 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韩国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大学直升课程</w:t>
      </w: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（含韩语课程、TOPIK备考、升学指导）</w:t>
      </w:r>
    </w:p>
    <w:p>
      <w:pPr>
        <w:snapToGrid w:val="1"/>
        <w:spacing w:before="24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提交截止：</w:t>
      </w: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 xml:space="preserve"> 2026年5月X日</w:t>
      </w:r>
    </w:p>
    <w:p>
      <w:pPr>
        <w:pStyle w:val="000003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第一部分：政策与考试体系</w:t>
      </w:r>
    </w:p>
    <w:p>
      <w:pPr>
        <w:pStyle w:val="000004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1.1 韩语能力考试（TOPIK）</w:t>
      </w:r>
    </w:p>
    <w:p>
      <w:pPr>
        <w:numPr>
          <w:ilvl w:val="0"/>
          <w:numId w:val="1"/>
        </w:numPr>
        <w:pBdr/>
        <w:snapToGrid w:val="1"/>
        <w:spacing w:before="24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我校是否开设TOPIK备考课程？覆盖哪些级别（1-6级）？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是，1~6级</w:t>
      </w:r>
    </w:p>
    <w:p>
      <w:pPr>
        <w:pBdr>
          <w:bottom/>
        </w:pBdr>
        <w:snapToGrid w:val="1"/>
        <w:spacing w:before="240" w:after="240" w:line="240"/>
        <w:ind w:left="0"/>
        <w:jc w:val="left"/>
        <w:rPr>
          <w:shd w:val="clear" w:color="auto" w:fill="FFFF00"/>
        </w:rPr>
      </w:pP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 xml:space="preserve">  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  <w:shd w:val="clear" w:color="auto" w:fill="FFFF00"/>
        </w:rPr>
        <w:t xml:space="preserve"> 高一：TOPIK 1~2级；高二：TOPIK3~4级；高三：TOPIK5~6级</w:t>
      </w:r>
    </w:p>
    <w:p>
      <w:pPr>
        <w:numPr>
          <w:ilvl w:val="0"/>
          <w:numId w:val="1"/>
        </w:numPr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往年学生TOPIK通过率（中高级3级以上）？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100%</w:t>
      </w:r>
    </w:p>
    <w:p>
      <w:pPr>
        <w:numPr>
          <w:ilvl w:val="0"/>
          <w:numId w:val="1"/>
        </w:numPr>
        <w:pBdr/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平均学习多久能达到TOPIK 3级（本科申请基本要求）？</w:t>
      </w:r>
    </w:p>
    <w:p>
      <w:pPr>
        <w:snapToGrid w:val="1"/>
        <w:spacing w:before="90" w:after="240" w:line="240"/>
        <w:ind w:left="0"/>
        <w:jc w:val="left"/>
        <w:rPr>
          <w:color w:val="5E2281"/>
        </w:rPr>
      </w:pP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 xml:space="preserve">    </w:t>
      </w:r>
      <w:r>
        <w:rPr>
          <w:rFonts w:hint="eastAsia"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</w:rPr>
        <w:t>按照我校的教学计划完成学业，均能达到韩国本科院校要求的TOPIK等级。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</w:rPr>
        <w:t>TOP级大学（如首尔大、高丽、延世）要求TOPIK 5-6级。</w:t>
      </w:r>
      <w:r>
        <w:rPr>
          <w:rFonts w:hint="eastAsia"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</w:rPr>
        <w:t>如能考到五级可申请奖学金或部分韩国大学可以减免学费。</w:t>
      </w:r>
    </w:p>
    <w:p>
      <w:pPr>
        <w:pStyle w:val="000004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1.2 韩国大学申请流程</w:t>
      </w:r>
    </w:p>
    <w:p>
      <w:pPr>
        <w:numPr>
          <w:ilvl w:val="0"/>
          <w:numId w:val="2"/>
        </w:numPr>
        <w:snapToGrid w:val="1"/>
        <w:spacing w:before="240" w:after="240" w:line="240"/>
        <w:ind/>
        <w:jc w:val="left"/>
        <w:rPr>
          <w:shd w:val="clear" w:color="auto" w:fill="FFFF00"/>
        </w:rPr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我校是否提供从选校、文书（自我介绍、学习计划）、面试辅导到网申的全流程服务？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  <w:shd w:val="clear" w:color="auto" w:fill="FFFF00"/>
        </w:rPr>
        <w:t>提供</w:t>
      </w:r>
      <w:bookmarkStart w:id="1" w:name="_hidden:hidden1777695547820"/>
      <w:bookmarkEnd w:id="1"/>
    </w:p>
    <w:p>
      <w:pPr>
        <w:numPr>
          <w:ilvl w:val="0"/>
          <w:numId w:val="2"/>
        </w:numPr>
        <w:pBdr/>
        <w:snapToGrid w:val="1"/>
        <w:spacing w:before="90" w:after="240" w:line="240"/>
        <w:ind/>
        <w:jc w:val="left"/>
        <w:rPr>
          <w:shd w:val="clear" w:color="auto" w:fill="FFFF00"/>
        </w:rPr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韩国大学是否要求高考成绩？我校学生的应对策略？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  <w:shd w:val="clear" w:color="auto" w:fill="FFFF00"/>
        </w:rPr>
        <w:t>否</w:t>
      </w:r>
    </w:p>
    <w:p>
      <w:pPr>
        <w:snapToGrid w:val="1"/>
        <w:spacing w:before="90" w:after="240" w:line="240"/>
        <w:ind w:left="0"/>
        <w:jc w:val="left"/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</w:rPr>
      </w:pP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 xml:space="preserve">   </w:t>
      </w:r>
      <w:r>
        <w:rPr>
          <w:rFonts w:hint="eastAsia"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</w:rPr>
        <w:t>答：高考成绩可作为参考辅助材料提交，非必要成绩，我校学生持校内成绩证明与TOPIK成绩单及其他相关所需材料去报考本科院校。</w:t>
      </w:r>
    </w:p>
    <w:p>
      <w:pPr>
        <w:numPr>
          <w:ilvl w:val="0"/>
          <w:numId w:val="2"/>
        </w:numPr>
        <w:pBdr/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是否有“双录取”或“预录取”项目合作？</w:t>
      </w:r>
    </w:p>
    <w:p>
      <w:pPr>
        <w:snapToGrid w:val="1"/>
        <w:spacing w:before="90" w:after="240" w:line="240"/>
        <w:ind w:left="336"/>
        <w:jc w:val="left"/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</w:pPr>
      <w:r>
        <w:rPr>
          <w:rFonts w:hint="eastAsia"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</w:rPr>
        <w:t>答：我校与韩国成均馆大学、韩国京畿大学、全州大学一直保持紧密的交流与合作，但韩国的本科院校，均不会与海外高中签署任何的保录协议。我校韩国大学直升课程的毕业生，一直保持100%升学率，保持90%以上TOP20重本率，保持40%以上TOP10顶尖本科录取率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。</w:t>
      </w:r>
    </w:p>
    <w:p>
      <w:pPr>
        <w:pStyle w:val="000004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1.3 艺术/音乐/舞蹈等特殊专业</w:t>
      </w:r>
    </w:p>
    <w:p>
      <w:pPr>
        <w:numPr>
          <w:ilvl w:val="0"/>
          <w:numId w:val="3"/>
        </w:numPr>
        <w:pBdr>
          <w:bottom/>
        </w:pBdr>
        <w:snapToGrid w:val="1"/>
        <w:spacing w:before="24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我校是否开设韩国艺术留学方向（如实用音乐、舞蹈、设计、编导等）？</w:t>
      </w:r>
    </w:p>
    <w:p>
      <w:pPr>
        <w:snapToGrid w:val="1"/>
        <w:spacing w:before="240" w:after="240" w:line="240"/>
        <w:ind w:left="0"/>
        <w:jc w:val="left"/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</w:rPr>
      </w:pP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 xml:space="preserve"> </w:t>
      </w:r>
      <w:r>
        <w:rPr>
          <w:rFonts w:hint="eastAsia"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</w:rPr>
        <w:t xml:space="preserve">   答：有，但目前艺术类的作品集需要去校外完成，计划2026年（秋季）学期开设与招录韩国留学（艺术类）特色班。</w:t>
      </w:r>
    </w:p>
    <w:p>
      <w:pPr>
        <w:numPr>
          <w:ilvl w:val="0"/>
          <w:numId w:val="3"/>
        </w:numPr>
        <w:pBdr/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是否有作品集辅导或合作机构？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 xml:space="preserve"> </w:t>
      </w:r>
    </w:p>
    <w:p>
      <w:pPr>
        <w:snapToGrid w:val="1"/>
        <w:spacing w:before="90" w:after="240" w:line="240"/>
        <w:ind w:left="0"/>
        <w:jc w:val="left"/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</w:rPr>
      </w:pPr>
      <w:r>
        <w:rPr>
          <w:rFonts w:hint="eastAsia"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</w:rPr>
        <w:t xml:space="preserve">    答：暂无，学校提供专业方向指导与作品集要求，学生自主准备</w:t>
      </w:r>
    </w:p>
    <w:p>
      <w:pPr>
        <w:pStyle w:val="000004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1.4 政策变化</w:t>
      </w:r>
    </w:p>
    <w:p>
      <w:pPr>
        <w:numPr>
          <w:ilvl w:val="0"/>
          <w:numId w:val="4"/>
        </w:numPr>
        <w:pBdr/>
        <w:snapToGrid w:val="1"/>
        <w:spacing w:before="24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韩国政府或大学近年来对留学生的奖学金、打工时长、签证政策有何调整？</w:t>
      </w:r>
    </w:p>
    <w:p>
      <w:pPr>
        <w:pBdr/>
        <w:snapToGrid w:val="1"/>
        <w:spacing w:before="240" w:after="240" w:line="240"/>
        <w:ind w:left="0"/>
        <w:jc w:val="left"/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  <w:shd w:val="clear" w:color="auto" w:fill="FFFF00"/>
        </w:rPr>
      </w:pP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 xml:space="preserve">   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答：</w:t>
      </w: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  <w:shd w:val="clear" w:color="auto" w:fill="FFFFFF"/>
        </w:rPr>
        <w:t xml:space="preserve">近年来，韩国在签证、打工与奖学金方面推出了一系列新政策，整体趋势是 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  <w:shd w:val="clear" w:color="auto" w:fill="FFFF00"/>
        </w:rPr>
        <w:t>“放宽地方限制以吸引人才，收紧首都圈管理以保证质量”</w:t>
      </w:r>
    </w:p>
    <w:p>
      <w:pPr>
        <w:numPr>
          <w:ilvl w:val="0"/>
          <w:numId w:val="5"/>
        </w:numPr>
        <w:pBdr/>
        <w:snapToGrid w:val="1"/>
        <w:spacing w:before="240" w:after="240" w:line="240"/>
        <w:ind/>
        <w:jc w:val="left"/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auto"/>
        </w:rPr>
      </w:pP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auto"/>
        </w:rPr>
        <w:t>签证政策</w:t>
      </w:r>
    </w:p>
    <w:p>
      <w:pPr>
        <w:numPr>
          <w:ilvl w:val="0"/>
          <w:numId w:val="6"/>
        </w:numPr>
        <w:pBdr/>
        <w:snapToGrid w:val="1"/>
        <w:spacing w:before="240" w:after="240" w:line="240"/>
        <w:jc w:val="left"/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</w:pP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auto"/>
        </w:rPr>
        <w:t>、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去非首都圈留学的学生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：自2025年起试点的广域型签证项目，赋予地方政府自主放宽签证条件的权限，吸引留学生到地方学习和定居。</w:t>
      </w:r>
    </w:p>
    <w:p>
      <w:pPr>
        <w:numPr>
          <w:ilvl w:val="0"/>
          <w:numId w:val="6"/>
        </w:numPr>
        <w:pBdr/>
        <w:snapToGrid w:val="1"/>
        <w:spacing w:before="240" w:after="240" w:line="240"/>
        <w:ind/>
        <w:jc w:val="left"/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</w:pP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降低财力证明：试点地区（如忠清南道、全罗北道）的存款证明从原来的1600万韩元降至800万韩元，大大减轻了资金负担。</w:t>
      </w:r>
    </w:p>
    <w:p>
      <w:pPr>
        <w:numPr>
          <w:ilvl w:val="0"/>
          <w:numId w:val="6"/>
        </w:numPr>
        <w:pBdr/>
        <w:snapToGrid w:val="1"/>
        <w:spacing w:before="240" w:after="240" w:line="240"/>
        <w:ind/>
        <w:jc w:val="left"/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</w:pP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放宽工作限制：部分地区（如釜山、仁川）甚至允许留学生在学期内进行专业实习。毕业后若在人口减少地区的地方大学就读并顺利毕业，还有机会申请F-2-R地区特化型居住签证，跳过求职环节直接工作并定居。</w:t>
      </w:r>
    </w:p>
    <w:p>
      <w:pPr>
        <w:numPr>
          <w:ilvl w:val="0"/>
          <w:numId w:val="6"/>
        </w:numPr>
        <w:pBdr/>
        <w:snapToGrid w:val="1"/>
        <w:spacing w:before="240" w:after="240" w:line="240"/>
        <w:ind/>
        <w:jc w:val="left"/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STEM（科学、技术、工程、数学）理工科人才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：自2026年起，K-STAR签证通道大幅扩容，为理工科毕业生开辟“毕业即定居”的专属通道</w:t>
      </w:r>
    </w:p>
    <w:p>
      <w:pPr>
        <w:numPr>
          <w:ilvl w:val="0"/>
          <w:numId w:val="6"/>
        </w:numPr>
        <w:pBdr/>
        <w:snapToGrid w:val="1"/>
        <w:spacing w:before="240" w:after="240" w:line="240"/>
        <w:ind/>
        <w:jc w:val="left"/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</w:pP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大学毕业直接申请F-2居留签：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硕士或博士毕业后，凭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校长推荐信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即可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直接申请F-2长期居留签证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，完全免去“先找到雇主担保”的步骤</w:t>
      </w:r>
      <w:r>
        <w:rPr>
          <w:rFonts w:hint="eastAsia"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。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F-2签证的</w:t>
      </w:r>
      <w:r>
        <w:rPr>
          <w:rFonts w:hint="eastAsia"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韩国永居申请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年度配额从100个激增至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400个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；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申请永居（F-5）的居住年限要求从6年大幅缩短至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3年</w:t>
      </w:r>
    </w:p>
    <w:p>
      <w:pPr>
        <w:numPr>
          <w:ilvl w:val="0"/>
          <w:numId w:val="7"/>
        </w:numPr>
        <w:pBdr/>
        <w:snapToGrid w:val="1"/>
        <w:spacing w:before="240" w:after="240" w:line="240"/>
        <w:ind/>
        <w:jc w:val="left"/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</w:pP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打工政策：时长放款</w:t>
      </w:r>
    </w:p>
    <w:p>
      <w:pPr>
        <w:numPr>
          <w:ilvl w:val="0"/>
          <w:numId w:val="8"/>
        </w:numPr>
        <w:pBdr/>
        <w:snapToGrid w:val="1"/>
        <w:spacing w:before="240" w:after="240" w:line="240"/>
        <w:jc w:val="left"/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</w:pP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学期中每周最多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25小时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；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寒暑假无限制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，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部分政策提及上限可达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30小时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，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韩语和成绩优秀者最多可达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35小时</w:t>
      </w:r>
    </w:p>
    <w:p>
      <w:pPr>
        <w:numPr>
          <w:ilvl w:val="0"/>
          <w:numId w:val="8"/>
        </w:numPr>
        <w:pBdr/>
        <w:snapToGrid w:val="1"/>
        <w:spacing w:before="240" w:after="240" w:line="240"/>
        <w:ind/>
        <w:jc w:val="left"/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打工申请流程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：必须提前1-3周向学校和出入境管理机构提交《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校外活动许可申请书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》申请“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打工证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”，获批后方可开始工作</w:t>
      </w:r>
      <w:r>
        <w:rPr>
          <w:rFonts w:hint="eastAsia"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。</w:t>
      </w:r>
    </w:p>
    <w:p>
      <w:pPr>
        <w:numPr>
          <w:ilvl w:val="0"/>
          <w:numId w:val="9"/>
        </w:numPr>
        <w:pBdr/>
        <w:snapToGrid w:val="1"/>
        <w:spacing w:before="240" w:after="240" w:line="240"/>
        <w:ind/>
        <w:jc w:val="left"/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</w:pP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奖学金</w:t>
      </w:r>
    </w:p>
    <w:p>
      <w:pPr>
        <w:numPr>
          <w:ilvl w:val="0"/>
          <w:numId w:val="10"/>
        </w:numPr>
        <w:pBdr/>
        <w:snapToGrid w:val="1"/>
        <w:spacing w:before="240" w:after="240" w:line="240"/>
        <w:ind/>
        <w:jc w:val="left"/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首尔市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：推出“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首尔科技奖学金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”，为30名全球理工科硕士生提供每年最高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2000万韩元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资助</w:t>
      </w:r>
    </w:p>
    <w:p>
      <w:pPr>
        <w:numPr>
          <w:ilvl w:val="0"/>
          <w:numId w:val="10"/>
        </w:numPr>
        <w:pBdr>
          <w:bottom/>
        </w:pBdr>
        <w:snapToGrid w:val="1"/>
        <w:spacing w:before="240" w:after="240" w:line="240"/>
        <w:jc w:val="left"/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校内奖学金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：非常普遍，嘉奖优秀学子。例如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国民大学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根据绩点排名减免学费20%-50%</w:t>
      </w:r>
      <w:r>
        <w:rPr>
          <w:rFonts w:hint="eastAsia"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。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许多顶尖大学为TOPIK5-6级的新生提供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高达100%的学费减免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。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三育大学为理工科新生提供</w:t>
      </w:r>
      <w:r>
        <w:rPr>
          <w:rFonts w:ascii="quote-cjk-patch" w:hAnsi="quote-cjk-patch" w:eastAsia="quote-cjk-patch" w:cs="quote-cjk-patch"/>
          <w:b w:val="1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学费全免+生活费250万韩元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的慷慨支持</w:t>
      </w:r>
      <w:r>
        <w:rPr>
          <w:rFonts w:hint="eastAsia"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FF"/>
        </w:rPr>
        <w:t>。</w:t>
      </w:r>
    </w:p>
    <w:p>
      <w:pPr>
        <w:pStyle w:val="000003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第二部分：办学优势</w:t>
      </w:r>
    </w:p>
    <w:p>
      <w:pPr>
        <w:pStyle w:val="000004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2.1 与竞品对比（如新东方韩语、蔚蓝韩国留学、金吉列、延世大学语学院合作项目等）</w:t>
      </w:r>
    </w:p>
    <w:tbl>
      <w:tblPr>
        <w:tblStyle w:val="000015"/>
        <w:tblLayout w:type="fixed"/>
      </w:tblPr>
      <w:tblGrid>
        <w:gridCol w:w="1740"/>
        <w:gridCol w:w="1980"/>
        <w:gridCol w:w="1980"/>
        <w:gridCol w:w="1740"/>
      </w:tblGrid>
      <w:tr>
        <w:trPr/>
        <w:tc>
          <w:tcPr>
            <w:tcW w:w="17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维度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我校情况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竞品情况</w:t>
            </w:r>
          </w:p>
        </w:tc>
        <w:tc>
          <w:tcPr>
            <w:tcW w:w="17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我校优势</w:t>
            </w:r>
          </w:p>
        </w:tc>
      </w:tr>
      <w:tr>
        <w:trPr/>
        <w:tc>
          <w:tcPr>
            <w:tcW w:w="17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韩语教学模式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韩国语</w:t>
            </w:r>
            <w:r>
              <w:rPr>
                <w:rFonts w:hint="eastAsia"/>
              </w:rPr>
              <w:t>外教，正规教学，学生循序渐进完成大纲和目标。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速成，以考级为唯一标准。</w:t>
            </w:r>
          </w:p>
        </w:tc>
        <w:tc>
          <w:tcPr>
            <w:tcW w:w="17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韩语环境，沉浸式学习体验</w:t>
            </w:r>
          </w:p>
        </w:tc>
      </w:tr>
      <w:tr>
        <w:trPr/>
        <w:tc>
          <w:tcPr>
            <w:tcW w:w="17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TOPIK备考体系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升学指导老师全程跟踪，查缺补漏。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应试，实战能力差</w:t>
            </w:r>
          </w:p>
        </w:tc>
        <w:tc>
          <w:tcPr>
            <w:tcW w:w="17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教学资源与环境的优势</w:t>
            </w:r>
          </w:p>
        </w:tc>
      </w:tr>
      <w:tr>
        <w:trPr/>
        <w:tc>
          <w:tcPr>
            <w:tcW w:w="17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合作院校资源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与海外多所院校保持合作与交流，但明确要求学生的韩语水平（如TOPIK等级）和预科课程成绩合格，而不是无条件录取。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/>
              <w:t>警惕中介的夸大宣传</w:t>
            </w:r>
          </w:p>
        </w:tc>
        <w:tc>
          <w:tcPr>
            <w:tcW w:w="17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保证真实性，保障学生与家长权益，不做任何夸大宣传。</w:t>
            </w:r>
          </w:p>
        </w:tc>
      </w:tr>
      <w:tr>
        <w:trPr/>
        <w:tc>
          <w:tcPr>
            <w:tcW w:w="17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升学成功率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百分之一百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不了解</w:t>
            </w:r>
          </w:p>
        </w:tc>
        <w:tc>
          <w:tcPr>
            <w:tcW w:w="17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名校升学率高</w:t>
            </w:r>
          </w:p>
        </w:tc>
      </w:tr>
      <w:tr>
        <w:trPr/>
        <w:tc>
          <w:tcPr>
            <w:tcW w:w="17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费用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一年12万8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不了解</w:t>
            </w:r>
          </w:p>
        </w:tc>
        <w:tc>
          <w:tcPr>
            <w:tcW w:w="17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深圳唯一一家正规留学韩国的学校</w:t>
            </w:r>
          </w:p>
        </w:tc>
      </w:tr>
    </w:tbl>
    <w:p>
      <w:pPr>
        <w:pStyle w:val="000004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2.2 我校的韩国合作院校</w:t>
      </w:r>
    </w:p>
    <w:p>
      <w:pPr>
        <w:numPr>
          <w:ilvl w:val="0"/>
          <w:numId w:val="11"/>
        </w:numPr>
        <w:snapToGrid w:val="1"/>
        <w:spacing w:before="24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我校是否与韩国大学建立直接合作关系（如姊妹校、直录项目、交换生项目）？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没有</w:t>
      </w:r>
    </w:p>
    <w:p>
      <w:pPr>
        <w:numPr>
          <w:ilvl w:val="0"/>
          <w:numId w:val="11"/>
        </w:numPr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如果有，请列出合作院校名称、合作内容（如免语言直升、学费优惠、奖学金等）。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没有</w:t>
      </w:r>
    </w:p>
    <w:p>
      <w:pPr>
        <w:pStyle w:val="000004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2.3 中韩双语授课项目</w:t>
      </w:r>
    </w:p>
    <w:p>
      <w:pPr>
        <w:numPr>
          <w:ilvl w:val="0"/>
          <w:numId w:val="12"/>
        </w:numPr>
        <w:pBdr/>
        <w:snapToGrid w:val="1"/>
        <w:spacing w:before="24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是否了解韩国大学的中文授课项目（如庆熙大学中文MBA、西江大学等）？我校是否推荐或辅导？</w:t>
      </w:r>
    </w:p>
    <w:p>
      <w:pPr>
        <w:snapToGrid w:val="1"/>
        <w:spacing w:before="240" w:after="240" w:line="240"/>
        <w:ind w:left="0"/>
        <w:jc w:val="left"/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</w:pP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答：有了解过，我校不推荐，鉴于我校学生的情况，经过这几年在我校的韩语学习，完全能够满足学生留学的语言要求，所以我们不推荐孩子去学习以中文授课方式的专业。</w:t>
      </w:r>
    </w:p>
    <w:p>
      <w:pPr>
        <w:pStyle w:val="000003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第三部分：办学成绩与录取数据</w:t>
      </w:r>
    </w:p>
    <w:p>
      <w:pPr>
        <w:pStyle w:val="000004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3.1 历年录取总览（近3年）</w:t>
      </w:r>
    </w:p>
    <w:tbl>
      <w:tblPr>
        <w:tblStyle w:val="000015"/>
        <w:tblLayout w:type="fixed"/>
      </w:tblPr>
      <w:tblGrid>
        <w:gridCol w:w="1740"/>
        <w:gridCol w:w="1980"/>
        <w:gridCol w:w="2280"/>
        <w:gridCol w:w="3330"/>
        <w:gridCol w:w="1980"/>
        <w:gridCol w:w="1830"/>
      </w:tblGrid>
      <w:tr>
        <w:trPr/>
        <w:tc>
          <w:tcPr>
            <w:tcW w:w="17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年度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毕业生人数</w:t>
            </w:r>
          </w:p>
        </w:tc>
        <w:tc>
          <w:tcPr>
            <w:tcW w:w="22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韩国大学录取人数</w:t>
            </w:r>
          </w:p>
        </w:tc>
        <w:tc>
          <w:tcPr>
            <w:tcW w:w="33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SKY（首尔/高丽/延世）录取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其他名校</w:t>
            </w:r>
          </w:p>
        </w:tc>
        <w:tc>
          <w:tcPr>
            <w:tcW w:w="18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最高录取院校</w:t>
            </w:r>
          </w:p>
        </w:tc>
      </w:tr>
      <w:tr>
        <w:trPr/>
        <w:tc>
          <w:tcPr>
            <w:tcW w:w="17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2025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16</w:t>
            </w:r>
          </w:p>
        </w:tc>
        <w:tc>
          <w:tcPr>
            <w:tcW w:w="22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16</w:t>
            </w:r>
          </w:p>
        </w:tc>
        <w:tc>
          <w:tcPr>
            <w:tcW w:w="33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2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</w:p>
        </w:tc>
        <w:tc>
          <w:tcPr>
            <w:tcW w:w="18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</w:p>
        </w:tc>
      </w:tr>
      <w:tr>
        <w:trPr/>
        <w:tc>
          <w:tcPr>
            <w:tcW w:w="17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2024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14</w:t>
            </w:r>
          </w:p>
        </w:tc>
        <w:tc>
          <w:tcPr>
            <w:tcW w:w="22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14</w:t>
            </w:r>
          </w:p>
        </w:tc>
        <w:tc>
          <w:tcPr>
            <w:tcW w:w="33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4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</w:p>
        </w:tc>
        <w:tc>
          <w:tcPr>
            <w:tcW w:w="18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</w:p>
        </w:tc>
      </w:tr>
      <w:tr>
        <w:trPr/>
        <w:tc>
          <w:tcPr>
            <w:tcW w:w="17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2023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17</w:t>
            </w:r>
          </w:p>
        </w:tc>
        <w:tc>
          <w:tcPr>
            <w:tcW w:w="22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17</w:t>
            </w:r>
          </w:p>
        </w:tc>
        <w:tc>
          <w:tcPr>
            <w:tcW w:w="33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2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</w:p>
        </w:tc>
        <w:tc>
          <w:tcPr>
            <w:tcW w:w="18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</w:p>
        </w:tc>
      </w:tr>
    </w:tbl>
    <w:p>
      <w:pPr>
        <w:pStyle w:val="000004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3.2 典型录取案例</w:t>
      </w:r>
    </w:p>
    <w:tbl>
      <w:tblPr>
        <w:tblStyle w:val="000015"/>
        <w:tblLayout w:type="fixed"/>
      </w:tblPr>
      <w:tblGrid>
        <w:gridCol w:w="1125"/>
        <w:gridCol w:w="1805"/>
        <w:gridCol w:w="2042"/>
        <w:gridCol w:w="1362"/>
        <w:gridCol w:w="917"/>
        <w:gridCol w:w="1583"/>
      </w:tblGrid>
      <w:tr>
        <w:trPr>
          <w:trHeight w:val="2058" w:hRule="atLeast"/>
        </w:trPr>
        <w:tc>
          <w:tcPr>
            <w:tcW w:w="112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学生化名</w:t>
            </w:r>
          </w:p>
        </w:tc>
        <w:tc>
          <w:tcPr>
            <w:tcW w:w="180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入学韩语基础</w:t>
            </w:r>
          </w:p>
        </w:tc>
        <w:tc>
          <w:tcPr>
            <w:tcW w:w="2042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最终TOPIK等级</w:t>
            </w:r>
          </w:p>
        </w:tc>
        <w:tc>
          <w:tcPr>
            <w:tcW w:w="1362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录取大学</w:t>
            </w:r>
          </w:p>
        </w:tc>
        <w:tc>
          <w:tcPr>
            <w:tcW w:w="917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专业</w:t>
            </w:r>
          </w:p>
        </w:tc>
        <w:tc>
          <w:tcPr>
            <w:tcW w:w="1583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奖学金情况</w:t>
            </w:r>
          </w:p>
        </w:tc>
      </w:tr>
    </w:tbl>
    <w:p>
      <w:pPr>
        <w:pStyle w:val="000004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3.3 TOPIK成绩</w:t>
      </w:r>
    </w:p>
    <w:p>
      <w:pPr>
        <w:numPr>
          <w:ilvl w:val="0"/>
          <w:numId w:val="13"/>
        </w:numPr>
        <w:snapToGrid w:val="1"/>
        <w:spacing w:before="24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历年最高等级？平均等级？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 xml:space="preserve"> 6级，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4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级</w:t>
      </w:r>
    </w:p>
    <w:p>
      <w:pPr>
        <w:numPr>
          <w:ilvl w:val="0"/>
          <w:numId w:val="13"/>
        </w:numPr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TOPIK 4级以上学生占比？</w:t>
      </w:r>
    </w:p>
    <w:p>
      <w:pPr>
        <w:pStyle w:val="000003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第四部分：师资介绍</w:t>
      </w:r>
    </w:p>
    <w:p>
      <w:pPr>
        <w:pStyle w:val="000004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4.1 韩语教师</w:t>
      </w:r>
    </w:p>
    <w:tbl>
      <w:tblPr>
        <w:tblStyle w:val="000015"/>
        <w:tblLayout w:type="fixed"/>
      </w:tblPr>
      <w:tblGrid>
        <w:gridCol w:w="1165"/>
        <w:gridCol w:w="1528"/>
        <w:gridCol w:w="2008"/>
        <w:gridCol w:w="1288"/>
        <w:gridCol w:w="3565"/>
      </w:tblGrid>
      <w:tr>
        <w:trPr>
          <w:trHeight w:val="2360" w:hRule="atLeast"/>
        </w:trPr>
        <w:tc>
          <w:tcPr>
            <w:tcW w:w="11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姓名</w:t>
            </w:r>
          </w:p>
        </w:tc>
        <w:tc>
          <w:tcPr>
            <w:tcW w:w="152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教龄</w:t>
            </w:r>
          </w:p>
        </w:tc>
        <w:tc>
          <w:tcPr>
            <w:tcW w:w="200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学历/留韩经历</w:t>
            </w:r>
          </w:p>
        </w:tc>
        <w:tc>
          <w:tcPr>
            <w:tcW w:w="128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TOPIK等级</w:t>
            </w:r>
          </w:p>
        </w:tc>
        <w:tc>
          <w:tcPr>
            <w:tcW w:w="35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教学特点</w:t>
            </w:r>
          </w:p>
        </w:tc>
      </w:tr>
      <w:tr>
        <w:trPr>
          <w:trHeight w:val="1372" w:hRule="atLeast"/>
        </w:trPr>
        <w:tc>
          <w:tcPr>
            <w:tcW w:w="11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柯珍</w:t>
            </w:r>
          </w:p>
        </w:tc>
        <w:tc>
          <w:tcPr>
            <w:tcW w:w="152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6</w:t>
            </w:r>
          </w:p>
        </w:tc>
        <w:tc>
          <w:tcPr>
            <w:tcW w:w="200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成均馆大学</w:t>
            </w:r>
          </w:p>
        </w:tc>
        <w:tc>
          <w:tcPr>
            <w:tcW w:w="128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6</w:t>
            </w:r>
          </w:p>
        </w:tc>
        <w:tc>
          <w:tcPr>
            <w:tcW w:w="35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因材施教，教学内容实用性强</w:t>
            </w:r>
          </w:p>
        </w:tc>
      </w:tr>
      <w:tr>
        <w:trPr>
          <w:wBefore/>
          <w:trHeight w:val="1680" w:hRule="atLeast"/>
        </w:trPr>
        <w:tc>
          <w:tcPr>
            <w:tcW w:w="11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240" w:after="240" w:line="240"/>
              <w:ind w:left="0"/>
              <w:rPr/>
            </w:pPr>
            <w:r>
              <w:rPr>
                <w:rFonts w:hint="eastAsia"/>
              </w:rPr>
              <w:t>Mr.HEO</w:t>
            </w:r>
          </w:p>
          <w:p>
            <w:pPr>
              <w:snapToGrid w:val="1"/>
              <w:spacing w:before="0" w:after="0" w:line="240"/>
              <w:ind/>
              <w:rPr/>
            </w:pPr>
          </w:p>
        </w:tc>
        <w:tc>
          <w:tcPr>
            <w:tcW w:w="152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10年以上</w:t>
            </w:r>
          </w:p>
        </w:tc>
        <w:tc>
          <w:tcPr>
            <w:tcW w:w="200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韩国</w:t>
            </w:r>
            <w:r>
              <w:rPr>
                <w:rFonts w:hint="eastAsia"/>
              </w:rPr>
              <w:t>籍</w:t>
            </w:r>
          </w:p>
        </w:tc>
        <w:tc>
          <w:tcPr>
            <w:tcW w:w="128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6</w:t>
            </w:r>
          </w:p>
        </w:tc>
        <w:tc>
          <w:tcPr>
            <w:tcW w:w="35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numPr/>
              <w:pBdr/>
              <w:snapToGrid w:val="1"/>
              <w:spacing w:before="0" w:after="0" w:line="240"/>
              <w:ind/>
              <w:rPr>
                <w:rFonts w:hint="eastAsia"/>
              </w:rPr>
            </w:pPr>
            <w:r>
              <w:rPr>
                <w:rFonts w:hint="eastAsia"/>
              </w:rPr>
              <w:t>韩国籍 首席韩国语教师</w:t>
            </w:r>
          </w:p>
          <w:p>
            <w:pPr>
              <w:numPr/>
              <w:pBdr/>
              <w:snapToGrid w:val="1"/>
              <w:spacing w:before="0" w:after="0" w:line="240"/>
              <w:ind/>
              <w:rPr>
                <w:rFonts w:hint="eastAsia"/>
              </w:rPr>
            </w:pPr>
          </w:p>
          <w:p>
            <w:pPr>
              <w:numPr/>
              <w:pBdr/>
              <w:snapToGrid w:val="1"/>
              <w:spacing w:before="0" w:after="0" w:line="240"/>
              <w:ind/>
              <w:rPr>
                <w:rFonts w:hint="eastAsia"/>
              </w:rPr>
            </w:pPr>
          </w:p>
          <w:p>
            <w:pPr>
              <w:snapToGrid w:val="1"/>
              <w:spacing w:before="0" w:after="0" w:line="240"/>
              <w:ind/>
              <w:rPr>
                <w:rFonts w:hint="eastAsia"/>
              </w:rPr>
            </w:pPr>
          </w:p>
        </w:tc>
      </w:tr>
      <w:tr>
        <w:trPr>
          <w:wBefore/>
          <w:trHeight w:val="1716" w:hRule="atLeast"/>
        </w:trPr>
        <w:tc>
          <w:tcPr>
            <w:tcW w:w="11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Mrs.JANG</w:t>
            </w:r>
          </w:p>
        </w:tc>
        <w:tc>
          <w:tcPr>
            <w:tcW w:w="152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20</w:t>
            </w:r>
          </w:p>
        </w:tc>
        <w:tc>
          <w:tcPr>
            <w:tcW w:w="200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韩国</w:t>
            </w:r>
            <w:r>
              <w:rPr>
                <w:rFonts w:hint="eastAsia"/>
              </w:rPr>
              <w:t>籍</w:t>
            </w:r>
          </w:p>
        </w:tc>
        <w:tc>
          <w:tcPr>
            <w:tcW w:w="1288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hint="eastAsia"/>
              </w:rPr>
              <w:t>6</w:t>
            </w:r>
          </w:p>
        </w:tc>
        <w:tc>
          <w:tcPr>
            <w:tcW w:w="35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snapToGrid w:val="1"/>
              <w:spacing w:before="240" w:after="240" w:line="240"/>
              <w:ind w:left="0"/>
              <w:rPr/>
            </w:pPr>
            <w:r>
              <w:rPr>
                <w:rFonts w:hint="eastAsia"/>
              </w:rPr>
              <w:t>韩国籍专家</w:t>
            </w:r>
            <w:r>
              <w:rPr/>
              <w:br w:type="textWrapping"/>
            </w:r>
            <w:r>
              <w:rPr>
                <w:rFonts w:hint="eastAsia"/>
              </w:rPr>
              <w:t>KIEP</w:t>
            </w:r>
            <w:r>
              <w:rPr>
                <w:rFonts w:hint="eastAsia"/>
              </w:rPr>
              <w:t>学术</w:t>
            </w:r>
            <w:r>
              <w:rPr>
                <w:rFonts w:hint="eastAsia"/>
              </w:rPr>
              <w:t>副校长</w:t>
            </w:r>
          </w:p>
          <w:p>
            <w:pPr>
              <w:snapToGrid w:val="1"/>
              <w:spacing w:before="0" w:after="0" w:line="240"/>
              <w:ind/>
              <w:rPr/>
            </w:pPr>
          </w:p>
        </w:tc>
      </w:tr>
    </w:tbl>
    <w:p>
      <w:pPr>
        <w:pStyle w:val="000004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4.2 升学指导</w:t>
      </w:r>
    </w:p>
    <w:p>
      <w:pPr>
        <w:numPr>
          <w:ilvl w:val="0"/>
          <w:numId w:val="14"/>
        </w:numPr>
        <w:snapToGrid w:val="1"/>
        <w:spacing w:before="24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是否有韩国籍或留韩背景的升学顾问？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是</w:t>
      </w:r>
    </w:p>
    <w:p>
      <w:pPr>
        <w:numPr>
          <w:ilvl w:val="0"/>
          <w:numId w:val="14"/>
        </w:numPr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是否定期邀请韩国大学招生官来校宣讲？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是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，韩国高丽大学、成均馆大学等顶尖学府，每年来我校进行教育交流与招生说明</w:t>
      </w:r>
    </w:p>
    <w:p>
      <w:pPr>
        <w:pStyle w:val="000003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第五部分：常见问题（至少8个）</w:t>
      </w:r>
    </w:p>
    <w:p>
      <w:pPr>
        <w:numPr>
          <w:ilvl w:val="0"/>
          <w:numId w:val="15"/>
        </w:numPr>
        <w:pBdr>
          <w:bottom/>
        </w:pBdr>
        <w:snapToGrid w:val="1"/>
        <w:spacing w:before="240" w:after="240" w:line="240"/>
        <w:ind/>
        <w:jc w:val="left"/>
        <w:rPr/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韩国留学一年费用多少？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15-20万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左右</w:t>
      </w:r>
    </w:p>
    <w:p>
      <w:pPr>
        <w:numPr>
          <w:ilvl w:val="0"/>
          <w:numId w:val="15"/>
        </w:numPr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不会韩语能去韩国留学吗？有哪些英语授课项目？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可以，各个学校有以英语成绩申请的专业，比如经营学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、金融学、经济学等，以全英文授课的专业，无需提交韩国语水平成绩（topik）。</w:t>
      </w:r>
    </w:p>
    <w:p>
      <w:pPr>
        <w:numPr>
          <w:ilvl w:val="0"/>
          <w:numId w:val="15"/>
        </w:numPr>
        <w:pBdr/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韩国大学排名相当于中国什么水平？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各个学校排名不一致</w:t>
      </w:r>
    </w:p>
    <w:p>
      <w:pPr>
        <w:snapToGrid w:val="1"/>
        <w:spacing w:before="90" w:after="240" w:line="240"/>
        <w:ind w:left="0"/>
        <w:jc w:val="left"/>
        <w:rPr>
          <w:rFonts w:hint="eastAsia"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</w:pP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drawing>
          <wp:inline distT="0" distB="0" distL="0" distR="0">
            <wp:extent cx="5278120" cy="2784907"/>
            <wp:effectExtent l="0" t="0" r="0" b="0"/>
            <wp:docPr id="2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3" name="picture" descr="descript"/>
                    <pic:cNvPicPr/>
                  </pic:nvPicPr>
                  <pic:blipFill rotWithShape="1">
                    <a:blip r:embed="rId5"/>
                    <a:stretch/>
                  </pic:blipFill>
                  <pic:spPr>
                    <a:xfrm>
                      <a:off x="0" y="0"/>
                      <a:ext cx="5278120" cy="2784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5"/>
        </w:numPr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韩国留学毕业后容易留在韩国工作吗？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分专业和根据自身能力水平不同存在差异</w:t>
      </w:r>
    </w:p>
    <w:p>
      <w:pPr>
        <w:numPr>
          <w:ilvl w:val="0"/>
          <w:numId w:val="15"/>
        </w:numPr>
        <w:pBdr/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女生去韩国留学安全吗？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相对安全</w:t>
      </w:r>
    </w:p>
    <w:p>
      <w:pPr>
        <w:numPr>
          <w:ilvl w:val="0"/>
          <w:numId w:val="16"/>
        </w:numPr>
        <w:snapToGrid w:val="1"/>
        <w:spacing w:before="240" w:after="240" w:line="240"/>
        <w:ind/>
        <w:jc w:val="left"/>
        <w:rPr/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  <w:shd w:val="clear" w:color="auto" w:fill="FFFFFF"/>
        </w:rPr>
        <w:t>低犯罪率</w:t>
      </w: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  <w:shd w:val="clear" w:color="auto" w:fill="FFFFFF"/>
        </w:rPr>
        <w:t>：韩国整体暴力犯罪率在全球处于偏低水平，是一个低偷窃率、低犯罪率的国家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  <w:shd w:val="clear" w:color="auto" w:fill="FFFFFF"/>
        </w:rPr>
        <w:t>。</w:t>
      </w:r>
    </w:p>
    <w:p>
      <w:pPr>
        <w:numPr>
          <w:ilvl w:val="0"/>
          <w:numId w:val="16"/>
        </w:numPr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  <w:shd w:val="clear" w:color="auto" w:fill="FFFFFF"/>
        </w:rPr>
        <w:t>监控覆盖广</w:t>
      </w: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  <w:shd w:val="clear" w:color="auto" w:fill="FFFFFF"/>
        </w:rPr>
        <w:t>：尤其在首尔、釜山等大城市，街道和公共场所监控覆盖率高，即便是夜间在繁华商圈或校园周边，也相对安全。</w:t>
      </w:r>
    </w:p>
    <w:p>
      <w:pPr>
        <w:numPr>
          <w:ilvl w:val="0"/>
          <w:numId w:val="16"/>
        </w:numPr>
        <w:pBdr/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  <w:shd w:val="clear" w:color="auto" w:fill="FFFFFF"/>
        </w:rPr>
        <w:t>警察响应快</w:t>
      </w: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  <w:shd w:val="clear" w:color="auto" w:fill="FFFFFF"/>
        </w:rPr>
        <w:t>：当地警察响应迅速，部分区域还能提供简单的中文服务，沟通障碍相对较小</w:t>
      </w:r>
    </w:p>
    <w:p>
      <w:pPr>
        <w:pBdr>
          <w:bottom/>
        </w:pBdr>
        <w:snapToGrid w:val="1"/>
        <w:spacing w:before="90" w:after="240" w:line="240"/>
        <w:ind w:left="0"/>
        <w:jc w:val="left"/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  <w:shd w:val="clear" w:color="auto" w:fill="auto"/>
        </w:rPr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  <w:shd w:val="clear" w:color="auto" w:fill="auto"/>
        </w:rPr>
        <w:t>时刻保持</w:t>
      </w:r>
      <w:r>
        <w:rPr>
          <w:rFonts w:ascii="quote-cjk-patch" w:hAnsi="quote-cjk-patch" w:eastAsia="quote-cjk-patch" w:cs="quote-cjk-patch"/>
          <w:i w:val="0"/>
          <w:strike w:val="0"/>
          <w:color w:val="5E2281"/>
          <w:spacing w:val="0"/>
          <w:sz w:val="24"/>
          <w:u w:val="none"/>
          <w:shd w:val="clear" w:color="auto" w:fill="FFFF00"/>
        </w:rPr>
        <w:t>安全意识</w:t>
      </w: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  <w:shd w:val="clear" w:color="auto" w:fill="auto"/>
        </w:rPr>
        <w:t>，韩国完全能为你提供一段安心又精彩的留学生活</w:t>
      </w:r>
    </w:p>
    <w:p>
      <w:pPr>
        <w:numPr>
          <w:ilvl w:val="0"/>
          <w:numId w:val="15"/>
        </w:numPr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韩国大学是否认可国内高考成绩？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认可，可作为辅助材料提交</w:t>
      </w:r>
    </w:p>
    <w:p>
      <w:pPr>
        <w:numPr>
          <w:ilvl w:val="0"/>
          <w:numId w:val="15"/>
        </w:numPr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韩国留学签证难办吗？需要存款证明多少？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录取后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我校协助办理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签证，存款14万左右</w:t>
      </w:r>
    </w:p>
    <w:p>
      <w:pPr>
        <w:numPr>
          <w:ilvl w:val="0"/>
          <w:numId w:val="15"/>
        </w:numPr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什么时候开始准备韩国留学最合适？</w:t>
      </w:r>
      <w:r>
        <w:rPr>
          <w:rFonts w:hint="eastAsia" w:ascii="quote-cjk-patch" w:hAnsi="quote-cjk-patch" w:eastAsia="quote-cjk-patch" w:cs="quote-cjk-patch"/>
          <w:b w:val="1"/>
          <w:i w:val="0"/>
          <w:strike w:val="0"/>
          <w:color w:val="0F1115"/>
          <w:spacing w:val="0"/>
          <w:sz w:val="24"/>
          <w:u w:val="none"/>
        </w:rPr>
        <w:t>高一开始</w:t>
      </w:r>
    </w:p>
    <w:p>
      <w:pPr>
        <w:pStyle w:val="000003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第六部分：认知空缺</w:t>
      </w:r>
      <w:r>
        <w:rPr>
          <w:rFonts w:hint="eastAsia"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（以下仅举例，可以调整）</w:t>
      </w:r>
    </w:p>
    <w:tbl>
      <w:tblPr>
        <w:tblStyle w:val="000015"/>
        <w:tblLayout w:type="fixed"/>
      </w:tblPr>
      <w:tblGrid>
        <w:gridCol w:w="1770"/>
        <w:gridCol w:w="3645"/>
        <w:gridCol w:w="5880"/>
      </w:tblGrid>
      <w:tr>
        <w:trPr/>
        <w:tc>
          <w:tcPr>
            <w:tcW w:w="177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维度</w:t>
            </w:r>
          </w:p>
        </w:tc>
        <w:tc>
          <w:tcPr>
            <w:tcW w:w="36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常见误解</w:t>
            </w:r>
          </w:p>
        </w:tc>
        <w:tc>
          <w:tcPr>
            <w:tcW w:w="58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我校纠正</w:t>
            </w:r>
          </w:p>
        </w:tc>
      </w:tr>
      <w:tr>
        <w:trPr/>
        <w:tc>
          <w:tcPr>
            <w:tcW w:w="177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韩语学习难度</w:t>
            </w:r>
          </w:p>
        </w:tc>
        <w:tc>
          <w:tcPr>
            <w:tcW w:w="36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以为韩语很容易很快就能考过</w:t>
            </w:r>
          </w:p>
        </w:tc>
        <w:tc>
          <w:tcPr>
            <w:tcW w:w="58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实际TOPIK 6级需要长期积累</w:t>
            </w:r>
          </w:p>
        </w:tc>
      </w:tr>
      <w:tr>
        <w:trPr/>
        <w:tc>
          <w:tcPr>
            <w:tcW w:w="177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费用</w:t>
            </w:r>
          </w:p>
        </w:tc>
        <w:tc>
          <w:tcPr>
            <w:tcW w:w="36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以为韩国很便宜</w:t>
            </w:r>
          </w:p>
        </w:tc>
        <w:tc>
          <w:tcPr>
            <w:tcW w:w="58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首尔地区一年约12-15万人民币</w:t>
            </w:r>
          </w:p>
        </w:tc>
      </w:tr>
      <w:tr>
        <w:trPr/>
        <w:tc>
          <w:tcPr>
            <w:tcW w:w="177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录取难度</w:t>
            </w:r>
          </w:p>
        </w:tc>
        <w:tc>
          <w:tcPr>
            <w:tcW w:w="36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以为SKY很好进</w:t>
            </w:r>
          </w:p>
        </w:tc>
        <w:tc>
          <w:tcPr>
            <w:tcW w:w="58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实际上竞争激烈，需优秀成绩+文书+面试</w:t>
            </w:r>
          </w:p>
        </w:tc>
      </w:tr>
      <w:tr>
        <w:trPr/>
        <w:tc>
          <w:tcPr>
            <w:tcW w:w="177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学历认可</w:t>
            </w:r>
          </w:p>
        </w:tc>
        <w:tc>
          <w:tcPr>
            <w:tcW w:w="364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担心韩国学历回国不认可</w:t>
            </w:r>
          </w:p>
        </w:tc>
        <w:tc>
          <w:tcPr>
            <w:tcW w:w="58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quote-cjk-patch" w:hAnsi="quote-cjk-patch" w:eastAsia="quote-cjk-patch" w:cs="quote-cjk-patch"/>
                <w:i w:val="0"/>
                <w:strike w:val="0"/>
                <w:color w:val="000000"/>
                <w:spacing w:val="0"/>
                <w:sz w:val="24"/>
                <w:u w:val="none"/>
              </w:rPr>
              <w:t>韩国前20大学均可在教育部认证</w:t>
            </w:r>
          </w:p>
        </w:tc>
      </w:tr>
    </w:tbl>
    <w:p>
      <w:pPr>
        <w:pStyle w:val="000003"/>
        <w:snapToGrid w:val="1"/>
        <w:spacing w:before="480" w:after="240" w:line="240"/>
        <w:ind w:left="0" w:right="0" w:hanging="0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u w:val="none"/>
        </w:rPr>
        <w:t>第七部分：附加资源</w:t>
      </w:r>
    </w:p>
    <w:p>
      <w:pPr>
        <w:numPr>
          <w:ilvl w:val="0"/>
          <w:numId w:val="17"/>
        </w:numPr>
        <w:snapToGrid w:val="1"/>
        <w:spacing w:before="24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韩国大学排名及录取标准</w:t>
      </w:r>
    </w:p>
    <w:p>
      <w:pPr>
        <w:numPr>
          <w:ilvl w:val="0"/>
          <w:numId w:val="17"/>
        </w:numPr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课程大纲</w:t>
      </w:r>
    </w:p>
    <w:p>
      <w:pPr>
        <w:numPr>
          <w:ilvl w:val="0"/>
          <w:numId w:val="17"/>
        </w:numPr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学生TOPIK成绩单/录取通知书扫描件</w:t>
      </w:r>
    </w:p>
    <w:p>
      <w:pPr>
        <w:numPr>
          <w:ilvl w:val="0"/>
          <w:numId w:val="17"/>
        </w:numPr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韩国大学宣传资料</w:t>
      </w:r>
    </w:p>
    <w:p>
      <w:pPr>
        <w:numPr>
          <w:ilvl w:val="0"/>
          <w:numId w:val="17"/>
        </w:numPr>
        <w:snapToGrid w:val="1"/>
        <w:spacing w:before="90" w:after="240" w:line="240"/>
        <w:ind/>
        <w:jc w:val="left"/>
        <w:rPr/>
      </w:pPr>
      <w:r>
        <w:rPr>
          <w:rFonts w:ascii="quote-cjk-patch" w:hAnsi="quote-cjk-patch" w:eastAsia="quote-cjk-patch" w:cs="quote-cjk-patch"/>
          <w:i w:val="0"/>
          <w:strike w:val="0"/>
          <w:color w:val="0F1115"/>
          <w:spacing w:val="0"/>
          <w:sz w:val="24"/>
          <w:u w:val="none"/>
        </w:rPr>
        <w:t>其他</w:t>
      </w:r>
    </w:p>
    <w:p>
      <w:pPr>
        <w:pStyle w:val="000013"/>
        <w:jc w:val="left"/>
        <w:rPr/>
      </w:pPr>
    </w:p>
    <w:p>
      <w:pPr>
        <w:rPr/>
      </w:pP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2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1">
    <w:lvl w:ilvl="8">
      <w:start w:val="1"/>
      <w:numFmt w:val="lowerRoman"/>
      <w:lvlText w:val="%9."/>
      <w:lvlJc w:val="left"/>
      <w:pPr>
        <w:ind w:left="385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2"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</w:abstractNum>
  <w:abstractNum w:abstractNumId="3"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</w:abstractNum>
  <w:abstractNum w:abstractNumId="4"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</w:abstractNum>
  <w:abstractNum w:abstractNumId="5"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</w:abstractNum>
  <w:abstractNum w:abstractNumId="6"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</w:abstractNum>
  <w:abstractNum w:abstractNumId="7">
    <w:lvl w:ilvl="5">
      <w:start w:val="1"/>
      <w:numFmt w:val="lowerRoman"/>
      <w:lvlText w:val="%6."/>
      <w:lvlJc w:val="left"/>
      <w:pPr>
        <w:ind w:left="25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3"/>
      <w:numFmt w:val="decimal"/>
      <w:lvlText w:val="%1."/>
      <w:lvlJc w:val="left"/>
      <w:pPr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8">
    <w:lvl w:ilvl="0">
      <w:start w:val="1"/>
      <w:numFmt w:val="chineseCountingThousand"/>
      <w:lvlText w:val="（%1）"/>
      <w:lvlJc w:val="left"/>
      <w:pPr>
        <w:ind w:left="1008" w:hanging="672"/>
      </w:pPr>
      <w:rPr/>
    </w:lvl>
    <w:lvl w:ilvl="6">
      <w:start w:val="1"/>
      <w:numFmt w:val="chineseCountingThousand"/>
      <w:lvlText w:val="（%7）"/>
      <w:lvlJc w:val="left"/>
      <w:pPr>
        <w:ind w:left="3648" w:hanging="672"/>
      </w:pPr>
    </w:lvl>
    <w:lvl w:ilvl="3">
      <w:start w:val="1"/>
      <w:numFmt w:val="chineseCountingThousand"/>
      <w:lvlText w:val="（%4）"/>
      <w:lvlJc w:val="left"/>
      <w:pPr>
        <w:ind w:left="2328" w:hanging="672"/>
      </w:pPr>
    </w:lvl>
    <w:lvl w:ilvl="8">
      <w:start w:val="1"/>
      <w:numFmt w:val="lowerLetter"/>
      <w:lvlText w:val="%9)"/>
      <w:lvlJc w:val="left"/>
      <w:pPr>
        <w:ind w:left="4192" w:hanging="336"/>
      </w:pPr>
    </w:lvl>
    <w:lvl w:ilvl="1">
      <w:start w:val="1"/>
      <w:numFmt w:val="decimal"/>
      <w:lvlText w:val="%2、"/>
      <w:lvlJc w:val="left"/>
      <w:pPr>
        <w:ind w:left="1112" w:hanging="336"/>
      </w:pPr>
    </w:lvl>
    <w:lvl w:ilvl="5">
      <w:start w:val="1"/>
      <w:numFmt w:val="lowerLetter"/>
      <w:lvlText w:val="%6)"/>
      <w:lvlJc w:val="left"/>
      <w:pPr>
        <w:ind w:left="2872" w:hanging="336"/>
      </w:pPr>
    </w:lvl>
    <w:lvl w:ilvl="7">
      <w:start w:val="1"/>
      <w:numFmt w:val="decimal"/>
      <w:lvlText w:val="%8、"/>
      <w:lvlJc w:val="left"/>
      <w:pPr>
        <w:ind w:left="3752" w:hanging="336"/>
      </w:pPr>
    </w:lvl>
    <w:lvl w:ilvl="4">
      <w:start w:val="1"/>
      <w:numFmt w:val="decimal"/>
      <w:lvlText w:val="%5、"/>
      <w:lvlJc w:val="left"/>
      <w:pPr>
        <w:ind w:left="2432" w:hanging="336"/>
      </w:pPr>
    </w:lvl>
    <w:lvl w:ilvl="2">
      <w:start w:val="1"/>
      <w:numFmt w:val="lowerLetter"/>
      <w:lvlText w:val="%3)"/>
      <w:lvlJc w:val="left"/>
      <w:pPr>
        <w:ind w:left="1552" w:hanging="336"/>
      </w:pPr>
    </w:lvl>
  </w:abstractNum>
  <w:abstractNum w:abstractNumId="9">
    <w:lvl w:ilvl="7">
      <w:start w:val="1"/>
      <w:numFmt w:val="decimal"/>
      <w:lvlText w:val="%8、"/>
      <w:lvlJc w:val="left"/>
      <w:pPr>
        <w:ind w:left="3752" w:hanging="336"/>
      </w:pPr>
    </w:lvl>
    <w:lvl w:ilvl="1">
      <w:start w:val="1"/>
      <w:numFmt w:val="decimal"/>
      <w:lvlText w:val="%2、"/>
      <w:lvlJc w:val="left"/>
      <w:pPr>
        <w:ind w:left="1112" w:hanging="336"/>
      </w:pPr>
    </w:lvl>
    <w:lvl w:ilvl="0">
      <w:start w:val="1"/>
      <w:numFmt w:val="chineseCountingThousand"/>
      <w:lvlText w:val="（%1）"/>
      <w:lvlJc w:val="left"/>
      <w:pPr>
        <w:ind w:left="1008" w:hanging="672"/>
      </w:pPr>
      <w:rPr/>
    </w:lvl>
    <w:lvl w:ilvl="6">
      <w:start w:val="1"/>
      <w:numFmt w:val="chineseCountingThousand"/>
      <w:lvlText w:val="（%7）"/>
      <w:lvlJc w:val="left"/>
      <w:pPr>
        <w:ind w:left="3648" w:hanging="672"/>
      </w:pPr>
    </w:lvl>
    <w:lvl w:ilvl="5">
      <w:start w:val="1"/>
      <w:numFmt w:val="lowerLetter"/>
      <w:lvlText w:val="%6)"/>
      <w:lvlJc w:val="left"/>
      <w:pPr>
        <w:ind w:left="2872" w:hanging="336"/>
      </w:pPr>
    </w:lvl>
    <w:lvl w:ilvl="2">
      <w:start w:val="1"/>
      <w:numFmt w:val="lowerLetter"/>
      <w:lvlText w:val="%3)"/>
      <w:lvlJc w:val="left"/>
      <w:pPr>
        <w:ind w:left="1552" w:hanging="336"/>
      </w:pPr>
    </w:lvl>
    <w:lvl w:ilvl="8">
      <w:start w:val="1"/>
      <w:numFmt w:val="lowerLetter"/>
      <w:lvlText w:val="%9)"/>
      <w:lvlJc w:val="left"/>
      <w:pPr>
        <w:ind w:left="4192" w:hanging="336"/>
      </w:pPr>
    </w:lvl>
    <w:lvl w:ilvl="4">
      <w:start w:val="1"/>
      <w:numFmt w:val="decimal"/>
      <w:lvlText w:val="%5、"/>
      <w:lvlJc w:val="left"/>
      <w:pPr>
        <w:ind w:left="2432" w:hanging="336"/>
      </w:pPr>
    </w:lvl>
    <w:lvl w:ilvl="3">
      <w:start w:val="1"/>
      <w:numFmt w:val="chineseCountingThousand"/>
      <w:lvlText w:val="（%4）"/>
      <w:lvlJc w:val="left"/>
      <w:pPr>
        <w:ind w:left="2328" w:hanging="672"/>
      </w:pPr>
    </w:lvl>
  </w:abstractNum>
  <w:abstractNum w:abstractNumId="10"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</w:abstractNum>
  <w:abstractNum w:abstractNumId="11">
    <w:lvl w:ilvl="4">
      <w:start w:val="1"/>
      <w:numFmt w:val="lowerLetter"/>
      <w:lvlText w:val="%5."/>
      <w:pPr>
        <w:ind w:leftChars="800" w:hanging="336"/>
      </w:pPr>
    </w:lvl>
    <w:lvl w:ilvl="3">
      <w:start w:val="1"/>
      <w:numFmt w:val="decimal"/>
      <w:lvlText w:val="%4."/>
      <w:pPr>
        <w:ind w:leftChars="600" w:hanging="0"/>
      </w:pPr>
    </w:lvl>
    <w:lvl w:ilvl="1">
      <w:start w:val="1"/>
      <w:numFmt w:val="lowerLetter"/>
      <w:lvlText w:val="%2."/>
      <w:pPr>
        <w:ind w:leftChars="200" w:hanging="336"/>
      </w:pPr>
    </w:lvl>
    <w:lvl w:ilvl="5">
      <w:start w:val="1"/>
      <w:numFmt w:val="lowerRoman"/>
      <w:lvlText w:val="%6."/>
      <w:pPr>
        <w:ind w:leftChars="1000" w:hanging="336"/>
      </w:pPr>
    </w:lvl>
    <w:lvl w:ilvl="0">
      <w:start w:val="1"/>
      <w:numFmt w:val="decimal"/>
      <w:lvlText w:val="%1."/>
      <w:pPr>
        <w:ind/>
      </w:pPr>
      <w:rPr/>
    </w:lvl>
    <w:lvl w:ilvl="6">
      <w:start w:val="1"/>
      <w:numFmt w:val="decimal"/>
      <w:lvlText w:val="%7."/>
      <w:pPr>
        <w:ind w:leftChars="1200" w:hanging="0"/>
      </w:pPr>
    </w:lvl>
    <w:lvl w:ilvl="2">
      <w:start w:val="1"/>
      <w:numFmt w:val="lowerRoman"/>
      <w:lvlText w:val="%3."/>
      <w:pPr>
        <w:ind w:leftChars="400" w:hanging="336"/>
      </w:pPr>
    </w:lvl>
    <w:lvl w:ilvl="7">
      <w:start w:val="1"/>
      <w:numFmt w:val="lowerLetter"/>
      <w:lvlText w:val="%8."/>
      <w:pPr>
        <w:ind w:leftChars="1400" w:hanging="336"/>
      </w:pPr>
    </w:lvl>
    <w:lvl w:ilvl="8">
      <w:start w:val="1"/>
      <w:numFmt w:val="lowerRoman"/>
      <w:lvlText w:val="%9."/>
      <w:pPr>
        <w:ind w:leftChars="1600" w:hanging="336"/>
      </w:pPr>
    </w:lvl>
  </w:abstractNum>
  <w:abstractNum w:abstractNumId="12"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</w:abstractNum>
  <w:abstractNum w:abstractNumId="13"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</w:abstractNum>
  <w:abstractNum w:abstractNumId="14">
    <w:lvl w:ilvl="4">
      <w:start w:val="1"/>
      <w:numFmt w:val="bullet"/>
      <w:lvlText w:val="¡"/>
      <w:pPr>
        <w:ind w:left="0" w:leftChars="8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336" w:leftChars="12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336" w:leftChars="6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="0" w:leftChars="4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0" w:leftChars="16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0" w:leftChars="10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="0" w:leftChars="2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tabs/>
        <w:ind w:left="336" w:hanging="336"/>
      </w:pPr>
      <w:rPr>
        <w:rFonts w:hint="default" w:ascii="wingdings" w:hAnsi="wingdings" w:cs="wingdings"/>
        <w:u/>
      </w:rPr>
    </w:lvl>
    <w:lvl w:ilvl="7">
      <w:start w:val="1"/>
      <w:numFmt w:val="bullet"/>
      <w:lvlText w:val="¡"/>
      <w:pPr>
        <w:ind w:left="0" w:leftChars="1400" w:hanging="336"/>
      </w:pPr>
      <w:rPr>
        <w:rFonts w:hint="default" w:ascii="wingdings" w:hAnsi="wingdings" w:cs="wingdings"/>
      </w:rPr>
    </w:lvl>
  </w:abstractNum>
  <w:abstractNum w:abstractNumId="15">
    <w:lvl w:ilvl="0">
      <w:start w:val="1"/>
      <w:numFmt w:val="chineseCountingThousand"/>
      <w:lvlText w:val="（%1）"/>
      <w:lvlJc w:val="left"/>
      <w:pPr>
        <w:ind w:left="1008" w:hanging="672"/>
      </w:pPr>
      <w:rPr/>
    </w:lvl>
    <w:lvl w:ilvl="3">
      <w:start w:val="1"/>
      <w:numFmt w:val="chineseCountingThousand"/>
      <w:lvlText w:val="（%4）"/>
      <w:lvlJc w:val="left"/>
      <w:pPr>
        <w:ind w:left="2328" w:hanging="672"/>
      </w:pPr>
    </w:lvl>
    <w:lvl w:ilvl="6">
      <w:start w:val="1"/>
      <w:numFmt w:val="chineseCountingThousand"/>
      <w:lvlText w:val="（%7）"/>
      <w:lvlJc w:val="left"/>
      <w:pPr>
        <w:ind w:left="3648" w:hanging="672"/>
      </w:pPr>
    </w:lvl>
    <w:lvl w:ilvl="1">
      <w:start w:val="1"/>
      <w:numFmt w:val="decimal"/>
      <w:lvlText w:val="%2、"/>
      <w:lvlJc w:val="left"/>
      <w:pPr>
        <w:ind w:left="1112" w:hanging="336"/>
      </w:pPr>
    </w:lvl>
    <w:lvl w:ilvl="5">
      <w:start w:val="1"/>
      <w:numFmt w:val="lowerLetter"/>
      <w:lvlText w:val="%6)"/>
      <w:lvlJc w:val="left"/>
      <w:pPr>
        <w:ind w:left="2872" w:hanging="336"/>
      </w:pPr>
    </w:lvl>
    <w:lvl w:ilvl="8">
      <w:start w:val="1"/>
      <w:numFmt w:val="lowerLetter"/>
      <w:lvlText w:val="%9)"/>
      <w:lvlJc w:val="left"/>
      <w:pPr>
        <w:ind w:left="4192" w:hanging="336"/>
      </w:pPr>
    </w:lvl>
    <w:lvl w:ilvl="4">
      <w:start w:val="1"/>
      <w:numFmt w:val="decimal"/>
      <w:lvlText w:val="%5、"/>
      <w:lvlJc w:val="left"/>
      <w:pPr>
        <w:ind w:left="2432" w:hanging="336"/>
      </w:pPr>
    </w:lvl>
    <w:lvl w:ilvl="2">
      <w:start w:val="1"/>
      <w:numFmt w:val="lowerLetter"/>
      <w:lvlText w:val="%3)"/>
      <w:lvlJc w:val="left"/>
      <w:pPr>
        <w:ind w:left="1552" w:hanging="336"/>
      </w:pPr>
    </w:lvl>
    <w:lvl w:ilvl="7">
      <w:start w:val="1"/>
      <w:numFmt w:val="decimal"/>
      <w:lvlText w:val="%8、"/>
      <w:lvlJc w:val="left"/>
      <w:pPr>
        <w:ind w:left="3752" w:hanging="336"/>
      </w:pPr>
    </w:lvl>
  </w:abstractNum>
  <w:abstractNum w:abstractNumId="16"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</w:abstractNum>
  <w:num w:numId="5">
    <w:abstractNumId w:val="1"/>
  </w:num>
  <w:num w:numId="8">
    <w:abstractNumId w:val="15"/>
  </w:num>
  <w:num w:numId="14">
    <w:abstractNumId w:val="5"/>
  </w:num>
  <w:num w:numId="16">
    <w:abstractNumId w:val="12"/>
  </w:num>
  <w:num w:numId="13">
    <w:abstractNumId w:val="4"/>
  </w:num>
  <w:num w:numId="15">
    <w:abstractNumId w:val="11"/>
  </w:num>
  <w:num w:numId="1">
    <w:abstractNumId w:val="16"/>
  </w:num>
  <w:num w:numId="6">
    <w:abstractNumId w:val="9"/>
  </w:num>
  <w:num w:numId="11">
    <w:abstractNumId w:val="13"/>
  </w:num>
  <w:num w:numId="17">
    <w:abstractNumId w:val="2"/>
  </w:num>
  <w:num w:numId="4">
    <w:abstractNumId w:val="6"/>
  </w:num>
  <w:num w:numId="9">
    <w:abstractNumId w:val="7"/>
  </w:num>
  <w:num w:numId="3">
    <w:abstractNumId w:val="10"/>
  </w:num>
  <w:num w:numId="2">
    <w:abstractNumId w:val="14"/>
  </w:num>
  <w:num w:numId="12">
    <w:abstractNumId w:val="3"/>
  </w:num>
  <w:num w:numId="10">
    <w:abstractNumId w:val="8"/>
  </w:num>
  <w:num w:numId="7">
    <w:abstractNumId w:val="0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useWord2013TrackBottomHyphenation" w:uri="http://schemas.microsoft.com/office/word" w:val="1"/>
    <w:compatSetting w:name="compatibilityMode" w:uri="http://schemas.microsoft.com/office/word" w:val="15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ifferentiateMultirowTableHeaders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heading 4" w:qFormat="1"/>
    <w:lsdException w:name="Table Web 1" w:semiHidden="1" w:unhideWhenUsed="1"/>
    <w:lsdException w:name="Table Columns 3" w:semiHidden="1" w:unhideWhenUsed="1"/>
    <w:lsdException w:name="Light List Accent 6" w:uiPriority="61"/>
    <w:lsdException w:name="Grid Table 2 Accent 2" w:uiPriority="47"/>
    <w:lsdException w:name="Quote" w:uiPriority="99"/>
    <w:lsdException w:name="HTML Top of Form" w:uiPriority="99" w:semiHidden="1" w:unhideWhenUsed="1"/>
    <w:lsdException w:name="HTML Preformatted" w:uiPriority="99"/>
    <w:lsdException w:name="List Table 6 Colorful Accent 4" w:uiPriority="51"/>
    <w:lsdException w:name="List Table 4 Accent 6" w:uiPriority="49"/>
    <w:lsdException w:name="Medium List 1 Accent 3" w:uiPriority="65"/>
    <w:lsdException w:name="Grid Table 5 Dark Accent 1" w:uiPriority="50"/>
    <w:lsdException w:name="Grid Table 6 Colorful Accent 4" w:uiPriority="51"/>
    <w:lsdException w:name="Grid Table 2 Accent 6" w:uiPriority="47"/>
    <w:lsdException w:name="Medium Shading 1 Accent 5" w:uiPriority="63"/>
    <w:lsdException w:name="Colorful Shading Accent 3" w:uiPriority="71"/>
    <w:lsdException w:name="List Table 2 Accent 3" w:uiPriority="47"/>
    <w:lsdException w:name="List Table 4 Accent 5" w:uiPriority="49"/>
    <w:lsdException w:name="Colorful Shading Accent 2" w:uiPriority="71"/>
    <w:lsdException w:name="List Table 2" w:uiPriority="47"/>
    <w:lsdException w:name="Colorful Shading Accent 4" w:uiPriority="71"/>
    <w:lsdException w:name="Table Grid 7" w:semiHidden="1" w:unhideWhenUsed="1"/>
    <w:lsdException w:name="Grid Table 3 Accent 1" w:uiPriority="48"/>
    <w:lsdException w:name="Grid Table 5 Dark Accent 5" w:uiPriority="50"/>
    <w:lsdException w:name="Grid Table 5 Dark" w:uiPriority="50"/>
    <w:lsdException w:name="HTML Address" w:uiPriority="99"/>
    <w:lsdException w:name="Colorful Grid Accent 5" w:uiPriority="73"/>
    <w:lsdException w:name="HTML Acronym" w:uiPriority="99"/>
    <w:lsdException w:name="Medium Shading 2 Accent 5" w:uiPriority="64"/>
    <w:lsdException w:name="List Table 3 Accent 5" w:uiPriority="48"/>
    <w:lsdException w:name="Light Shading Accent 3" w:uiPriority="60"/>
    <w:lsdException w:name="Grid Table 5 Dark Accent 6" w:uiPriority="50"/>
    <w:lsdException w:name="Colorful List Accent 6" w:uiPriority="72"/>
    <w:lsdException w:name="Colorful Grid Accent 3" w:uiPriority="73"/>
    <w:lsdException w:name="Grid Table 2 Accent 1" w:uiPriority="47"/>
    <w:lsdException w:name="Grid Table 7 Colorful Accent 1" w:uiPriority="52"/>
    <w:lsdException w:name="Dark List Accent 1" w:uiPriority="70"/>
    <w:lsdException w:name="Medium List 2 Accent 5" w:uiPriority="66"/>
    <w:lsdException w:name="Medium Grid 2 Accent 6" w:uiPriority="68"/>
    <w:lsdException w:name="Normal" w:qFormat="1"/>
    <w:lsdException w:name="Colorful List" w:uiPriority="72"/>
    <w:lsdException w:name="Light Grid Accent 1" w:uiPriority="62"/>
    <w:lsdException w:name="List Table 5 Dark Accent 3" w:uiPriority="50"/>
    <w:lsdException w:name="List Table 7 Colorful Accent 2" w:uiPriority="52"/>
    <w:lsdException w:name="Grid Table 3 Accent 6" w:uiPriority="48"/>
    <w:lsdException w:name="Table Classic 3" w:semiHidden="1" w:unhideWhenUsed="1"/>
    <w:lsdException w:name="Medium List 2 Accent 4" w:uiPriority="66"/>
    <w:lsdException w:name="HTML Keyboard" w:uiPriority="99"/>
    <w:lsdException w:name="List Table 2 Accent 4" w:uiPriority="47"/>
    <w:lsdException w:name="Plain Table 1" w:uiPriority="41"/>
    <w:lsdException w:name="Light Grid Accent 5" w:uiPriority="62"/>
    <w:lsdException w:name="Light Shading Accent 2" w:uiPriority="60"/>
    <w:lsdException w:name="Light List Accent 1" w:uiPriority="61"/>
    <w:lsdException w:name="List Table 7 Colorful Accent 3" w:uiPriority="52"/>
    <w:lsdException w:name="Mention" w:uiPriority="99" w:semiHidden="1" w:unhideWhenUsed="1"/>
    <w:lsdException w:name="List Table 1 Light Accent 4" w:uiPriority="46"/>
    <w:lsdException w:name="Colorful Grid" w:uiPriority="73"/>
    <w:lsdException w:name="toc 7" w:uiPriority="99"/>
    <w:lsdException w:name="Medium Grid 1 Accent 1" w:uiPriority="67"/>
    <w:lsdException w:name="Grid Table 7 Colorful Accent 6" w:uiPriority="52"/>
    <w:lsdException w:name="Medium List 1 Accent 4" w:uiPriority="65"/>
    <w:lsdException w:name="List Table 6 Colorful Accent 5" w:uiPriority="51"/>
    <w:lsdException w:name="Table Contemporary" w:semiHidden="1" w:unhideWhenUsed="1"/>
    <w:lsdException w:name="Medium Shading 2 Accent 6" w:uiPriority="64"/>
    <w:lsdException w:name="Grid Table 1 Light Accent 2" w:uiPriority="46"/>
    <w:lsdException w:name="Medium List 2" w:uiPriority="66"/>
    <w:lsdException w:name="toc 9" w:uiPriority="99"/>
    <w:lsdException w:name="Medium Grid 1 Accent 5" w:uiPriority="67"/>
    <w:lsdException w:name="Colorful Grid Accent 1" w:uiPriority="73"/>
    <w:lsdException w:name="Intense Emphasis" w:uiPriority="21" w:qFormat="1"/>
    <w:lsdException w:name="Medium Grid 1 Accent 4" w:uiPriority="67"/>
    <w:lsdException w:name="Grid Table 6 Colorful Accent 2" w:uiPriority="51"/>
    <w:lsdException w:name="Medium Grid 2 Accent 4" w:uiPriority="68"/>
    <w:lsdException w:name="toc 2" w:uiPriority="99"/>
    <w:lsdException w:name="Medium Shading 1 Accent 3" w:uiPriority="63"/>
    <w:lsdException w:name="Medium Shading 2 Accent 2" w:uiPriority="64"/>
    <w:lsdException w:name="Colorful Shading Accent 1" w:uiPriority="71"/>
    <w:lsdException w:name="List Table 4" w:uiPriority="49"/>
    <w:lsdException w:name="Medium Grid 3" w:uiPriority="69"/>
    <w:lsdException w:name="Medium Grid 1" w:uiPriority="67"/>
    <w:lsdException w:name="Bibliography" w:uiPriority="37" w:semiHidden="1" w:unhideWhenUsed="1"/>
    <w:lsdException w:name="List Table 3" w:uiPriority="48"/>
    <w:lsdException w:name="Table Simple 1" w:semiHidden="1" w:unhideWhenUsed="1"/>
    <w:lsdException w:name="Intense Reference" w:uiPriority="32" w:qFormat="1"/>
    <w:lsdException w:name="Medium Shading 2" w:uiPriority="64"/>
    <w:lsdException w:name="Medium Shading 2 Accent 1" w:uiPriority="64"/>
    <w:lsdException w:name="heading 7" w:unhideWhenUsed="1" w:qFormat="1"/>
    <w:lsdException w:name="Table Classic 1" w:semiHidden="1" w:unhideWhenUsed="1"/>
    <w:lsdException w:name="Medium Grid 2 Accent 3" w:uiPriority="68"/>
    <w:lsdException w:name="Grid Table 2 Accent 3" w:uiPriority="47"/>
    <w:lsdException w:name="List Table 6 Colorful Accent 6" w:uiPriority="51"/>
    <w:lsdException w:name="Table List 4" w:semiHidden="1" w:unhideWhenUsed="1"/>
    <w:lsdException w:name="Grid Table 6 Colorful Accent 3" w:uiPriority="51"/>
    <w:lsdException w:name="Medium List 2 Accent 3" w:uiPriority="66"/>
    <w:lsdException w:name="Light Grid Accent 4" w:uiPriority="62"/>
    <w:lsdException w:name="Medium List 1 Accent 1" w:uiPriority="65"/>
    <w:lsdException w:name="Table List 5" w:semiHidden="1" w:unhideWhenUsed="1"/>
    <w:lsdException w:name="Table Professional" w:semiHidden="1" w:unhideWhenUsed="1"/>
    <w:lsdException w:name="Revision" w:uiPriority="99" w:semiHidden="1"/>
    <w:lsdException w:name="toc 3" w:uiPriority="99"/>
    <w:lsdException w:name="Book Title" w:uiPriority="33" w:qFormat="1"/>
    <w:lsdException w:name="Grid Table 1 Light Accent 4" w:uiPriority="46"/>
    <w:lsdException w:name="Medium List 2 Accent 1" w:uiPriority="66"/>
    <w:lsdException w:name="Medium Grid 2 Accent 5" w:uiPriority="68"/>
    <w:lsdException w:name="Table List 7" w:semiHidden="1" w:unhideWhenUsed="1"/>
    <w:lsdException w:name="Grid Table 7 Colorful Accent 5" w:uiPriority="52"/>
    <w:lsdException w:name="List Table 3 Accent 3" w:uiPriority="48"/>
    <w:lsdException w:name="Table Theme" w:semiHidden="1" w:unhideWhenUsed="1"/>
    <w:lsdException w:name="List Table 7 Colorful Accent 6" w:uiPriority="52"/>
    <w:lsdException w:name="Colorful List Accent 2" w:uiPriority="72"/>
    <w:lsdException w:name="List Table 3 Accent 4" w:uiPriority="48"/>
    <w:lsdException w:name="Table Subtle 2" w:semiHidden="1" w:unhideWhenUsed="1"/>
    <w:lsdException w:name="Light Grid Accent 6" w:uiPriority="62"/>
    <w:lsdException w:name="Outline List 2" w:uiPriority="99" w:semiHidden="1" w:unhideWhenUsed="1"/>
    <w:lsdException w:name="No List" w:uiPriority="99" w:semiHidden="1" w:unhideWhenUsed="1"/>
    <w:lsdException w:name="Grid Table 3 Accent 3" w:uiPriority="48"/>
    <w:lsdException w:name="Medium List 1 Accent 6" w:uiPriority="65"/>
    <w:lsdException w:name="Medium Grid 2" w:uiPriority="68"/>
    <w:lsdException w:name="Light Shading Accent 1" w:uiPriority="60"/>
    <w:lsdException w:name="Grid Table 4 Accent 5" w:uiPriority="49"/>
    <w:lsdException w:name="Table Colorful 2" w:semiHidden="1" w:unhideWhenUsed="1"/>
    <w:lsdException w:name="Table Colorful 1" w:semiHidden="1" w:unhideWhenUsed="1"/>
    <w:lsdException w:name="heading 5" w:qFormat="1"/>
    <w:lsdException w:name="Table Simple 3" w:semiHidden="1" w:unhideWhenUsed="1"/>
    <w:lsdException w:name="List Table 4 Accent 2" w:uiPriority="49"/>
    <w:lsdException w:name="Grid Table 6 Colorful Accent 6" w:uiPriority="51"/>
    <w:lsdException w:name="List Table 4 Accent 3" w:uiPriority="49"/>
    <w:lsdException w:name="HTML Sample" w:uiPriority="99"/>
    <w:lsdException w:name="Medium List 1 Accent 2" w:uiPriority="65"/>
    <w:lsdException w:name="HTML Cite" w:uiPriority="99"/>
    <w:lsdException w:name="Grid Table 3" w:uiPriority="48"/>
    <w:lsdException w:name="List Table 7 Colorful Accent 4" w:uiPriority="52"/>
    <w:lsdException w:name="Table Web 3" w:semiHidden="1" w:unhideWhenUsed="1"/>
    <w:lsdException w:name="Medium List 2 Accent 2" w:uiPriority="66"/>
    <w:lsdException w:name="Table 3D effects 2" w:semiHidden="1" w:unhideWhenUsed="1"/>
    <w:lsdException w:name="Dark List Accent 6" w:uiPriority="70"/>
    <w:lsdException w:name="Table Columns 1" w:semiHidden="1" w:unhideWhenUsed="1"/>
    <w:lsdException w:name="Medium Grid 3 Accent 1" w:uiPriority="69"/>
    <w:lsdException w:name="toc 1" w:uiPriority="99"/>
    <w:lsdException w:name="HTML Definition" w:uiPriority="99"/>
    <w:lsdException w:name="List Table 6 Colorful" w:uiPriority="51"/>
    <w:lsdException w:name="Light Grid" w:uiPriority="62"/>
    <w:lsdException w:name="HTML Typewriter" w:uiPriority="99"/>
    <w:lsdException w:name="Light List Accent 5" w:uiPriority="61"/>
    <w:lsdException w:name="Subtitle" w:qFormat="1"/>
    <w:lsdException w:name="heading 9" w:unhideWhenUsed="1" w:qFormat="1"/>
    <w:lsdException w:name="Table Subtle 1" w:semiHidden="1" w:unhideWhenUsed="1"/>
    <w:lsdException w:name="Table Columns 5" w:semiHidden="1" w:unhideWhenUsed="1"/>
    <w:lsdException w:name="heading 3" w:qFormat="1"/>
    <w:lsdException w:name="Medium List 2 Accent 6" w:uiPriority="66"/>
    <w:lsdException w:name="Medium Shading 1 Accent 4" w:uiPriority="63"/>
    <w:lsdException w:name="Light List Accent 3" w:uiPriority="61"/>
    <w:lsdException w:name="List Table 7 Colorful Accent 5" w:uiPriority="52"/>
    <w:lsdException w:name="Medium List 1" w:uiPriority="65"/>
    <w:lsdException w:name="Grid Table 4 Accent 3" w:uiPriority="49"/>
    <w:lsdException w:name="Medium Grid 1 Accent 6" w:uiPriority="67"/>
    <w:lsdException w:name="Grid Table 1 Light Accent 1" w:uiPriority="46"/>
    <w:lsdException w:name="Colorful Shading" w:uiPriority="71"/>
    <w:lsdException w:name="Grid Table 2" w:uiPriority="47"/>
    <w:lsdException w:name="Table Grid 2" w:semiHidden="1" w:unhideWhenUsed="1"/>
    <w:lsdException w:name="HTML Bottom of Form" w:uiPriority="99" w:semiHidden="1" w:unhideWhenUsed="1"/>
    <w:lsdException w:name="Table Grid 6" w:semiHidden="1" w:unhideWhenUsed="1"/>
    <w:lsdException w:name="Table Grid" w:qFormat="1"/>
    <w:lsdException w:name="Medium Grid 3 Accent 5" w:uiPriority="69"/>
    <w:lsdException w:name="footnote reference" w:uiPriority="99" w:semiHidden="1" w:unhideWhenUsed="1"/>
    <w:lsdException w:name="Grid Table 1 Light Accent 3" w:uiPriority="46"/>
    <w:lsdException w:name="Default Paragraph Font" w:uiPriority="1" w:semiHidden="1" w:unhideWhenUsed="1"/>
    <w:lsdException w:name="Grid Table 1 Light Accent 5" w:uiPriority="46"/>
    <w:lsdException w:name="Table Grid 1" w:semiHidden="1" w:unhideWhenUsed="1"/>
    <w:lsdException w:name="Table List 8" w:semiHidden="1" w:unhideWhenUsed="1"/>
    <w:lsdException w:name="Colorful Grid Accent 6" w:uiPriority="73"/>
    <w:lsdException w:name="Grid Table 2 Accent 4" w:uiPriority="47"/>
    <w:lsdException w:name="Grid Table Light" w:uiPriority="40"/>
    <w:lsdException w:name="List Table 5 Dark" w:uiPriority="50"/>
    <w:lsdException w:name="Plain Table 4" w:uiPriority="44"/>
    <w:lsdException w:name="List Table 1 Light Accent 1" w:uiPriority="46"/>
    <w:lsdException w:name="heading 8" w:unhideWhenUsed="1" w:qFormat="1"/>
    <w:lsdException w:name="Grid Table 7 Colorful Accent 3" w:uiPriority="52"/>
    <w:lsdException w:name="List Table 2 Accent 5" w:uiPriority="47"/>
    <w:lsdException w:name="caption" w:semiHidden="1" w:unhideWhenUsed="1" w:qFormat="1"/>
    <w:lsdException w:name="Hashtag" w:uiPriority="99" w:semiHidden="1" w:unhideWhenUsed="1"/>
    <w:lsdException w:name="Medium Shading 1 Accent 6" w:uiPriority="63"/>
    <w:lsdException w:name="Medium Grid 2 Accent 1" w:uiPriority="68"/>
    <w:lsdException w:name="Medium Shading 1 Accent 1" w:uiPriority="63"/>
    <w:lsdException w:name="Grid Table 7 Colorful Accent 2" w:uiPriority="52"/>
    <w:lsdException w:name="Table List 3" w:semiHidden="1" w:unhideWhenUsed="1"/>
    <w:lsdException w:name="Medium Grid 3 Accent 6" w:uiPriority="69"/>
    <w:lsdException w:name="List Table 5 Dark Accent 5" w:uiPriority="50"/>
    <w:lsdException w:name="Grid Table 7 Colorful" w:uiPriority="52"/>
    <w:lsdException w:name="toc 5" w:uiPriority="99"/>
    <w:lsdException w:name="Medium Grid 3 Accent 2" w:uiPriority="69"/>
    <w:lsdException w:name="List Table 1 Light Accent 3" w:uiPriority="46"/>
    <w:lsdException w:name="Table Colorful 3" w:semiHidden="1" w:unhideWhenUsed="1"/>
    <w:lsdException w:name="List Table 7 Colorful" w:uiPriority="52"/>
    <w:lsdException w:name="List Table 1 Light" w:uiPriority="46"/>
    <w:lsdException w:name="Plain Table 5" w:uiPriority="45"/>
    <w:lsdException w:name="Grid Table 5 Dark Accent 4" w:uiPriority="50"/>
    <w:lsdException w:name="Light Grid Accent 3" w:uiPriority="62"/>
    <w:lsdException w:name="Grid Table 7 Colorful Accent 4" w:uiPriority="52"/>
    <w:lsdException w:name="Table List 2" w:semiHidden="1" w:unhideWhenUsed="1"/>
    <w:lsdException w:name="Grid Table 5 Dark Accent 3" w:uiPriority="50"/>
    <w:lsdException w:name="Table Classic 4" w:semiHidden="1" w:unhideWhenUsed="1"/>
    <w:lsdException w:name="List Table 2 Accent 2" w:uiPriority="47"/>
    <w:lsdException w:name="Table Simple 2" w:semiHidden="1" w:unhideWhenUsed="1"/>
    <w:lsdException w:name="Medium Shading 2 Accent 4" w:uiPriority="64"/>
    <w:lsdException w:name="Grid Table 3 Accent 2" w:uiPriority="48"/>
    <w:lsdException w:name="List Table 2 Accent 6" w:uiPriority="47"/>
    <w:lsdException w:name="List Table 5 Dark Accent 1" w:uiPriority="50"/>
    <w:lsdException w:name="Table Grid 3" w:semiHidden="1" w:unhideWhenUsed="1"/>
    <w:lsdException w:name="Subtle Emphasis" w:uiPriority="19" w:qFormat="1"/>
    <w:lsdException w:name="List Table 3 Accent 6" w:uiPriority="48"/>
    <w:lsdException w:name="Table List 6" w:semiHidden="1" w:unhideWhenUsed="1"/>
    <w:lsdException w:name="HTML Code" w:uiPriority="99"/>
    <w:lsdException w:name="List Table 3 Accent 2" w:uiPriority="48"/>
    <w:lsdException w:name="Outline List 1" w:uiPriority="99" w:semiHidden="1" w:unhideWhenUsed="1"/>
    <w:lsdException w:name="Grid Table 4 Accent 6" w:uiPriority="49"/>
    <w:lsdException w:name="Medium Grid 3 Accent 4" w:uiPriority="69"/>
    <w:lsdException w:name="Light Shading Accent 6" w:uiPriority="60"/>
    <w:lsdException w:name="Light Shading Accent 4" w:uiPriority="60"/>
    <w:lsdException w:name="Table Grid 4" w:semiHidden="1" w:unhideWhenUsed="1"/>
    <w:lsdException w:name="heading 1" w:qFormat="1"/>
    <w:lsdException w:name="List Table 1 Light Accent 5" w:uiPriority="46"/>
    <w:lsdException w:name="toc 8" w:uiPriority="99"/>
    <w:lsdException w:name="Medium Grid 3 Accent 3" w:uiPriority="69"/>
    <w:lsdException w:name="Grid Table 2 Accent 5" w:uiPriority="47"/>
    <w:lsdException w:name="Smart Hyperlink" w:uiPriority="99" w:semiHidden="1" w:unhideWhenUsed="1"/>
    <w:lsdException w:name="Medium List 1 Accent 5" w:uiPriority="65"/>
    <w:lsdException w:name="Light List" w:uiPriority="61"/>
    <w:lsdException w:name="Grid Table 4 Accent 1" w:uiPriority="49"/>
    <w:lsdException w:name="Unresolved Mention" w:uiPriority="99" w:semiHidden="1" w:unhideWhenUsed="1"/>
    <w:lsdException w:name="List Table 5 Dark Accent 6" w:uiPriority="50"/>
    <w:lsdException w:name="Grid Table 4 Accent 4" w:uiPriority="49"/>
    <w:lsdException w:name="toc 6" w:uiPriority="99"/>
    <w:lsdException w:name="Table Elegant" w:semiHidden="1" w:unhideWhenUsed="1"/>
    <w:lsdException w:name="Grid Table 5 Dark Accent 2" w:uiPriority="50"/>
    <w:lsdException w:name="Medium Shading 2 Accent 3" w:uiPriority="64"/>
    <w:lsdException w:name="Table 3D effects 1" w:semiHidden="1" w:unhideWhenUsed="1"/>
    <w:lsdException w:name="Table Columns 2" w:semiHidden="1" w:unhideWhenUsed="1"/>
    <w:lsdException w:name="Light List Accent 2" w:uiPriority="61"/>
    <w:lsdException w:name="Grid Table 6 Colorful" w:uiPriority="51"/>
    <w:lsdException w:name="List Table 6 Colorful Accent 1" w:uiPriority="51"/>
    <w:lsdException w:name="Table Classic 2" w:semiHidden="1" w:unhideWhenUsed="1"/>
    <w:lsdException w:name="footnote text" w:uiPriority="99" w:semiHidden="1" w:unhideWhenUsed="1"/>
    <w:lsdException w:name="Placeholder Text" w:uiPriority="99" w:semiHidden="1"/>
    <w:lsdException w:name="List Table 6 Colorful Accent 2" w:uiPriority="51"/>
    <w:lsdException w:name="Grid Table 1 Light" w:uiPriority="46"/>
    <w:lsdException w:name="List Table 6 Colorful Accent 3" w:uiPriority="51"/>
    <w:lsdException w:name="heading 2" w:qFormat="1"/>
    <w:lsdException w:name="List Paragraph" w:uiPriority="99"/>
    <w:lsdException w:name="toc 4" w:uiPriority="99"/>
    <w:lsdException w:name="Light Shading Accent 5" w:uiPriority="60"/>
    <w:lsdException w:name="Medium Grid 2 Accent 2" w:uiPriority="68"/>
    <w:lsdException w:name="Strong" w:qFormat="1"/>
    <w:lsdException w:name="Grid Table 6 Colorful Accent 5" w:uiPriority="51"/>
    <w:lsdException w:name="Colorful List Accent 5" w:uiPriority="72"/>
    <w:lsdException w:name="heading 6" w:qFormat="1"/>
    <w:lsdException w:name="Medium Shading 1" w:uiPriority="63"/>
    <w:lsdException w:name="Plain Table 3" w:uiPriority="43"/>
    <w:lsdException w:name="Colorful Shading Accent 5" w:uiPriority="71"/>
    <w:lsdException w:name="List Table 5 Dark Accent 4" w:uiPriority="50"/>
    <w:lsdException w:name="Medium Shading 1 Accent 2" w:uiPriority="63"/>
    <w:lsdException w:name="List Table 1 Light Accent 6" w:uiPriority="46"/>
    <w:lsdException w:name="HTML Variable" w:uiPriority="99"/>
    <w:lsdException w:name="Subtle Reference" w:uiPriority="31" w:qFormat="1"/>
    <w:lsdException w:name="Colorful List Accent 4" w:uiPriority="72"/>
    <w:lsdException w:name="Grid Table 1 Light Accent 6" w:uiPriority="46"/>
    <w:lsdException w:name="Normal Table" w:uiPriority="99" w:semiHidden="1" w:unhideWhenUsed="1"/>
    <w:lsdException w:name="Dark List Accent 2" w:uiPriority="70"/>
    <w:lsdException w:name="Dark List Accent 5" w:uiPriority="70"/>
    <w:lsdException w:name="Dark List Accent 3" w:uiPriority="70"/>
    <w:lsdException w:name="Colorful Grid Accent 2" w:uiPriority="73"/>
    <w:lsdException w:name="Grid Table 6 Colorful Accent 1" w:uiPriority="51"/>
    <w:lsdException w:name="List Table 3 Accent 1" w:uiPriority="48"/>
    <w:lsdException w:name="Medium Grid 1 Accent 3" w:uiPriority="67"/>
    <w:lsdException w:name="Emphasis" w:qFormat="1"/>
    <w:lsdException w:name="Table 3D effects 3" w:semiHidden="1" w:unhideWhenUsed="1"/>
    <w:lsdException w:name="Table Grid 5" w:semiHidden="1" w:unhideWhenUsed="1"/>
    <w:lsdException w:name="TOC Heading" w:uiPriority="39" w:semiHidden="1" w:unhideWhenUsed="1" w:qFormat="1"/>
    <w:lsdException w:name="Title" w:qFormat="1"/>
    <w:lsdException w:name="Dark List Accent 4" w:uiPriority="70"/>
    <w:lsdException w:name="Colorful Shading Accent 6" w:uiPriority="71"/>
    <w:lsdException w:name="Medium Grid 1 Accent 2" w:uiPriority="67"/>
    <w:lsdException w:name="Table Grid 8" w:semiHidden="1" w:unhideWhenUsed="1"/>
    <w:lsdException w:name="Grid Table 3 Accent 4" w:uiPriority="48"/>
    <w:lsdException w:name="Outline List 3" w:uiPriority="99" w:semiHidden="1" w:unhideWhenUsed="1"/>
    <w:lsdException w:name="List Table 2 Accent 1" w:uiPriority="47"/>
    <w:lsdException w:name="List Table 7 Colorful Accent 1" w:uiPriority="52"/>
    <w:lsdException w:name="Light List Accent 4" w:uiPriority="61"/>
    <w:lsdException w:name="Grid Table 4" w:uiPriority="49"/>
    <w:lsdException w:name="Plain Table 2" w:uiPriority="42"/>
    <w:lsdException w:name="Table List 1" w:semiHidden="1" w:unhideWhenUsed="1"/>
    <w:lsdException w:name="List Table 4 Accent 1" w:uiPriority="49"/>
    <w:lsdException w:name="Smart Link" w:uiPriority="99" w:semiHidden="1" w:unhideWhenUsed="1"/>
    <w:lsdException w:name="No Spacing" w:uiPriority="99"/>
    <w:lsdException w:name="Light Grid Accent 2" w:uiPriority="62"/>
    <w:lsdException w:name="Table Columns 4" w:semiHidden="1" w:unhideWhenUsed="1"/>
    <w:lsdException w:name="List Table 4 Accent 4" w:uiPriority="49"/>
    <w:lsdException w:name="Grid Table 3 Accent 5" w:uiPriority="48"/>
    <w:lsdException w:name="Table Web 2" w:semiHidden="1" w:unhideWhenUsed="1"/>
    <w:lsdException w:name="Colorful List Accent 1" w:uiPriority="72"/>
    <w:lsdException w:name="Colorful List Accent 3" w:uiPriority="72"/>
    <w:lsdException w:name="Light Shading" w:uiPriority="60"/>
    <w:lsdException w:name="Dark List" w:uiPriority="70"/>
    <w:lsdException w:name="List Table 5 Dark Accent 2" w:uiPriority="50"/>
    <w:lsdException w:name="List Table 1 Light Accent 2" w:uiPriority="46"/>
    <w:lsdException w:name="Colorful Grid Accent 4" w:uiPriority="73"/>
    <w:lsdException w:name="Intense Quote" w:uiPriority="99"/>
    <w:lsdException w:name="Grid Table 4 Accent 2" w:uiPriority="49"/>
  </w:latentStyles>
  <w:style w:type="numbering" w:styleId="00000d" w:default="1">
    <w:name w:val="No List"/>
    <w:uiPriority w:val="99"/>
    <w:semiHidden w:val="1"/>
    <w:unhideWhenUsed w:val="1"/>
  </w:style>
  <w:style w:type="paragraph" w:styleId="000011">
    <w:name w:val="Subtitle"/>
    <w:basedOn w:val="000001"/>
    <w:next w:val="000001"/>
    <w:link w:val="000012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paragraph" w:styleId="00000e">
    <w:name w:val="toc 8"/>
    <w:basedOn w:val="000001"/>
    <w:next w:val="000001"/>
    <w:autoRedefine w:val="1"/>
    <w:uiPriority w:val="99"/>
    <w:pPr>
      <w:ind w:left="2940" w:leftChars="1400"/>
    </w:pPr>
  </w:style>
  <w:style w:type="character" w:styleId="00000b" w:default="1">
    <w:name w:val="Default Paragraph Font"/>
    <w:uiPriority w:val="1"/>
    <w:semiHidden w:val="1"/>
    <w:unhideWhenUsed w:val="1"/>
  </w:style>
  <w:style w:type="paragraph" w:styleId="00000f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000012" w:customStyle="1">
    <w:name w:val="副标题 字符"/>
    <w:basedOn w:val="00000b"/>
    <w:link w:val="000011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table" w:styleId="000015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18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character" w:styleId="000017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paragraph" w:styleId="000013">
    <w:name w:val="Title"/>
    <w:basedOn w:val="000001"/>
    <w:next w:val="000001"/>
    <w:link w:val="000014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  <w:style w:type="character" w:styleId="000014" w:customStyle="1">
    <w:name w:val="标题 字符"/>
    <w:basedOn w:val="00000b"/>
    <w:link w:val="000013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000010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character" w:styleId="000016">
    <w:name w:val="Hyperlink"/>
    <w:basedOn w:val="00000b"/>
    <w:rPr>
      <w:color w:val="1E6FFF"/>
      <w:u w:val="single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image" Target="media/image1.png" /><Relationship Id="rId3" Type="http://schemas.openxmlformats.org/officeDocument/2006/relationships/theme" Target="theme/theme1.xml" /><Relationship Id="rId0" Type="http://schemas.openxmlformats.org/officeDocument/2006/relationships/styles" Target="styles.xml" /><Relationship Id="rId4" Type="http://schemas.openxmlformats.org/officeDocument/2006/relationships/numbering" Target="numbering.xml" /><Relationship Id="rId2" Type="http://schemas.openxmlformats.org/officeDocument/2006/relationships/fontTable" Target="fontTable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2026-05-08T14:31:04Z</dcterms:created>
  <dcterms:modified xsi:type="dcterms:W3CDTF">2026-05-08T14:31:04Z</dcterms:modified>
</cp:coreProperties>
</file>