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30"/>
        <w:jc w:val="center"/>
      </w:pPr>
      <w:r>
        <w:rPr>
          <w:rFonts w:ascii="Microsoft YaHei" w:cs="Microsoft YaHei" w:eastAsia="Microsoft YaHei" w:hAnsi="Microsoft YaHei"/>
          <w:b/>
          <w:bCs/>
          <w:color w:val="51409A"/>
          <w:sz w:val="20"/>
          <w:szCs w:val="20"/>
        </w:rPr>
        <w:t xml:space="preserve">OXSTAND INTERNATIONAL SCHOOL, SHENZHEN</w:t>
      </w:r>
    </w:p>
    <w:p>
      <w:pPr>
        <w:spacing w:after="80" w:before="40" w:line="330"/>
        <w:jc w:val="center"/>
      </w:pPr>
      <w:r>
        <w:rPr>
          <w:rFonts w:ascii="Microsoft YaHei" w:cs="Microsoft YaHei" w:eastAsia="Microsoft YaHei" w:hAnsi="Microsoft YaHei"/>
          <w:b/>
          <w:bCs/>
          <w:color w:val="171936"/>
          <w:sz w:val="38"/>
          <w:szCs w:val="38"/>
        </w:rPr>
        <w:t xml:space="preserve">奥斯翰2026招生 · 韩国留学方向宣传文案</w:t>
      </w:r>
    </w:p>
    <w:p>
      <w:pPr>
        <w:spacing w:after="240" w:before="80" w:line="330"/>
        <w:jc w:val="center"/>
      </w:pPr>
      <w:r>
        <w:rPr>
          <w:rFonts w:ascii="Microsoft YaHei" w:cs="Microsoft YaHei" w:eastAsia="Microsoft YaHei" w:hAnsi="Microsoft YaHei"/>
          <w:color w:val="646A7A"/>
          <w:sz w:val="21"/>
          <w:szCs w:val="21"/>
        </w:rPr>
        <w:t xml:space="preserve">用途：招生宣传册 / 咨询页 / 开放日物料 / 招生顾问话术底稿</w:t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一、两大核心宣传点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01 把韩国名校申请，提前三年放进课表</w:t>
      </w:r>
    </w:p>
    <w:p>
      <w:pPr>
        <w:spacing w:after="80" w:before="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24"/>
          <w:szCs w:val="24"/>
        </w:rPr>
        <w:t xml:space="preserve">不是高三临时找中介，而是在校内完成韩语、TOPIK、材料与申请节奏。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奥斯翰韩国大学直升课程把高一到高三做成清晰路线：高一打牢 TOPIK 1-2 级，高二进入 TOPIK 3-4 级，高三冲刺 TOPIK 5-6 级。学生在学校完成语言学习、考试备考、选校定位、文书表达、面试辅导与网申推进，家长不需要在培训班、中介和学校之间反复拼接。</w:t>
      </w:r>
    </w:p>
    <w:p>
      <w:pPr>
        <w:pBdr>
          <w:bottom w:val="single" w:color="EF3E64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EF3E64"/>
          <w:sz w:val="22"/>
          <w:szCs w:val="22"/>
        </w:rPr>
        <w:t xml:space="preserve">02 不靠保录话术，用真实成绩跑出名校路径</w:t>
      </w:r>
    </w:p>
    <w:p>
      <w:pPr>
        <w:spacing w:after="80" w:before="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24"/>
          <w:szCs w:val="24"/>
        </w:rPr>
        <w:t xml:space="preserve">用 TOPIK、校内成绩、文书和面试，稳稳打开韩国本科申请。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项目坚持真实升学：不做海外高中“保录”式夸大承诺，而是把语言等级、校内成绩、申请材料和面试能力提前训练出来。近三年毕业生韩国大学录取人数与毕业人数一致，项目保持 100% 升学率，90% 以上 TOP20 重本率，40% 以上 TOP10 顶尖本科录取率。</w:t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二、主标题与口号建议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主标题方案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0"/>
          <w:szCs w:val="30"/>
        </w:rPr>
        <w:t xml:space="preserve">把韩国名校申请，提前三年放进课表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646A7A"/>
          <w:sz w:val="24"/>
          <w:szCs w:val="24"/>
        </w:rPr>
        <w:t xml:space="preserve">深圳学生的韩国大学直升方案：校内学韩语、校内备 TOPIK、校内做申请。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短口号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高一开始，不追热点，按三年节奏稳稳准备。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少一点临时拼接，多一条校内完成的升学路线。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不讲保录神话，只讲真实成绩、真实申请、真实录取。</w:t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三、深圳市场表达角度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深圳家庭选择韩国留学时，常见路径是韩语培训班、留学中介和校内课程分散推进。奥斯翰的表达重点不应停留在“韩语考级”，而要强调高中阶段的校内一体化升学：课程、考试、申请和家校沟通在同一个教育场景里完成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少讲“速成过级”，多讲“三年节奏”。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少讲“保录承诺”，多讲“TOPIK、成绩、文书、面试四项能力”。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少讲“单项服务”，多讲“校内完整路径”。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面向深圳家长的核心利益：时间更省、路径更清、风险更低、预算更可控。</w:t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四、项目分区文案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F2C84B" w:sz="1"/>
              <w:left w:val="single" w:color="F2C84B" w:sz="1"/>
              <w:bottom w:val="single" w:color="F2C84B" w:sz="1"/>
              <w:right w:val="single" w:color="F2C84B" w:sz="1"/>
            </w:tcBorders>
            <w:shd w:fill="FFF8D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F2C84B"/>
                <w:sz w:val="19"/>
                <w:szCs w:val="19"/>
              </w:rPr>
              <w:t xml:space="preserve">主项目</w:t>
            </w:r>
          </w:p>
          <w:p>
            <w:pPr>
              <w:spacing w:after="6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1936"/>
                <w:sz w:val="24"/>
                <w:szCs w:val="24"/>
              </w:rPr>
              <w:t xml:space="preserve">韩国大学直升课程</w:t>
            </w:r>
          </w:p>
          <w:p>
            <w:pPr>
              <w:spacing w:after="40" w:before="0" w:line="330"/>
            </w:pPr>
            <w:r>
              <w:rPr>
                <w:rFonts w:ascii="Microsoft YaHei" w:cs="Microsoft YaHei" w:eastAsia="Microsoft YaHei" w:hAnsi="Microsoft YaHei"/>
                <w:color w:val="646A7A"/>
                <w:sz w:val="19"/>
                <w:szCs w:val="19"/>
              </w:rPr>
              <w:t xml:space="preserve">面向计划本科赴韩升学的初高中家庭</w:t>
            </w:r>
          </w:p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0"/>
                <w:szCs w:val="20"/>
              </w:rPr>
              <w:t xml:space="preserve">校内韩语 + TOPIK 备考 + 升学指导一体推进</w:t>
            </w:r>
          </w:p>
        </w:tc>
        <w:tc>
          <w:tcPr>
            <w:tcW w:type="dxa" w:w="3000"/>
            <w:tcBorders>
              <w:top w:val="single" w:color="17A6A3" w:sz="1"/>
              <w:left w:val="single" w:color="17A6A3" w:sz="1"/>
              <w:bottom w:val="single" w:color="17A6A3" w:sz="1"/>
              <w:right w:val="single" w:color="17A6A3" w:sz="1"/>
            </w:tcBorders>
            <w:shd w:fill="E7F7F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A6A3"/>
                <w:sz w:val="19"/>
                <w:szCs w:val="19"/>
              </w:rPr>
              <w:t xml:space="preserve">语言核心</w:t>
            </w:r>
          </w:p>
          <w:p>
            <w:pPr>
              <w:spacing w:after="6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1936"/>
                <w:sz w:val="24"/>
                <w:szCs w:val="24"/>
              </w:rPr>
              <w:t xml:space="preserve">TOPIK 1-6级进阶体系</w:t>
            </w:r>
          </w:p>
          <w:p>
            <w:pPr>
              <w:spacing w:after="40" w:before="0" w:line="330"/>
            </w:pPr>
            <w:r>
              <w:rPr>
                <w:rFonts w:ascii="Microsoft YaHei" w:cs="Microsoft YaHei" w:eastAsia="Microsoft YaHei" w:hAnsi="Microsoft YaHei"/>
                <w:color w:val="646A7A"/>
                <w:sz w:val="19"/>
                <w:szCs w:val="19"/>
              </w:rPr>
              <w:t xml:space="preserve">面向零基础到中高级持续提升学生</w:t>
            </w:r>
          </w:p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0"/>
                <w:szCs w:val="20"/>
              </w:rPr>
              <w:t xml:space="preserve">高一基础，高二中级，高三高阶冲刺</w:t>
            </w:r>
          </w:p>
        </w:tc>
        <w:tc>
          <w:tcPr>
            <w:tcW w:type="dxa" w:w="3000"/>
            <w:tcBorders>
              <w:top w:val="single" w:color="B8404E" w:sz="1"/>
              <w:left w:val="single" w:color="B8404E" w:sz="1"/>
              <w:bottom w:val="single" w:color="B8404E" w:sz="1"/>
              <w:right w:val="single" w:color="B8404E" w:sz="1"/>
            </w:tcBorders>
            <w:shd w:fill="FDE8E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B8404E"/>
                <w:sz w:val="19"/>
                <w:szCs w:val="19"/>
              </w:rPr>
              <w:t xml:space="preserve">2026秋季规划</w:t>
            </w:r>
          </w:p>
          <w:p>
            <w:pPr>
              <w:spacing w:after="60" w:before="0" w:line="330"/>
            </w:pPr>
            <w:r>
              <w:rPr>
                <w:rFonts w:ascii="Microsoft YaHei" w:cs="Microsoft YaHei" w:eastAsia="Microsoft YaHei" w:hAnsi="Microsoft YaHei"/>
                <w:b/>
                <w:bCs/>
                <w:color w:val="171936"/>
                <w:sz w:val="24"/>
                <w:szCs w:val="24"/>
              </w:rPr>
              <w:t xml:space="preserve">韩国艺术留学特色班</w:t>
            </w:r>
          </w:p>
          <w:p>
            <w:pPr>
              <w:spacing w:after="40" w:before="0" w:line="330"/>
            </w:pPr>
            <w:r>
              <w:rPr>
                <w:rFonts w:ascii="Microsoft YaHei" w:cs="Microsoft YaHei" w:eastAsia="Microsoft YaHei" w:hAnsi="Microsoft YaHei"/>
                <w:color w:val="646A7A"/>
                <w:sz w:val="19"/>
                <w:szCs w:val="19"/>
              </w:rPr>
              <w:t xml:space="preserve">面向实用音乐、舞蹈、设计、编导等方向</w:t>
            </w:r>
          </w:p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0"/>
                <w:szCs w:val="20"/>
              </w:rPr>
              <w:t xml:space="preserve">学校提供方向指导与作品集要求梳理</w:t>
            </w:r>
          </w:p>
        </w:tc>
      </w:tr>
      <w:tr>
        <w:tc>
          <w:tcPr>
            <w:tcW w:type="dxa" w:w="30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选校、文书、学习计划、面试、网申全流程服务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高考成绩非必要，可作为辅助材料提交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以校内成绩证明、TOPIK 成绩和申请材料完成本科申请</w:t>
            </w:r>
          </w:p>
        </w:tc>
        <w:tc>
          <w:tcPr>
            <w:tcW w:type="dxa" w:w="30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TOPIK 中高级通过率 100%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历年最高 TOPIK 6 级，平均约 4 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TOPIK 5-6 级可提升顶尖院校与奖学金竞争力</w:t>
            </w:r>
          </w:p>
        </w:tc>
        <w:tc>
          <w:tcPr>
            <w:tcW w:type="dxa" w:w="30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艺术类作品集目前需校外完成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学校负责专业方向、院校要求与申请节奏指导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preserve">计划 2026 年秋季学期开设并招录艺术类特色班</w:t>
            </w:r>
          </w:p>
        </w:tc>
      </w:tr>
    </w:tbl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五、招生册正文文案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开篇文案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28"/>
          <w:szCs w:val="28"/>
        </w:rPr>
        <w:t xml:space="preserve">如果孩子想去韩国读大学，真正要提前准备的，不只是韩语。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韩国本科申请看语言能力，也看高中阶段成绩、材料表达、专业匹配、面试状态与申请节奏。奥斯翰韩国大学直升课程，把这些原本分散在外部机构里的环节，放回高中三年进行规划：在学校学韩语，在学校备 TOPIK，在学校做升学材料，在老师跟进下完成大学申请。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对深圳家庭来说，这意味着孩子不用等到高三才匆忙找中介，也不用把时间切碎在不同培训班之间。高一建立语言基础，高二进入中高级能力，高三冲刺高阶 TOPIK 与名校申请，三年每一步都对应清晰目标。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我们不把韩国升学包装成“轻松保录”。顶尖院校仍然需要优秀的 TOPIK 成绩、稳定的校内成绩、清楚的文书表达和成熟的面试表现。真正可靠的升学，是把每一项能力提前准备好。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升学服务文案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26"/>
          <w:szCs w:val="26"/>
        </w:rPr>
        <w:t xml:space="preserve">从选校到网申，不把家长留在信息差里。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学校提供从选校定位、专业方向建议、自我介绍、学习计划、面试辅导到网申递交的全流程服务。韩国大学本科申请通常不强制要求高考成绩，高考成绩可作为辅助材料提交，学生主要凭校内成绩证明、TOPIK 成绩单及相关申请材料完成本科院校申请。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项目与韩国成均馆大学、京畿大学、全州大学等保持交流合作，同时明确不以“无条件保录”进行招生承诺。我们把重心放在学生真实能力建设和真实申请结果上。</w:t>
      </w:r>
    </w:p>
    <w:p>
      <w:pPr>
        <w:pBdr>
          <w:bottom w:val="single" w:color="F2C84B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F2C84B"/>
          <w:sz w:val="22"/>
          <w:szCs w:val="22"/>
        </w:rPr>
        <w:t xml:space="preserve">成果数据文案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26"/>
          <w:szCs w:val="26"/>
        </w:rPr>
        <w:t xml:space="preserve">真实结果，是家长判断一条路径是否可靠的第一证据。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根据校方项目数据，韩国大学直升课程毕业生保持 100% 升学率，90% 以上 TOP20 重本率，40% 以上 TOP10 顶尖本科录取率。TOPIK 中高级通过率保持 100%，历年最高等级达到 TOPIK 6 级。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400"/>
        <w:gridCol w:w="1900"/>
        <w:gridCol w:w="1500"/>
        <w:gridCol w:w="2850"/>
      </w:tblGrid>
      <w:tr>
        <w:tc>
          <w:tcPr>
            <w:tcW w:type="dxa" w:w="135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4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9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85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3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4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9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8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3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4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9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8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3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4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9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85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</w:tbl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六、师资与资源表达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课程由具备韩国高校背景、韩国籍教师和升学指导资源共同支持。韩国高丽大学、成均馆大学等高校招生官每年来校进行教育交流与招生说明，帮助学生和家长理解院校要求与申请变化。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1500"/>
        <w:gridCol w:w="3200"/>
      </w:tblGrid>
      <w:tr>
        <w:tc>
          <w:tcPr>
            <w:tcW w:type="dxa" w:w="17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6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3200"/>
            <w:tcBorders>
              <w:top w:val="single" w:color="20245A" w:sz="1"/>
              <w:left w:val="single" w:color="20245A" w:sz="1"/>
              <w:bottom w:val="single" w:color="20245A" w:sz="1"/>
              <w:right w:val="single" w:color="20245A" w:sz="1"/>
            </w:tcBorders>
            <w:shd w:fill="20245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7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6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32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7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6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32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  <w:tr>
        <w:tc>
          <w:tcPr>
            <w:tcW w:type="dxa" w:w="17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26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15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  <w:tc>
          <w:tcPr>
            <w:tcW w:type="dxa" w:w="3200"/>
            <w:tcBorders>
              <w:top w:val="single" w:color="D8DCE8" w:sz="1"/>
              <w:left w:val="single" w:color="D8DCE8" w:sz="1"/>
              <w:bottom w:val="single" w:color="D8DCE8" w:sz="1"/>
              <w:right w:val="single" w:color="D8DCE8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330"/>
            </w:pPr>
            <w:r>
              <w:rPr>
                <w:rFonts w:ascii="Microsoft YaHei" w:cs="Microsoft YaHei" w:eastAsia="Microsoft YaHei" w:hAnsi="Microsoft YaHei"/>
                <w:color w:val="171936"/>
                <w:sz w:val="22"/>
                <w:szCs w:val="22"/>
              </w:rPr>
              <w:t xml:space="default"/>
            </w:r>
          </w:p>
        </w:tc>
      </w:tr>
    </w:tbl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七、常见问题文案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韩国留学一年大约多少钱？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通常约 15-20 万元/年，具体会因城市、院校、住宿和生活方式不同而变化。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不会韩语可以选择韩国方向吗？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可以。课程从基础阶段开始，但目标不是简单兴趣学习，而是逐步达到本科申请所需 TOPIK 等级。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韩国大学一定要高考成绩吗？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多数本科申请不把高考成绩作为必要项，可作为辅助材料提交，核心仍是校内成绩、语言成绩和申请材料。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什么时候开始准备最合适？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高一开始最稳。TOPIK 高阶能力、文书表达和院校匹配都需要长期积累。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女生去韩国留学安全吗？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韩国整体治安环境较好，大城市公共区域监控覆盖较广，但仍需要保持基本安全意识。</w:t>
      </w:r>
    </w:p>
    <w:p>
      <w:pPr>
        <w:pBdr>
          <w:bottom w:val="single" w:color="17A6A3" w:sz="6" w:space="1"/>
        </w:pBdr>
        <w:spacing w:after="40" w:before="260" w:line="330"/>
      </w:pPr>
      <w:r>
        <w:rPr>
          <w:rFonts w:ascii="Microsoft YaHei" w:cs="Microsoft YaHei" w:eastAsia="Microsoft YaHei" w:hAnsi="Microsoft YaHei"/>
          <w:b/>
          <w:bCs/>
          <w:color w:val="17A6A3"/>
          <w:sz w:val="22"/>
          <w:szCs w:val="22"/>
        </w:rPr>
        <w:t xml:space="preserve">签证难办吗？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获得录取后，学校将协助学生准备签证材料；存款证明等要求以申请当年政策和院校通知为准。</w:t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八、PDF设计分区建议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整体参考旧册子：大幅学生/校园照片、紫色滤镜、深蓝紫弧形色块、玫红强调线、大字号标题。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三个项目用颜色区分：直升课程用金色，TOPIK体系用青绿色，艺术特色班用玫红色。</w:t>
      </w:r>
    </w:p>
    <w:p>
      <w:pPr>
        <w:pStyle w:val="ListParagraph"/>
        <w:numPr>
          <w:ilvl w:val="0"/>
          <w:numId w:val="2"/>
        </w:numPr>
        <w:spacing w:after="20" w:before="2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每页只保留一个强标题，复杂信息放入卡片、时间轴或数据块，避免变成线上输出体。</w:t>
      </w:r>
    </w:p>
    <w:p>
      <w:pPr>
        <w:spacing w:after="80" w:before="80" w:line="330"/>
      </w:pPr>
      <w:r>
        <w:br w:type="page"/>
      </w:r>
    </w:p>
    <w:p>
      <w:pPr>
        <w:pStyle w:val="Heading1"/>
        <w:spacing w:after="120" w:before="360" w:line="330"/>
      </w:pPr>
      <w:r>
        <w:rPr>
          <w:rFonts w:ascii="Microsoft YaHei" w:cs="Microsoft YaHei" w:eastAsia="Microsoft YaHei" w:hAnsi="Microsoft YaHei"/>
          <w:b/>
          <w:bCs/>
          <w:color w:val="171936"/>
          <w:sz w:val="34"/>
          <w:szCs w:val="34"/>
        </w:rPr>
        <w:t xml:space="preserve">附：招生顾问口播版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我们这套韩国大学直升课程，不是单独教韩语，也不是到高三才帮孩子找申请通道，而是从高一开始，把韩语学习、TOPIK考试、校内成绩、专业方向和大学申请放在同一条三年路线里。孩子每一年要达到什么语言等级、准备什么材料、什么时候进入申请节奏，学校都会跟进。</w:t>
      </w:r>
    </w:p>
    <w:p>
      <w:pPr>
        <w:spacing w:after="80" w:before="80" w:line="330"/>
      </w:pPr>
      <w:r>
        <w:rPr>
          <w:rFonts w:ascii="Microsoft YaHei" w:cs="Microsoft YaHei" w:eastAsia="Microsoft YaHei" w:hAnsi="Microsoft YaHei"/>
          <w:color w:val="171936"/>
          <w:sz w:val="22"/>
          <w:szCs w:val="22"/>
        </w:rPr>
        <w:t xml:space="preserve">对深圳家庭来说，最大的价值是路径清楚。家长不用在语言机构和中介之间反复沟通，孩子也不用临时抱佛脚。我们不承诺所谓保录，但会用真实的课程、真实的考试结果和真实的升学指导，帮助学生稳稳走向韩国本科名校。</w:t>
      </w:r>
    </w:p>
    <w:sectPr>
      <w:pgSz w:w="11906" w:h="16838" w:orient="portrait"/>
      <w:pgMar w:top="900" w:right="950" w:bottom="9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  <w:rPr>
        <w:rFonts w:ascii="Microsoft YaHei" w:cs="Microsoft YaHei" w:eastAsia="Microsoft YaHei" w:hAnsi="Microsoft YaHei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71936"/>
        <w:sz w:val="22"/>
        <w:szCs w:val="22"/>
      </w:rPr>
    </w:rPrDefault>
    <w:pPrDefault>
      <w:pPr>
        <w:spacing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71936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Microsoft YaHei" w:cs="Microsoft YaHei" w:eastAsia="Microsoft YaHei" w:hAnsi="Microsoft YaHei"/>
      <w:b/>
      <w:bCs/>
      <w:color w:val="17193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2026-05-08T11:31:50.186Z</dcterms:created>
  <dcterms:modified xsi:type="dcterms:W3CDTF">2026-05-08T11:31:50.187Z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