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Bdr>
          <w:left w:val="single" w:color="1F3864" w:sz="36" w:space="14"/>
        </w:pBdr>
        <w:spacing w:after="240" w:line="400" w:lineRule="auto"/>
        <w:jc w:val="left"/>
      </w:pPr>
      <w:r>
        <w:rPr>
          <w:b/>
          <w:bCs/>
          <w:color w:val="1F3864"/>
          <w:sz w:val="52"/>
          <w:szCs w:val="52"/>
        </w:rPr>
        <w:t xml:space="preserve">具身智能全产业链</w:t>
      </w:r>
      <w:r>
        <w:rPr>
          <w:b/>
          <w:bCs/>
          <w:color w:val="1F3864"/>
          <w:sz w:val="52"/>
          <w:szCs w:val="52"/>
        </w:rPr>
        <w:br/>
        <w:t xml:space="preserve">深度研究与投资决策报告</w:t>
      </w:r>
    </w:p>
    <w:p>
      <w:pPr>
        <w:spacing w:after="600"/>
      </w:pPr>
      <w:r>
        <w:rPr>
          <w:color w:val="52514E"/>
          <w:sz w:val="26"/>
          <w:szCs w:val="26"/>
        </w:rPr>
        <w:t xml:space="preserve">全球产业格局 · 技术成熟度 · 商业化 · 资本周期 · 未来投资机会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信息截止　</w:t>
      </w:r>
      <w:r>
        <w:rPr>
          <w:sz w:val="21"/>
          <w:szCs w:val="21"/>
        </w:rPr>
        <w:t xml:space="preserve">2026 年 10 月 21 日（少数关键事件更新至 10 月 30 日，均注明日期）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报告版本　</w:t>
      </w:r>
      <w:r>
        <w:rPr>
          <w:sz w:val="21"/>
          <w:szCs w:val="21"/>
        </w:rPr>
        <w:t xml:space="preserve">v1.0 · 2026 年 10 月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用途　</w:t>
      </w:r>
      <w:r>
        <w:rPr>
          <w:sz w:val="21"/>
          <w:szCs w:val="21"/>
        </w:rPr>
        <w:t xml:space="preserve">一级市场投资决策：赛道优先级、项目筛选、估值、尽调与投委会材料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结构　</w:t>
      </w:r>
      <w:r>
        <w:rPr>
          <w:sz w:val="21"/>
          <w:szCs w:val="21"/>
        </w:rPr>
        <w:t xml:space="preserve">投资决策摘要 + 十七篇正文 + 十个附录；配套 17 张数据底表与可复算模型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证据等级　</w:t>
      </w:r>
      <w:r>
        <w:rPr>
          <w:sz w:val="21"/>
          <w:szCs w:val="21"/>
        </w:rPr>
        <w:t xml:space="preserve">A 一手/独立验证 · B 可靠二手交叉佐证 · C 单方或单一来源 · D 研究推断</w:t>
      </w:r>
    </w:p>
    <w:p>
      <w:pPr>
        <w:spacing w:before="1800"/>
      </w:pPr>
      <w:r>
        <w:rPr>
          <w:color w:val="52514E"/>
          <w:sz w:val="17"/>
          <w:szCs w:val="17"/>
        </w:rPr>
        <w:t xml:space="preserve">重要声明：本报告基于截至信息截止日可获取的公开资料。所有估值、TCO 与回报模型参数均为示例性研究假设（D 级），不代表任何企业的真实财务信息；企业单方披露信息已标注为 C 级。本报告不构成任何投资建议。</w:t>
      </w:r>
    </w:p>
    <w:p>
      <w:pPr>
        <w:sectPr>
          <w:pgSz w:w="11906" w:h="16838" w:orient="portrait"/>
          <w:pgMar w:top="1134" w:right="1134" w:bottom="1134" w:left="1134" w:header="600" w:footer="600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目　录</w:t>
      </w:r>
    </w:p>
    <w:p>
      <w:pPr>
        <w:spacing w:after="160"/>
      </w:pPr>
      <w:r>
        <w:rPr>
          <w:color w:val="52514E"/>
          <w:sz w:val="18"/>
          <w:szCs w:val="18"/>
        </w:rPr>
        <w:t xml:space="preserve">点击条目可跳转；在 Word 中也可通过「视图 → 导航窗格」浏览全部标题。</w:t>
      </w:r>
    </w:p>
    <w:p>
      <w:pPr>
        <w:spacing w:after="60" w:before="100"/>
        <w:ind w:left="0"/>
      </w:pPr>
      <w:hyperlink w:history="1" w:anchor="bm1">
        <w:r>
          <w:rPr>
            <w:b/>
            <w:bCs/>
            <w:color w:val="1F3864"/>
            <w:sz w:val="21"/>
            <w:szCs w:val="21"/>
          </w:rPr>
          <w:t xml:space="preserve">报告说明</w:t>
        </w:r>
      </w:hyperlink>
    </w:p>
    <w:p>
      <w:pPr>
        <w:spacing w:after="60" w:before="100"/>
        <w:ind w:left="0"/>
      </w:pPr>
      <w:hyperlink w:history="1" w:anchor="bm2">
        <w:r>
          <w:rPr>
            <w:b/>
            <w:bCs/>
            <w:color w:val="1F3864"/>
            <w:sz w:val="21"/>
            <w:szCs w:val="21"/>
          </w:rPr>
          <w:t xml:space="preserve">投资决策摘要</w:t>
        </w:r>
      </w:hyperlink>
    </w:p>
    <w:p>
      <w:pPr>
        <w:spacing w:after="20" w:before="0"/>
        <w:ind w:left="420"/>
      </w:pPr>
      <w:hyperlink w:history="1" w:anchor="bm3">
        <w:r>
          <w:rPr>
            <w:b w:val="false"/>
            <w:bCs w:val="false"/>
            <w:color w:val="333333"/>
            <w:sz w:val="19"/>
            <w:szCs w:val="19"/>
          </w:rPr>
          <w:t xml:space="preserve">一句话结论</w:t>
        </w:r>
      </w:hyperlink>
    </w:p>
    <w:p>
      <w:pPr>
        <w:spacing w:after="20" w:before="0"/>
        <w:ind w:left="420"/>
      </w:pPr>
      <w:hyperlink w:history="1" w:anchor="bm4">
        <w:r>
          <w:rPr>
            <w:b w:val="false"/>
            <w:bCs w:val="false"/>
            <w:color w:val="333333"/>
            <w:sz w:val="19"/>
            <w:szCs w:val="19"/>
          </w:rPr>
          <w:t xml:space="preserve">十个必须知道的事实</w:t>
        </w:r>
      </w:hyperlink>
    </w:p>
    <w:p>
      <w:pPr>
        <w:spacing w:after="20" w:before="0"/>
        <w:ind w:left="420"/>
      </w:pPr>
      <w:hyperlink w:history="1" w:anchor="bm5">
        <w:r>
          <w:rPr>
            <w:b w:val="false"/>
            <w:bCs w:val="false"/>
            <w:color w:val="333333"/>
            <w:sz w:val="19"/>
            <w:szCs w:val="19"/>
          </w:rPr>
          <w:t xml:space="preserve">五组结构性矛盾</w:t>
        </w:r>
      </w:hyperlink>
    </w:p>
    <w:p>
      <w:pPr>
        <w:spacing w:after="20" w:before="0"/>
        <w:ind w:left="420"/>
      </w:pPr>
      <w:hyperlink w:history="1" w:anchor="bm6">
        <w:r>
          <w:rPr>
            <w:b w:val="false"/>
            <w:bCs w:val="false"/>
            <w:color w:val="333333"/>
            <w:sz w:val="19"/>
            <w:szCs w:val="19"/>
          </w:rPr>
          <w:t xml:space="preserve">分环节阶段判断（2026 年 10 月）</w:t>
        </w:r>
      </w:hyperlink>
    </w:p>
    <w:p>
      <w:pPr>
        <w:spacing w:after="20" w:before="0"/>
        <w:ind w:left="420"/>
      </w:pPr>
      <w:hyperlink w:history="1" w:anchor="bm7">
        <w:r>
          <w:rPr>
            <w:b w:val="false"/>
            <w:bCs w:val="false"/>
            <w:color w:val="333333"/>
            <w:sz w:val="19"/>
            <w:szCs w:val="19"/>
          </w:rPr>
          <w:t xml:space="preserve">投资机会优先级（详见第十三篇）</w:t>
        </w:r>
      </w:hyperlink>
    </w:p>
    <w:p>
      <w:pPr>
        <w:spacing w:after="20" w:before="0"/>
        <w:ind w:left="420"/>
      </w:pPr>
      <w:hyperlink w:history="1" w:anchor="bm8">
        <w:r>
          <w:rPr>
            <w:b w:val="false"/>
            <w:bCs w:val="false"/>
            <w:color w:val="333333"/>
            <w:sz w:val="19"/>
            <w:szCs w:val="19"/>
          </w:rPr>
          <w:t xml:space="preserve">估值与回报的关键结论（详见第十四篇）</w:t>
        </w:r>
      </w:hyperlink>
    </w:p>
    <w:p>
      <w:pPr>
        <w:spacing w:after="20" w:before="0"/>
        <w:ind w:left="420"/>
      </w:pPr>
      <w:hyperlink w:history="1" w:anchor="bm9">
        <w:r>
          <w:rPr>
            <w:b w:val="false"/>
            <w:bCs w:val="false"/>
            <w:color w:val="333333"/>
            <w:sz w:val="19"/>
            <w:szCs w:val="19"/>
          </w:rPr>
          <w:t xml:space="preserve">重大风险</w:t>
        </w:r>
      </w:hyperlink>
    </w:p>
    <w:p>
      <w:pPr>
        <w:spacing w:after="20" w:before="0"/>
        <w:ind w:left="420"/>
      </w:pPr>
      <w:hyperlink w:history="1" w:anchor="bm10">
        <w:r>
          <w:rPr>
            <w:b w:val="false"/>
            <w:bCs w:val="false"/>
            <w:color w:val="333333"/>
            <w:sz w:val="19"/>
            <w:szCs w:val="19"/>
          </w:rPr>
          <w:t xml:space="preserve">未来三年的动态策略</w:t>
        </w:r>
      </w:hyperlink>
    </w:p>
    <w:p>
      <w:pPr>
        <w:spacing w:after="60" w:before="100"/>
        <w:ind w:left="0"/>
      </w:pPr>
      <w:hyperlink w:history="1" w:anchor="bm11">
        <w:r>
          <w:rPr>
            <w:b/>
            <w:bCs/>
            <w:color w:val="1F3864"/>
            <w:sz w:val="21"/>
            <w:szCs w:val="21"/>
          </w:rPr>
          <w:t xml:space="preserve">第一篇　行业定义、历史演进与全景产业地图</w:t>
        </w:r>
      </w:hyperlink>
    </w:p>
    <w:p>
      <w:pPr>
        <w:spacing w:after="20" w:before="0"/>
        <w:ind w:left="420"/>
      </w:pPr>
      <w:hyperlink w:history="1" w:anchor="bm12">
        <w:r>
          <w:rPr>
            <w:b w:val="false"/>
            <w:bCs w:val="false"/>
            <w:color w:val="333333"/>
            <w:sz w:val="19"/>
            <w:szCs w:val="19"/>
          </w:rPr>
          <w:t xml:space="preserve">1.1 先把边界划清：六个经常被混用的概念</w:t>
        </w:r>
      </w:hyperlink>
    </w:p>
    <w:p>
      <w:pPr>
        <w:spacing w:after="20" w:before="0"/>
        <w:ind w:left="420"/>
      </w:pPr>
      <w:hyperlink w:history="1" w:anchor="bm13">
        <w:r>
          <w:rPr>
            <w:b w:val="false"/>
            <w:bCs w:val="false"/>
            <w:color w:val="333333"/>
            <w:sz w:val="19"/>
            <w:szCs w:val="19"/>
          </w:rPr>
          <w:t xml:space="preserve">1.2 2022–2026：四个阶段与主要矛盾的迁移</w:t>
        </w:r>
      </w:hyperlink>
    </w:p>
    <w:p>
      <w:pPr>
        <w:spacing w:after="20" w:before="0"/>
        <w:ind w:left="420"/>
      </w:pPr>
      <w:hyperlink w:history="1" w:anchor="bm14">
        <w:r>
          <w:rPr>
            <w:b w:val="false"/>
            <w:bCs w:val="false"/>
            <w:color w:val="333333"/>
            <w:sz w:val="19"/>
            <w:szCs w:val="19"/>
          </w:rPr>
          <w:t xml:space="preserve">1.3 全景产业地图：谁依赖谁，谁创造价值，谁拿走利润</w:t>
        </w:r>
      </w:hyperlink>
    </w:p>
    <w:p>
      <w:pPr>
        <w:spacing w:after="20" w:before="0"/>
        <w:ind w:left="420"/>
      </w:pPr>
      <w:hyperlink w:history="1" w:anchor="bm15">
        <w:r>
          <w:rPr>
            <w:b w:val="false"/>
            <w:bCs w:val="false"/>
            <w:color w:val="333333"/>
            <w:sz w:val="19"/>
            <w:szCs w:val="19"/>
          </w:rPr>
          <w:t xml:space="preserve">1.4 反证检查：本篇判断可能错在哪里</w:t>
        </w:r>
      </w:hyperlink>
    </w:p>
    <w:p>
      <w:pPr>
        <w:spacing w:after="60" w:before="100"/>
        <w:ind w:left="0"/>
      </w:pPr>
      <w:hyperlink w:history="1" w:anchor="bm16">
        <w:r>
          <w:rPr>
            <w:b/>
            <w:bCs/>
            <w:color w:val="1F3864"/>
            <w:sz w:val="21"/>
            <w:szCs w:val="21"/>
          </w:rPr>
          <w:t xml:space="preserve">第二篇　全球产业实际发展水平：剥离宣传后的真实能力</w:t>
        </w:r>
      </w:hyperlink>
    </w:p>
    <w:p>
      <w:pPr>
        <w:spacing w:after="20" w:before="0"/>
        <w:ind w:left="420"/>
      </w:pPr>
      <w:hyperlink w:history="1" w:anchor="bm17">
        <w:r>
          <w:rPr>
            <w:b w:val="false"/>
            <w:bCs w:val="false"/>
            <w:color w:val="333333"/>
            <w:sz w:val="19"/>
            <w:szCs w:val="19"/>
          </w:rPr>
          <w:t xml:space="preserve">2.1 核心问题：机器人今天到底能做什么，不能做什么</w:t>
        </w:r>
      </w:hyperlink>
    </w:p>
    <w:p>
      <w:pPr>
        <w:spacing w:after="20" w:before="0"/>
        <w:ind w:left="420"/>
      </w:pPr>
      <w:hyperlink w:history="1" w:anchor="bm18">
        <w:r>
          <w:rPr>
            <w:b w:val="false"/>
            <w:bCs w:val="false"/>
            <w:color w:val="333333"/>
            <w:sz w:val="19"/>
            <w:szCs w:val="19"/>
          </w:rPr>
          <w:t xml:space="preserve">2.2 成熟度五级与代表企业定位</w:t>
        </w:r>
      </w:hyperlink>
    </w:p>
    <w:p>
      <w:pPr>
        <w:spacing w:after="20" w:before="0"/>
        <w:ind w:left="420"/>
      </w:pPr>
      <w:hyperlink w:history="1" w:anchor="bm19">
        <w:r>
          <w:rPr>
            <w:b w:val="false"/>
            <w:bCs w:val="false"/>
            <w:color w:val="333333"/>
            <w:sz w:val="19"/>
            <w:szCs w:val="19"/>
          </w:rPr>
          <w:t xml:space="preserve">2.3 分能力维度的真实水平</w:t>
        </w:r>
      </w:hyperlink>
    </w:p>
    <w:p>
      <w:pPr>
        <w:spacing w:after="20" w:before="0"/>
        <w:ind w:left="420"/>
      </w:pPr>
      <w:hyperlink w:history="1" w:anchor="bm20">
        <w:r>
          <w:rPr>
            <w:b w:val="false"/>
            <w:bCs w:val="false"/>
            <w:color w:val="333333"/>
            <w:sz w:val="19"/>
            <w:szCs w:val="19"/>
          </w:rPr>
          <w:t xml:space="preserve">2.4 一个可验算的案例：宝马 Spartanburg 的 Figure 02 试点</w:t>
        </w:r>
      </w:hyperlink>
    </w:p>
    <w:p>
      <w:pPr>
        <w:spacing w:after="20" w:before="0"/>
        <w:ind w:left="420"/>
      </w:pPr>
      <w:hyperlink w:history="1" w:anchor="bm21">
        <w:r>
          <w:rPr>
            <w:b w:val="false"/>
            <w:bCs w:val="false"/>
            <w:color w:val="333333"/>
            <w:sz w:val="19"/>
            <w:szCs w:val="19"/>
          </w:rPr>
          <w:t xml:space="preserve">2.5 演示和部署之间的"四道鸿沟"</w:t>
        </w:r>
      </w:hyperlink>
    </w:p>
    <w:p>
      <w:pPr>
        <w:spacing w:after="20" w:before="0"/>
        <w:ind w:left="420"/>
      </w:pPr>
      <w:hyperlink w:history="1" w:anchor="bm22">
        <w:r>
          <w:rPr>
            <w:b w:val="false"/>
            <w:bCs w:val="false"/>
            <w:color w:val="333333"/>
            <w:sz w:val="19"/>
            <w:szCs w:val="19"/>
          </w:rPr>
          <w:t xml:space="preserve">2.6 地区竞争地位对比</w:t>
        </w:r>
      </w:hyperlink>
    </w:p>
    <w:p>
      <w:pPr>
        <w:spacing w:after="20" w:before="0"/>
        <w:ind w:left="420"/>
      </w:pPr>
      <w:hyperlink w:history="1" w:anchor="bm23">
        <w:r>
          <w:rPr>
            <w:b w:val="false"/>
            <w:bCs w:val="false"/>
            <w:color w:val="333333"/>
            <w:sz w:val="19"/>
            <w:szCs w:val="19"/>
          </w:rPr>
          <w:t xml:space="preserve">2.7 反证检查</w:t>
        </w:r>
      </w:hyperlink>
    </w:p>
    <w:p>
      <w:pPr>
        <w:spacing w:after="60" w:before="100"/>
        <w:ind w:left="0"/>
      </w:pPr>
      <w:hyperlink w:history="1" w:anchor="bm24">
        <w:r>
          <w:rPr>
            <w:b/>
            <w:bCs/>
            <w:color w:val="1F3864"/>
            <w:sz w:val="21"/>
            <w:szCs w:val="21"/>
          </w:rPr>
          <w:t xml:space="preserve">第三篇　机器人硬件全产业链及真实工程瓶颈</w:t>
        </w:r>
      </w:hyperlink>
    </w:p>
    <w:p>
      <w:pPr>
        <w:spacing w:after="20" w:before="0"/>
        <w:ind w:left="420"/>
      </w:pPr>
      <w:hyperlink w:history="1" w:anchor="bm25">
        <w:r>
          <w:rPr>
            <w:b w:val="false"/>
            <w:bCs w:val="false"/>
            <w:color w:val="333333"/>
            <w:sz w:val="19"/>
            <w:szCs w:val="19"/>
          </w:rPr>
          <w:t xml:space="preserve">3.1 本体形态：没有最好的形态，只有最匹配任务的形态</w:t>
        </w:r>
      </w:hyperlink>
    </w:p>
    <w:p>
      <w:pPr>
        <w:spacing w:after="20" w:before="0"/>
        <w:ind w:left="420"/>
      </w:pPr>
      <w:hyperlink w:history="1" w:anchor="bm26">
        <w:r>
          <w:rPr>
            <w:b w:val="false"/>
            <w:bCs w:val="false"/>
            <w:color w:val="333333"/>
            <w:sz w:val="19"/>
            <w:szCs w:val="19"/>
          </w:rPr>
          <w:t xml:space="preserve">3.2 执行器：价值量最大的环节，也是最先商品化的环节</w:t>
        </w:r>
      </w:hyperlink>
    </w:p>
    <w:p>
      <w:pPr>
        <w:spacing w:after="20" w:before="0"/>
        <w:ind w:left="420"/>
      </w:pPr>
      <w:hyperlink w:history="1" w:anchor="bm27">
        <w:r>
          <w:rPr>
            <w:b w:val="false"/>
            <w:bCs w:val="false"/>
            <w:color w:val="333333"/>
            <w:sz w:val="19"/>
            <w:szCs w:val="19"/>
          </w:rPr>
          <w:t xml:space="preserve">3.3 灵巧手：最难的问题，最大的分化</w:t>
        </w:r>
      </w:hyperlink>
    </w:p>
    <w:p>
      <w:pPr>
        <w:spacing w:after="20" w:before="0"/>
        <w:ind w:left="420"/>
      </w:pPr>
      <w:hyperlink w:history="1" w:anchor="bm28">
        <w:r>
          <w:rPr>
            <w:b w:val="false"/>
            <w:bCs w:val="false"/>
            <w:color w:val="333333"/>
            <w:sz w:val="19"/>
            <w:szCs w:val="19"/>
          </w:rPr>
          <w:t xml:space="preserve">3.4 传感器、算力、能源与电控</w:t>
        </w:r>
      </w:hyperlink>
    </w:p>
    <w:p>
      <w:pPr>
        <w:spacing w:after="20" w:before="0"/>
        <w:ind w:left="420"/>
      </w:pPr>
      <w:hyperlink w:history="1" w:anchor="bm29">
        <w:r>
          <w:rPr>
            <w:b w:val="false"/>
            <w:bCs w:val="false"/>
            <w:color w:val="333333"/>
            <w:sz w:val="19"/>
            <w:szCs w:val="19"/>
          </w:rPr>
          <w:t xml:space="preserve">3.5 BOM 拆解模型：全尺寸工业人形（2026 年，千台级批量）</w:t>
        </w:r>
      </w:hyperlink>
    </w:p>
    <w:p>
      <w:pPr>
        <w:spacing w:after="20" w:before="0"/>
        <w:ind w:left="420"/>
      </w:pPr>
      <w:hyperlink w:history="1" w:anchor="bm30">
        <w:r>
          <w:rPr>
            <w:b w:val="false"/>
            <w:bCs w:val="false"/>
            <w:color w:val="333333"/>
            <w:sz w:val="19"/>
            <w:szCs w:val="19"/>
          </w:rPr>
          <w:t xml:space="preserve">3.6 价格、成本与全生命周期成本（TCO）</w:t>
        </w:r>
      </w:hyperlink>
    </w:p>
    <w:p>
      <w:pPr>
        <w:spacing w:after="20" w:before="0"/>
        <w:ind w:left="420"/>
      </w:pPr>
      <w:hyperlink w:history="1" w:anchor="bm31">
        <w:r>
          <w:rPr>
            <w:b w:val="false"/>
            <w:bCs w:val="false"/>
            <w:color w:val="333333"/>
            <w:sz w:val="19"/>
            <w:szCs w:val="19"/>
          </w:rPr>
          <w:t xml:space="preserve">3.7 生产良率、可靠性与售后：被系统性低估的壁垒</w:t>
        </w:r>
      </w:hyperlink>
    </w:p>
    <w:p>
      <w:pPr>
        <w:spacing w:after="20" w:before="0"/>
        <w:ind w:left="420"/>
      </w:pPr>
      <w:hyperlink w:history="1" w:anchor="bm32">
        <w:r>
          <w:rPr>
            <w:b w:val="false"/>
            <w:bCs w:val="false"/>
            <w:color w:val="333333"/>
            <w:sz w:val="19"/>
            <w:szCs w:val="19"/>
          </w:rPr>
          <w:t xml:space="preserve">3.8 本篇结论与投资含义</w:t>
        </w:r>
      </w:hyperlink>
    </w:p>
    <w:p>
      <w:pPr>
        <w:spacing w:after="60" w:before="100"/>
        <w:ind w:left="0"/>
      </w:pPr>
      <w:hyperlink w:history="1" w:anchor="bm33">
        <w:r>
          <w:rPr>
            <w:b/>
            <w:bCs/>
            <w:color w:val="1F3864"/>
            <w:sz w:val="21"/>
            <w:szCs w:val="21"/>
          </w:rPr>
          <w:t xml:space="preserve">第四篇　机器人软件与智能系统的产业成熟度</w:t>
        </w:r>
      </w:hyperlink>
    </w:p>
    <w:p>
      <w:pPr>
        <w:spacing w:after="20" w:before="0"/>
        <w:ind w:left="420"/>
      </w:pPr>
      <w:hyperlink w:history="1" w:anchor="bm34">
        <w:r>
          <w:rPr>
            <w:b w:val="false"/>
            <w:bCs w:val="false"/>
            <w:color w:val="333333"/>
            <w:sz w:val="19"/>
            <w:szCs w:val="19"/>
          </w:rPr>
          <w:t xml:space="preserve">4.1 从一台真实部署的机器人出发：完整软件栈</w:t>
        </w:r>
      </w:hyperlink>
    </w:p>
    <w:p>
      <w:pPr>
        <w:spacing w:after="20" w:before="0"/>
        <w:ind w:left="420"/>
      </w:pPr>
      <w:hyperlink w:history="1" w:anchor="bm35">
        <w:r>
          <w:rPr>
            <w:b w:val="false"/>
            <w:bCs w:val="false"/>
            <w:color w:val="333333"/>
            <w:sz w:val="19"/>
            <w:szCs w:val="19"/>
          </w:rPr>
          <w:t xml:space="preserve">4.2 2026 年各技术路线：从投资视角比较</w:t>
        </w:r>
      </w:hyperlink>
    </w:p>
    <w:p>
      <w:pPr>
        <w:spacing w:after="20" w:before="0"/>
        <w:ind w:left="420"/>
      </w:pPr>
      <w:hyperlink w:history="1" w:anchor="bm36">
        <w:r>
          <w:rPr>
            <w:b w:val="false"/>
            <w:bCs w:val="false"/>
            <w:color w:val="333333"/>
            <w:sz w:val="19"/>
            <w:szCs w:val="19"/>
          </w:rPr>
          <w:t xml:space="preserve">4.3 模型能力怎样变成任务表现：传导链</w:t>
        </w:r>
      </w:hyperlink>
    </w:p>
    <w:p>
      <w:pPr>
        <w:spacing w:after="20" w:before="0"/>
        <w:ind w:left="420"/>
      </w:pPr>
      <w:hyperlink w:history="1" w:anchor="bm37">
        <w:r>
          <w:rPr>
            <w:b w:val="false"/>
            <w:bCs w:val="false"/>
            <w:color w:val="333333"/>
            <w:sz w:val="19"/>
            <w:szCs w:val="19"/>
          </w:rPr>
          <w:t xml:space="preserve">4.4 核心问题：机器人能力的主要约束到底在哪里，又怎样迁移</w:t>
        </w:r>
      </w:hyperlink>
    </w:p>
    <w:p>
      <w:pPr>
        <w:spacing w:after="20" w:before="0"/>
        <w:ind w:left="420"/>
      </w:pPr>
      <w:hyperlink w:history="1" w:anchor="bm38">
        <w:r>
          <w:rPr>
            <w:b w:val="false"/>
            <w:bCs w:val="false"/>
            <w:color w:val="333333"/>
            <w:sz w:val="19"/>
            <w:szCs w:val="19"/>
          </w:rPr>
          <w:t xml:space="preserve">4.5 开源对模型层商业价值的冲击</w:t>
        </w:r>
      </w:hyperlink>
    </w:p>
    <w:p>
      <w:pPr>
        <w:spacing w:after="20" w:before="0"/>
        <w:ind w:left="420"/>
      </w:pPr>
      <w:hyperlink w:history="1" w:anchor="bm39">
        <w:r>
          <w:rPr>
            <w:b w:val="false"/>
            <w:bCs w:val="false"/>
            <w:color w:val="333333"/>
            <w:sz w:val="19"/>
            <w:szCs w:val="19"/>
          </w:rPr>
          <w:t xml:space="preserve">4.6 反证检查</w:t>
        </w:r>
      </w:hyperlink>
    </w:p>
    <w:p>
      <w:pPr>
        <w:spacing w:after="60" w:before="100"/>
        <w:ind w:left="0"/>
      </w:pPr>
      <w:hyperlink w:history="1" w:anchor="bm40">
        <w:r>
          <w:rPr>
            <w:b/>
            <w:bCs/>
            <w:color w:val="1F3864"/>
            <w:sz w:val="21"/>
            <w:szCs w:val="21"/>
          </w:rPr>
          <w:t xml:space="preserve">第五篇　机器人数据产业、训练范式与 Scaling Economics</w:t>
        </w:r>
      </w:hyperlink>
    </w:p>
    <w:p>
      <w:pPr>
        <w:spacing w:after="20" w:before="0"/>
        <w:ind w:left="420"/>
      </w:pPr>
      <w:hyperlink w:history="1" w:anchor="bm41">
        <w:r>
          <w:rPr>
            <w:b w:val="false"/>
            <w:bCs w:val="false"/>
            <w:color w:val="333333"/>
            <w:sz w:val="19"/>
            <w:szCs w:val="19"/>
          </w:rPr>
          <w:t xml:space="preserve">5.1 数据为什么是具身智能的"燃料危机"</w:t>
        </w:r>
      </w:hyperlink>
    </w:p>
    <w:p>
      <w:pPr>
        <w:spacing w:after="20" w:before="0"/>
        <w:ind w:left="420"/>
      </w:pPr>
      <w:hyperlink w:history="1" w:anchor="bm42">
        <w:r>
          <w:rPr>
            <w:b w:val="false"/>
            <w:bCs w:val="false"/>
            <w:color w:val="333333"/>
            <w:sz w:val="19"/>
            <w:szCs w:val="19"/>
          </w:rPr>
          <w:t xml:space="preserve">5.2 数据模态：成本、规模、可替代性</w:t>
        </w:r>
      </w:hyperlink>
    </w:p>
    <w:p>
      <w:pPr>
        <w:spacing w:after="20" w:before="0"/>
        <w:ind w:left="420"/>
      </w:pPr>
      <w:hyperlink w:history="1" w:anchor="bm43">
        <w:r>
          <w:rPr>
            <w:b w:val="false"/>
            <w:bCs w:val="false"/>
            <w:color w:val="333333"/>
            <w:sz w:val="19"/>
            <w:szCs w:val="19"/>
          </w:rPr>
          <w:t xml:space="preserve">5.3 地方补贴标准透露出的价值判断</w:t>
        </w:r>
      </w:hyperlink>
    </w:p>
    <w:p>
      <w:pPr>
        <w:spacing w:after="20" w:before="0"/>
        <w:ind w:left="420"/>
      </w:pPr>
      <w:hyperlink w:history="1" w:anchor="bm44">
        <w:r>
          <w:rPr>
            <w:b w:val="false"/>
            <w:bCs w:val="false"/>
            <w:color w:val="333333"/>
            <w:sz w:val="19"/>
            <w:szCs w:val="19"/>
          </w:rPr>
          <w:t xml:space="preserve">5.4 仿真到现实：能力边界</w:t>
        </w:r>
      </w:hyperlink>
    </w:p>
    <w:p>
      <w:pPr>
        <w:spacing w:after="20" w:before="0"/>
        <w:ind w:left="420"/>
      </w:pPr>
      <w:hyperlink w:history="1" w:anchor="bm45">
        <w:r>
          <w:rPr>
            <w:b w:val="false"/>
            <w:bCs w:val="false"/>
            <w:color w:val="333333"/>
            <w:sz w:val="19"/>
            <w:szCs w:val="19"/>
          </w:rPr>
          <w:t xml:space="preserve">5.5 Scaling Law 在机器人领域是否成立</w:t>
        </w:r>
      </w:hyperlink>
    </w:p>
    <w:p>
      <w:pPr>
        <w:spacing w:after="20" w:before="0"/>
        <w:ind w:left="420"/>
      </w:pPr>
      <w:hyperlink w:history="1" w:anchor="bm46">
        <w:r>
          <w:rPr>
            <w:b w:val="false"/>
            <w:bCs w:val="false"/>
            <w:color w:val="333333"/>
            <w:sz w:val="19"/>
            <w:szCs w:val="19"/>
          </w:rPr>
          <w:t xml:space="preserve">5.6 数据飞轮能否形成长期壁垒：一个简单的经济学测算</w:t>
        </w:r>
      </w:hyperlink>
    </w:p>
    <w:p>
      <w:pPr>
        <w:spacing w:after="20" w:before="0"/>
        <w:ind w:left="420"/>
      </w:pPr>
      <w:hyperlink w:history="1" w:anchor="bm47">
        <w:r>
          <w:rPr>
            <w:b w:val="false"/>
            <w:bCs w:val="false"/>
            <w:color w:val="333333"/>
            <w:sz w:val="19"/>
            <w:szCs w:val="19"/>
          </w:rPr>
          <w:t xml:space="preserve">5.7 价值分配：数据提供商、采集平台与模型公司</w:t>
        </w:r>
      </w:hyperlink>
    </w:p>
    <w:p>
      <w:pPr>
        <w:spacing w:after="20" w:before="0"/>
        <w:ind w:left="420"/>
      </w:pPr>
      <w:hyperlink w:history="1" w:anchor="bm48">
        <w:r>
          <w:rPr>
            <w:b w:val="false"/>
            <w:bCs w:val="false"/>
            <w:color w:val="333333"/>
            <w:sz w:val="19"/>
            <w:szCs w:val="19"/>
          </w:rPr>
          <w:t xml:space="preserve">5.8 代表性企业数据与训练规模：统计口径警示</w:t>
        </w:r>
      </w:hyperlink>
    </w:p>
    <w:p>
      <w:pPr>
        <w:spacing w:after="20" w:before="0"/>
        <w:ind w:left="420"/>
      </w:pPr>
      <w:hyperlink w:history="1" w:anchor="bm49">
        <w:r>
          <w:rPr>
            <w:b w:val="false"/>
            <w:bCs w:val="false"/>
            <w:color w:val="333333"/>
            <w:sz w:val="19"/>
            <w:szCs w:val="19"/>
          </w:rPr>
          <w:t xml:space="preserve">5.9 大规模真实世界学习的经济可行性</w:t>
        </w:r>
      </w:hyperlink>
    </w:p>
    <w:p>
      <w:pPr>
        <w:spacing w:after="20" w:before="0"/>
        <w:ind w:left="420"/>
      </w:pPr>
      <w:hyperlink w:history="1" w:anchor="bm50">
        <w:r>
          <w:rPr>
            <w:b w:val="false"/>
            <w:bCs w:val="false"/>
            <w:color w:val="333333"/>
            <w:sz w:val="19"/>
            <w:szCs w:val="19"/>
          </w:rPr>
          <w:t xml:space="preserve">5.10 反证检查</w:t>
        </w:r>
      </w:hyperlink>
    </w:p>
    <w:p>
      <w:pPr>
        <w:spacing w:after="60" w:before="100"/>
        <w:ind w:left="0"/>
      </w:pPr>
      <w:hyperlink w:history="1" w:anchor="bm51">
        <w:r>
          <w:rPr>
            <w:b/>
            <w:bCs/>
            <w:color w:val="1F3864"/>
            <w:sz w:val="21"/>
            <w:szCs w:val="21"/>
          </w:rPr>
          <w:t xml:space="preserve">第六篇　下游应用场景、真实客户需求和商业模式</w:t>
        </w:r>
      </w:hyperlink>
    </w:p>
    <w:p>
      <w:pPr>
        <w:spacing w:after="20" w:before="0"/>
        <w:ind w:left="420"/>
      </w:pPr>
      <w:hyperlink w:history="1" w:anchor="bm52">
        <w:r>
          <w:rPr>
            <w:b w:val="false"/>
            <w:bCs w:val="false"/>
            <w:color w:val="333333"/>
            <w:sz w:val="19"/>
            <w:szCs w:val="19"/>
          </w:rPr>
          <w:t xml:space="preserve">6.1 方法：从"场景想象力"改为"岗位、预算、替代方案"</w:t>
        </w:r>
      </w:hyperlink>
    </w:p>
    <w:p>
      <w:pPr>
        <w:spacing w:after="20" w:before="0"/>
        <w:ind w:left="420"/>
      </w:pPr>
      <w:hyperlink w:history="1" w:anchor="bm53">
        <w:r>
          <w:rPr>
            <w:b w:val="false"/>
            <w:bCs w:val="false"/>
            <w:color w:val="333333"/>
            <w:sz w:val="19"/>
            <w:szCs w:val="19"/>
          </w:rPr>
          <w:t xml:space="preserve">6.2 场景总览</w:t>
        </w:r>
      </w:hyperlink>
    </w:p>
    <w:p>
      <w:pPr>
        <w:spacing w:after="20" w:before="0"/>
        <w:ind w:left="420"/>
      </w:pPr>
      <w:hyperlink w:history="1" w:anchor="bm54">
        <w:r>
          <w:rPr>
            <w:b w:val="false"/>
            <w:bCs w:val="false"/>
            <w:color w:val="333333"/>
            <w:sz w:val="19"/>
            <w:szCs w:val="19"/>
          </w:rPr>
          <w:t xml:space="preserve">6.3 四个关键场景的"十问"</w:t>
        </w:r>
      </w:hyperlink>
    </w:p>
    <w:p>
      <w:pPr>
        <w:spacing w:after="20" w:before="0"/>
        <w:ind w:left="420"/>
      </w:pPr>
      <w:hyperlink w:history="1" w:anchor="bm55">
        <w:r>
          <w:rPr>
            <w:b w:val="false"/>
            <w:bCs w:val="false"/>
            <w:color w:val="333333"/>
            <w:sz w:val="19"/>
            <w:szCs w:val="19"/>
          </w:rPr>
          <w:t xml:space="preserve">6.4 单位经济模型：工厂物料搬运与上下料（双班）</w:t>
        </w:r>
      </w:hyperlink>
    </w:p>
    <w:p>
      <w:pPr>
        <w:spacing w:after="20" w:before="0"/>
        <w:ind w:left="420"/>
      </w:pPr>
      <w:hyperlink w:history="1" w:anchor="bm56">
        <w:r>
          <w:rPr>
            <w:b w:val="false"/>
            <w:bCs w:val="false"/>
            <w:color w:val="333333"/>
            <w:sz w:val="19"/>
            <w:szCs w:val="19"/>
          </w:rPr>
          <w:t xml:space="preserve">6.5 仓储 RaaS：客户与供应商的两本账</w:t>
        </w:r>
      </w:hyperlink>
    </w:p>
    <w:p>
      <w:pPr>
        <w:spacing w:after="20" w:before="0"/>
        <w:ind w:left="420"/>
      </w:pPr>
      <w:hyperlink w:history="1" w:anchor="bm57">
        <w:r>
          <w:rPr>
            <w:b w:val="false"/>
            <w:bCs w:val="false"/>
            <w:color w:val="333333"/>
            <w:sz w:val="19"/>
            <w:szCs w:val="19"/>
          </w:rPr>
          <w:t xml:space="preserve">6.6 家庭场景：订阅经济是否成立</w:t>
        </w:r>
      </w:hyperlink>
    </w:p>
    <w:p>
      <w:pPr>
        <w:spacing w:after="20" w:before="0"/>
        <w:ind w:left="420"/>
      </w:pPr>
      <w:hyperlink w:history="1" w:anchor="bm58">
        <w:r>
          <w:rPr>
            <w:b w:val="false"/>
            <w:bCs w:val="false"/>
            <w:color w:val="333333"/>
            <w:sz w:val="19"/>
            <w:szCs w:val="19"/>
          </w:rPr>
          <w:t xml:space="preserve">6.7 人形形态真的必要吗？</w:t>
        </w:r>
      </w:hyperlink>
    </w:p>
    <w:p>
      <w:pPr>
        <w:spacing w:after="20" w:before="0"/>
        <w:ind w:left="420"/>
      </w:pPr>
      <w:hyperlink w:history="1" w:anchor="bm59">
        <w:r>
          <w:rPr>
            <w:b w:val="false"/>
            <w:bCs w:val="false"/>
            <w:color w:val="333333"/>
            <w:sz w:val="19"/>
            <w:szCs w:val="19"/>
          </w:rPr>
          <w:t xml:space="preserve">6.8 自下而上的市场空间：中国制造业</w:t>
        </w:r>
      </w:hyperlink>
    </w:p>
    <w:p>
      <w:pPr>
        <w:spacing w:after="20" w:before="0"/>
        <w:ind w:left="420"/>
      </w:pPr>
      <w:hyperlink w:history="1" w:anchor="bm60">
        <w:r>
          <w:rPr>
            <w:b w:val="false"/>
            <w:bCs w:val="false"/>
            <w:color w:val="333333"/>
            <w:sz w:val="19"/>
            <w:szCs w:val="19"/>
          </w:rPr>
          <w:t xml:space="preserve">6.9 哪些场景先闭环，哪些长期停留在试点</w:t>
        </w:r>
      </w:hyperlink>
    </w:p>
    <w:p>
      <w:pPr>
        <w:spacing w:after="20" w:before="0"/>
        <w:ind w:left="420"/>
      </w:pPr>
      <w:hyperlink w:history="1" w:anchor="bm61">
        <w:r>
          <w:rPr>
            <w:b w:val="false"/>
            <w:bCs w:val="false"/>
            <w:color w:val="333333"/>
            <w:sz w:val="19"/>
            <w:szCs w:val="19"/>
          </w:rPr>
          <w:t xml:space="preserve">6.10 反证检查</w:t>
        </w:r>
      </w:hyperlink>
    </w:p>
    <w:p>
      <w:pPr>
        <w:spacing w:after="60" w:before="100"/>
        <w:ind w:left="0"/>
      </w:pPr>
      <w:hyperlink w:history="1" w:anchor="bm62">
        <w:r>
          <w:rPr>
            <w:b/>
            <w:bCs/>
            <w:color w:val="1F3864"/>
            <w:sz w:val="21"/>
            <w:szCs w:val="21"/>
          </w:rPr>
          <w:t xml:space="preserve">第七篇　产业链价值分配与长期竞争壁垒</w:t>
        </w:r>
      </w:hyperlink>
    </w:p>
    <w:p>
      <w:pPr>
        <w:spacing w:after="20" w:before="0"/>
        <w:ind w:left="420"/>
      </w:pPr>
      <w:hyperlink w:history="1" w:anchor="bm63">
        <w:r>
          <w:rPr>
            <w:b w:val="false"/>
            <w:bCs w:val="false"/>
            <w:color w:val="333333"/>
            <w:sz w:val="19"/>
            <w:szCs w:val="19"/>
          </w:rPr>
          <w:t xml:space="preserve">7.1 今天谁在赚钱：2026 年的利润池</w:t>
        </w:r>
      </w:hyperlink>
    </w:p>
    <w:p>
      <w:pPr>
        <w:spacing w:after="20" w:before="0"/>
        <w:ind w:left="420"/>
      </w:pPr>
      <w:hyperlink w:history="1" w:anchor="bm64">
        <w:r>
          <w:rPr>
            <w:b w:val="false"/>
            <w:bCs w:val="false"/>
            <w:color w:val="333333"/>
            <w:sz w:val="19"/>
            <w:szCs w:val="19"/>
          </w:rPr>
          <w:t xml:space="preserve">7.2 2030 年利润池可能怎样迁移（基准情景）</w:t>
        </w:r>
      </w:hyperlink>
    </w:p>
    <w:p>
      <w:pPr>
        <w:spacing w:after="20" w:before="0"/>
        <w:ind w:left="420"/>
      </w:pPr>
      <w:hyperlink w:history="1" w:anchor="bm65">
        <w:r>
          <w:rPr>
            <w:b w:val="false"/>
            <w:bCs w:val="false"/>
            <w:color w:val="333333"/>
            <w:sz w:val="19"/>
            <w:szCs w:val="19"/>
          </w:rPr>
          <w:t xml:space="preserve">7.3 七类参与者的商业模式与价值获取能力</w:t>
        </w:r>
      </w:hyperlink>
    </w:p>
    <w:p>
      <w:pPr>
        <w:spacing w:after="20" w:before="0"/>
        <w:ind w:left="420"/>
      </w:pPr>
      <w:hyperlink w:history="1" w:anchor="bm66">
        <w:r>
          <w:rPr>
            <w:b w:val="false"/>
            <w:bCs w:val="false"/>
            <w:color w:val="333333"/>
            <w:sz w:val="19"/>
            <w:szCs w:val="19"/>
          </w:rPr>
          <w:t xml:space="preserve">7.4 壁垒的真伪：哪些可持续，哪些只是早期的信息差或融资优势</w:t>
        </w:r>
      </w:hyperlink>
    </w:p>
    <w:p>
      <w:pPr>
        <w:spacing w:after="20" w:before="0"/>
        <w:ind w:left="420"/>
      </w:pPr>
      <w:hyperlink w:history="1" w:anchor="bm67">
        <w:r>
          <w:rPr>
            <w:b w:val="false"/>
            <w:bCs w:val="false"/>
            <w:color w:val="333333"/>
            <w:sz w:val="19"/>
            <w:szCs w:val="19"/>
          </w:rPr>
          <w:t xml:space="preserve">7.5 标准化、议价权与市场结构</w:t>
        </w:r>
      </w:hyperlink>
    </w:p>
    <w:p>
      <w:pPr>
        <w:spacing w:after="20" w:before="0"/>
        <w:ind w:left="420"/>
      </w:pPr>
      <w:hyperlink w:history="1" w:anchor="bm68">
        <w:r>
          <w:rPr>
            <w:b w:val="false"/>
            <w:bCs w:val="false"/>
            <w:color w:val="333333"/>
            <w:sz w:val="19"/>
            <w:szCs w:val="19"/>
          </w:rPr>
          <w:t xml:space="preserve">7.6 垂直整合还是专业分工</w:t>
        </w:r>
      </w:hyperlink>
    </w:p>
    <w:p>
      <w:pPr>
        <w:spacing w:after="20" w:before="0"/>
        <w:ind w:left="420"/>
      </w:pPr>
      <w:hyperlink w:history="1" w:anchor="bm69">
        <w:r>
          <w:rPr>
            <w:b w:val="false"/>
            <w:bCs w:val="false"/>
            <w:color w:val="333333"/>
            <w:sz w:val="19"/>
            <w:szCs w:val="19"/>
          </w:rPr>
          <w:t xml:space="preserve">7.7 反证检查</w:t>
        </w:r>
      </w:hyperlink>
    </w:p>
    <w:p>
      <w:pPr>
        <w:spacing w:after="60" w:before="100"/>
        <w:ind w:left="0"/>
      </w:pPr>
      <w:hyperlink w:history="1" w:anchor="bm70">
        <w:r>
          <w:rPr>
            <w:b/>
            <w:bCs/>
            <w:color w:val="1F3864"/>
            <w:sz w:val="21"/>
            <w:szCs w:val="21"/>
          </w:rPr>
          <w:t xml:space="preserve">第八篇　全球与中国竞争格局、代表公司与动态身位</w:t>
        </w:r>
      </w:hyperlink>
    </w:p>
    <w:p>
      <w:pPr>
        <w:spacing w:after="20" w:before="0"/>
        <w:ind w:left="420"/>
      </w:pPr>
      <w:hyperlink w:history="1" w:anchor="bm71">
        <w:r>
          <w:rPr>
            <w:b w:val="false"/>
            <w:bCs w:val="false"/>
            <w:color w:val="333333"/>
            <w:sz w:val="19"/>
            <w:szCs w:val="19"/>
          </w:rPr>
          <w:t xml:space="preserve">8.1 竞争身位矩阵（1–5 分，研究判断〔D〕）</w:t>
        </w:r>
      </w:hyperlink>
    </w:p>
    <w:p>
      <w:pPr>
        <w:spacing w:after="20" w:before="0"/>
        <w:ind w:left="420"/>
      </w:pPr>
      <w:hyperlink w:history="1" w:anchor="bm72">
        <w:r>
          <w:rPr>
            <w:b w:val="false"/>
            <w:bCs w:val="false"/>
            <w:color w:val="333333"/>
            <w:sz w:val="19"/>
            <w:szCs w:val="19"/>
          </w:rPr>
          <w:t xml:space="preserve">8.2 中国重点企业</w:t>
        </w:r>
      </w:hyperlink>
    </w:p>
    <w:p>
      <w:pPr>
        <w:spacing w:after="20" w:before="0"/>
        <w:ind w:left="420"/>
      </w:pPr>
      <w:hyperlink w:history="1" w:anchor="bm73">
        <w:r>
          <w:rPr>
            <w:b w:val="false"/>
            <w:bCs w:val="false"/>
            <w:color w:val="333333"/>
            <w:sz w:val="19"/>
            <w:szCs w:val="19"/>
          </w:rPr>
          <w:t xml:space="preserve">8.3 海外重点企业</w:t>
        </w:r>
      </w:hyperlink>
    </w:p>
    <w:p>
      <w:pPr>
        <w:spacing w:after="20" w:before="0"/>
        <w:ind w:left="420"/>
      </w:pPr>
      <w:hyperlink w:history="1" w:anchor="bm74">
        <w:r>
          <w:rPr>
            <w:b w:val="false"/>
            <w:bCs w:val="false"/>
            <w:color w:val="333333"/>
            <w:sz w:val="19"/>
            <w:szCs w:val="19"/>
          </w:rPr>
          <w:t xml:space="preserve">8.4 中国模型独角兽群组：星海图、千寻、它石、自变量、智平方</w:t>
        </w:r>
      </w:hyperlink>
    </w:p>
    <w:p>
      <w:pPr>
        <w:spacing w:after="20" w:before="0"/>
        <w:ind w:left="420"/>
      </w:pPr>
      <w:hyperlink w:history="1" w:anchor="bm75">
        <w:r>
          <w:rPr>
            <w:b w:val="false"/>
            <w:bCs w:val="false"/>
            <w:color w:val="333333"/>
            <w:sz w:val="19"/>
            <w:szCs w:val="19"/>
          </w:rPr>
          <w:t xml:space="preserve">8.5 零部件代表：绿的谐波</w:t>
        </w:r>
      </w:hyperlink>
    </w:p>
    <w:p>
      <w:pPr>
        <w:spacing w:after="20" w:before="0"/>
        <w:ind w:left="420"/>
      </w:pPr>
      <w:hyperlink w:history="1" w:anchor="bm76">
        <w:r>
          <w:rPr>
            <w:b w:val="false"/>
            <w:bCs w:val="false"/>
            <w:color w:val="333333"/>
            <w:sz w:val="19"/>
            <w:szCs w:val="19"/>
          </w:rPr>
          <w:t xml:space="preserve">8.6 反证检查</w:t>
        </w:r>
      </w:hyperlink>
    </w:p>
    <w:p>
      <w:pPr>
        <w:spacing w:after="60" w:before="100"/>
        <w:ind w:left="0"/>
      </w:pPr>
      <w:hyperlink w:history="1" w:anchor="bm77">
        <w:r>
          <w:rPr>
            <w:b/>
            <w:bCs/>
            <w:color w:val="1F3864"/>
            <w:sz w:val="21"/>
            <w:szCs w:val="21"/>
          </w:rPr>
          <w:t xml:space="preserve">第九篇　投融资市场、资本周期与估值变化</w:t>
        </w:r>
      </w:hyperlink>
    </w:p>
    <w:p>
      <w:pPr>
        <w:spacing w:after="20" w:before="0"/>
        <w:ind w:left="420"/>
      </w:pPr>
      <w:hyperlink w:history="1" w:anchor="bm78">
        <w:r>
          <w:rPr>
            <w:b w:val="false"/>
            <w:bCs w:val="false"/>
            <w:color w:val="333333"/>
            <w:sz w:val="19"/>
            <w:szCs w:val="19"/>
          </w:rPr>
          <w:t xml:space="preserve">9.1 先承认一件事：融资统计本身就是一个"口径灾难"</w:t>
        </w:r>
      </w:hyperlink>
    </w:p>
    <w:p>
      <w:pPr>
        <w:spacing w:after="20" w:before="0"/>
        <w:ind w:left="420"/>
      </w:pPr>
      <w:hyperlink w:history="1" w:anchor="bm79">
        <w:r>
          <w:rPr>
            <w:b w:val="false"/>
            <w:bCs w:val="false"/>
            <w:color w:val="333333"/>
            <w:sz w:val="19"/>
            <w:szCs w:val="19"/>
          </w:rPr>
          <w:t xml:space="preserve">9.2 关键融资与资本事件（2024–2026）</w:t>
        </w:r>
      </w:hyperlink>
    </w:p>
    <w:p>
      <w:pPr>
        <w:spacing w:after="20" w:before="0"/>
        <w:ind w:left="420"/>
      </w:pPr>
      <w:hyperlink w:history="1" w:anchor="bm80">
        <w:r>
          <w:rPr>
            <w:b w:val="false"/>
            <w:bCs w:val="false"/>
            <w:color w:val="333333"/>
            <w:sz w:val="19"/>
            <w:szCs w:val="19"/>
          </w:rPr>
          <w:t xml:space="preserve">9.3 资本周期的四个阶段与投资逻辑的迁移</w:t>
        </w:r>
      </w:hyperlink>
    </w:p>
    <w:p>
      <w:pPr>
        <w:spacing w:after="20" w:before="0"/>
        <w:ind w:left="420"/>
      </w:pPr>
      <w:hyperlink w:history="1" w:anchor="bm81">
        <w:r>
          <w:rPr>
            <w:b w:val="false"/>
            <w:bCs w:val="false"/>
            <w:color w:val="333333"/>
            <w:sz w:val="19"/>
            <w:szCs w:val="19"/>
          </w:rPr>
          <w:t xml:space="preserve">9.4 不同类型资本的角色</w:t>
        </w:r>
      </w:hyperlink>
    </w:p>
    <w:p>
      <w:pPr>
        <w:spacing w:after="20" w:before="0"/>
        <w:ind w:left="420"/>
      </w:pPr>
      <w:hyperlink w:history="1" w:anchor="bm82">
        <w:r>
          <w:rPr>
            <w:b w:val="false"/>
            <w:bCs w:val="false"/>
            <w:color w:val="333333"/>
            <w:sz w:val="19"/>
            <w:szCs w:val="19"/>
          </w:rPr>
          <w:t xml:space="preserve">9.5 估值的演变与横截面</w:t>
        </w:r>
      </w:hyperlink>
    </w:p>
    <w:p>
      <w:pPr>
        <w:spacing w:after="20" w:before="0"/>
        <w:ind w:left="420"/>
      </w:pPr>
      <w:hyperlink w:history="1" w:anchor="bm83">
        <w:r>
          <w:rPr>
            <w:b w:val="false"/>
            <w:bCs w:val="false"/>
            <w:color w:val="333333"/>
            <w:sz w:val="19"/>
            <w:szCs w:val="19"/>
          </w:rPr>
          <w:t xml:space="preserve">9.6 融资规模与真实业务进展的关系</w:t>
        </w:r>
      </w:hyperlink>
    </w:p>
    <w:p>
      <w:pPr>
        <w:spacing w:after="20" w:before="0"/>
        <w:ind w:left="420"/>
      </w:pPr>
      <w:hyperlink w:history="1" w:anchor="bm84">
        <w:r>
          <w:rPr>
            <w:b w:val="false"/>
            <w:bCs w:val="false"/>
            <w:color w:val="333333"/>
            <w:sz w:val="19"/>
            <w:szCs w:val="19"/>
          </w:rPr>
          <w:t xml:space="preserve">9.7 退出路径：窗口打开，正在收紧</w:t>
        </w:r>
      </w:hyperlink>
    </w:p>
    <w:p>
      <w:pPr>
        <w:spacing w:after="20" w:before="0"/>
        <w:ind w:left="420"/>
      </w:pPr>
      <w:hyperlink w:history="1" w:anchor="bm85">
        <w:r>
          <w:rPr>
            <w:b w:val="false"/>
            <w:bCs w:val="false"/>
            <w:color w:val="333333"/>
            <w:sz w:val="19"/>
            <w:szCs w:val="19"/>
          </w:rPr>
          <w:t xml:space="preserve">9.8 当前处于哪个阶段：分赛道判断</w:t>
        </w:r>
      </w:hyperlink>
    </w:p>
    <w:p>
      <w:pPr>
        <w:spacing w:after="20" w:before="0"/>
        <w:ind w:left="420"/>
      </w:pPr>
      <w:hyperlink w:history="1" w:anchor="bm86">
        <w:r>
          <w:rPr>
            <w:b w:val="false"/>
            <w:bCs w:val="false"/>
            <w:color w:val="333333"/>
            <w:sz w:val="19"/>
            <w:szCs w:val="19"/>
          </w:rPr>
          <w:t xml:space="preserve">9.9 泡沫在哪里，被忽视的又在哪里</w:t>
        </w:r>
      </w:hyperlink>
    </w:p>
    <w:p>
      <w:pPr>
        <w:spacing w:after="20" w:before="0"/>
        <w:ind w:left="420"/>
      </w:pPr>
      <w:hyperlink w:history="1" w:anchor="bm87">
        <w:r>
          <w:rPr>
            <w:b w:val="false"/>
            <w:bCs w:val="false"/>
            <w:color w:val="333333"/>
            <w:sz w:val="19"/>
            <w:szCs w:val="19"/>
          </w:rPr>
          <w:t xml:space="preserve">9.10 反证检查</w:t>
        </w:r>
      </w:hyperlink>
    </w:p>
    <w:p>
      <w:pPr>
        <w:spacing w:after="60" w:before="100"/>
        <w:ind w:left="0"/>
      </w:pPr>
      <w:hyperlink w:history="1" w:anchor="bm88">
        <w:r>
          <w:rPr>
            <w:b/>
            <w:bCs/>
            <w:color w:val="1F3864"/>
            <w:sz w:val="21"/>
            <w:szCs w:val="21"/>
          </w:rPr>
          <w:t xml:space="preserve">第十篇　政策、地缘竞争、产业集群与中国市场特征</w:t>
        </w:r>
      </w:hyperlink>
    </w:p>
    <w:p>
      <w:pPr>
        <w:spacing w:after="20" w:before="0"/>
        <w:ind w:left="420"/>
      </w:pPr>
      <w:hyperlink w:history="1" w:anchor="bm89">
        <w:r>
          <w:rPr>
            <w:b w:val="false"/>
            <w:bCs w:val="false"/>
            <w:color w:val="333333"/>
            <w:sz w:val="19"/>
            <w:szCs w:val="19"/>
          </w:rPr>
          <w:t xml:space="preserve">10.1 中央政策的时间线与作用机制</w:t>
        </w:r>
      </w:hyperlink>
    </w:p>
    <w:p>
      <w:pPr>
        <w:spacing w:after="20" w:before="0"/>
        <w:ind w:left="420"/>
      </w:pPr>
      <w:hyperlink w:history="1" w:anchor="bm90">
        <w:r>
          <w:rPr>
            <w:b w:val="false"/>
            <w:bCs w:val="false"/>
            <w:color w:val="333333"/>
            <w:sz w:val="19"/>
            <w:szCs w:val="19"/>
          </w:rPr>
          <w:t xml:space="preserve">10.2 地方政策：数采中心、训练场与产业基金</w:t>
        </w:r>
      </w:hyperlink>
    </w:p>
    <w:p>
      <w:pPr>
        <w:spacing w:after="20" w:before="0"/>
        <w:ind w:left="420"/>
      </w:pPr>
      <w:hyperlink w:history="1" w:anchor="bm91">
        <w:r>
          <w:rPr>
            <w:b w:val="false"/>
            <w:bCs w:val="false"/>
            <w:color w:val="333333"/>
            <w:sz w:val="19"/>
            <w:szCs w:val="19"/>
          </w:rPr>
          <w:t xml:space="preserve">10.3 政策对真实竞争力、收入和融资的影响</w:t>
        </w:r>
      </w:hyperlink>
    </w:p>
    <w:p>
      <w:pPr>
        <w:spacing w:after="20" w:before="0"/>
        <w:ind w:left="420"/>
      </w:pPr>
      <w:hyperlink w:history="1" w:anchor="bm92">
        <w:r>
          <w:rPr>
            <w:b w:val="false"/>
            <w:bCs w:val="false"/>
            <w:color w:val="333333"/>
            <w:sz w:val="19"/>
            <w:szCs w:val="19"/>
          </w:rPr>
          <w:t xml:space="preserve">10.4 中美相对优势比较</w:t>
        </w:r>
      </w:hyperlink>
    </w:p>
    <w:p>
      <w:pPr>
        <w:spacing w:after="20" w:before="0"/>
        <w:ind w:left="420"/>
      </w:pPr>
      <w:hyperlink w:history="1" w:anchor="bm93">
        <w:r>
          <w:rPr>
            <w:b w:val="false"/>
            <w:bCs w:val="false"/>
            <w:color w:val="333333"/>
            <w:sz w:val="19"/>
            <w:szCs w:val="19"/>
          </w:rPr>
          <w:t xml:space="preserve">10.5 地缘竞争：美国对中国机器人的限制</w:t>
        </w:r>
      </w:hyperlink>
    </w:p>
    <w:p>
      <w:pPr>
        <w:spacing w:after="20" w:before="0"/>
        <w:ind w:left="420"/>
      </w:pPr>
      <w:hyperlink w:history="1" w:anchor="bm94">
        <w:r>
          <w:rPr>
            <w:b w:val="false"/>
            <w:bCs w:val="false"/>
            <w:color w:val="333333"/>
            <w:sz w:val="19"/>
            <w:szCs w:val="19"/>
          </w:rPr>
          <w:t xml:space="preserve">10.6 中国产业集群的分工</w:t>
        </w:r>
      </w:hyperlink>
    </w:p>
    <w:p>
      <w:pPr>
        <w:spacing w:after="20" w:before="0"/>
        <w:ind w:left="420"/>
      </w:pPr>
      <w:hyperlink w:history="1" w:anchor="bm95">
        <w:r>
          <w:rPr>
            <w:b w:val="false"/>
            <w:bCs w:val="false"/>
            <w:color w:val="333333"/>
            <w:sz w:val="19"/>
            <w:szCs w:val="19"/>
          </w:rPr>
          <w:t xml:space="preserve">10.7 中国具身智能企业的全球竞争优势在哪里，能否持续</w:t>
        </w:r>
      </w:hyperlink>
    </w:p>
    <w:p>
      <w:pPr>
        <w:spacing w:after="60" w:before="100"/>
        <w:ind w:left="0"/>
      </w:pPr>
      <w:hyperlink w:history="1" w:anchor="bm96">
        <w:r>
          <w:rPr>
            <w:b/>
            <w:bCs/>
            <w:color w:val="1F3864"/>
            <w:sz w:val="21"/>
            <w:szCs w:val="21"/>
          </w:rPr>
          <w:t xml:space="preserve">第十一篇　未来技术与产业演进的核心矛盾</w:t>
        </w:r>
      </w:hyperlink>
    </w:p>
    <w:p>
      <w:pPr>
        <w:spacing w:after="20" w:before="0"/>
        <w:ind w:left="420"/>
      </w:pPr>
      <w:hyperlink w:history="1" w:anchor="bm97">
        <w:r>
          <w:rPr>
            <w:b w:val="false"/>
            <w:bCs w:val="false"/>
            <w:color w:val="333333"/>
            <w:sz w:val="19"/>
            <w:szCs w:val="19"/>
          </w:rPr>
          <w:t xml:space="preserve">11.1 算法能力与硬件执行能力的矛盾</w:t>
        </w:r>
      </w:hyperlink>
    </w:p>
    <w:p>
      <w:pPr>
        <w:spacing w:after="20" w:before="0"/>
        <w:ind w:left="420"/>
      </w:pPr>
      <w:hyperlink w:history="1" w:anchor="bm98">
        <w:r>
          <w:rPr>
            <w:b w:val="false"/>
            <w:bCs w:val="false"/>
            <w:color w:val="333333"/>
            <w:sz w:val="19"/>
            <w:szCs w:val="19"/>
          </w:rPr>
          <w:t xml:space="preserve">11.2 数据规模与真实数据成本的矛盾</w:t>
        </w:r>
      </w:hyperlink>
    </w:p>
    <w:p>
      <w:pPr>
        <w:spacing w:after="20" w:before="0"/>
        <w:ind w:left="420"/>
      </w:pPr>
      <w:hyperlink w:history="1" w:anchor="bm99">
        <w:r>
          <w:rPr>
            <w:b w:val="false"/>
            <w:bCs w:val="false"/>
            <w:color w:val="333333"/>
            <w:sz w:val="19"/>
            <w:szCs w:val="19"/>
          </w:rPr>
          <w:t xml:space="preserve">11.3 通用能力与场景经济性的矛盾</w:t>
        </w:r>
      </w:hyperlink>
    </w:p>
    <w:p>
      <w:pPr>
        <w:spacing w:after="20" w:before="0"/>
        <w:ind w:left="420"/>
      </w:pPr>
      <w:hyperlink w:history="1" w:anchor="bm100">
        <w:r>
          <w:rPr>
            <w:b w:val="false"/>
            <w:bCs w:val="false"/>
            <w:color w:val="333333"/>
            <w:sz w:val="19"/>
            <w:szCs w:val="19"/>
          </w:rPr>
          <w:t xml:space="preserve">11.4 产品复杂度与量产可靠性的矛盾</w:t>
        </w:r>
      </w:hyperlink>
    </w:p>
    <w:p>
      <w:pPr>
        <w:spacing w:after="20" w:before="0"/>
        <w:ind w:left="420"/>
      </w:pPr>
      <w:hyperlink w:history="1" w:anchor="bm101">
        <w:r>
          <w:rPr>
            <w:b w:val="false"/>
            <w:bCs w:val="false"/>
            <w:color w:val="333333"/>
            <w:sz w:val="19"/>
            <w:szCs w:val="19"/>
          </w:rPr>
          <w:t xml:space="preserve">11.5 高估值与商业收入的矛盾</w:t>
        </w:r>
      </w:hyperlink>
    </w:p>
    <w:p>
      <w:pPr>
        <w:spacing w:after="20" w:before="0"/>
        <w:ind w:left="420"/>
      </w:pPr>
      <w:hyperlink w:history="1" w:anchor="bm102">
        <w:r>
          <w:rPr>
            <w:b w:val="false"/>
            <w:bCs w:val="false"/>
            <w:color w:val="333333"/>
            <w:sz w:val="19"/>
            <w:szCs w:val="19"/>
          </w:rPr>
          <w:t xml:space="preserve">11.6 基础模型通用化与企业差异化的矛盾</w:t>
        </w:r>
      </w:hyperlink>
    </w:p>
    <w:p>
      <w:pPr>
        <w:spacing w:after="20" w:before="0"/>
        <w:ind w:left="420"/>
      </w:pPr>
      <w:hyperlink w:history="1" w:anchor="bm103">
        <w:r>
          <w:rPr>
            <w:b w:val="false"/>
            <w:bCs w:val="false"/>
            <w:color w:val="333333"/>
            <w:sz w:val="19"/>
            <w:szCs w:val="19"/>
          </w:rPr>
          <w:t xml:space="preserve">11.7 软硬件垂直整合与产业分工的矛盾</w:t>
        </w:r>
      </w:hyperlink>
    </w:p>
    <w:p>
      <w:pPr>
        <w:spacing w:after="20" w:before="0"/>
        <w:ind w:left="420"/>
      </w:pPr>
      <w:hyperlink w:history="1" w:anchor="bm104">
        <w:r>
          <w:rPr>
            <w:b w:val="false"/>
            <w:bCs w:val="false"/>
            <w:color w:val="333333"/>
            <w:sz w:val="19"/>
            <w:szCs w:val="19"/>
          </w:rPr>
          <w:t xml:space="preserve">11.8 政策驱动需求与市场内生需求的矛盾（中国特有）</w:t>
        </w:r>
      </w:hyperlink>
    </w:p>
    <w:p>
      <w:pPr>
        <w:spacing w:after="20" w:before="0"/>
        <w:ind w:left="420"/>
      </w:pPr>
      <w:hyperlink w:history="1" w:anchor="bm105">
        <w:r>
          <w:rPr>
            <w:b w:val="false"/>
            <w:bCs w:val="false"/>
            <w:color w:val="333333"/>
            <w:sz w:val="19"/>
            <w:szCs w:val="19"/>
          </w:rPr>
          <w:t xml:space="preserve">11.9 矛盾之间的因果关系</w:t>
        </w:r>
      </w:hyperlink>
    </w:p>
    <w:p>
      <w:pPr>
        <w:spacing w:after="60" w:before="100"/>
        <w:ind w:left="0"/>
      </w:pPr>
      <w:hyperlink w:history="1" w:anchor="bm106">
        <w:r>
          <w:rPr>
            <w:b/>
            <w:bCs/>
            <w:color w:val="1F3864"/>
            <w:sz w:val="21"/>
            <w:szCs w:val="21"/>
          </w:rPr>
          <w:t xml:space="preserve">第十二篇　未来 3–10 年的产业发展情景</w:t>
        </w:r>
      </w:hyperlink>
    </w:p>
    <w:p>
      <w:pPr>
        <w:spacing w:after="20" w:before="0"/>
        <w:ind w:left="420"/>
      </w:pPr>
      <w:hyperlink w:history="1" w:anchor="bm107">
        <w:r>
          <w:rPr>
            <w:b w:val="false"/>
            <w:bCs w:val="false"/>
            <w:color w:val="333333"/>
            <w:sz w:val="19"/>
            <w:szCs w:val="19"/>
          </w:rPr>
          <w:t xml:space="preserve">12.1 三种情景的设定逻辑</w:t>
        </w:r>
      </w:hyperlink>
    </w:p>
    <w:p>
      <w:pPr>
        <w:spacing w:after="20" w:before="0"/>
        <w:ind w:left="420"/>
      </w:pPr>
      <w:hyperlink w:history="1" w:anchor="bm108">
        <w:r>
          <w:rPr>
            <w:b w:val="false"/>
            <w:bCs w:val="false"/>
            <w:color w:val="333333"/>
            <w:sz w:val="19"/>
            <w:szCs w:val="19"/>
          </w:rPr>
          <w:t xml:space="preserve">12.2 三情景下的关键指标</w:t>
        </w:r>
      </w:hyperlink>
    </w:p>
    <w:p>
      <w:pPr>
        <w:spacing w:after="20" w:before="0"/>
        <w:ind w:left="420"/>
      </w:pPr>
      <w:hyperlink w:history="1" w:anchor="bm109">
        <w:r>
          <w:rPr>
            <w:b w:val="false"/>
            <w:bCs w:val="false"/>
            <w:color w:val="333333"/>
            <w:sz w:val="19"/>
            <w:szCs w:val="19"/>
          </w:rPr>
          <w:t xml:space="preserve">12.3 三情景的完整叙事</w:t>
        </w:r>
      </w:hyperlink>
    </w:p>
    <w:p>
      <w:pPr>
        <w:spacing w:after="20" w:before="0"/>
        <w:ind w:left="420"/>
      </w:pPr>
      <w:hyperlink w:history="1" w:anchor="bm110">
        <w:r>
          <w:rPr>
            <w:b w:val="false"/>
            <w:bCs w:val="false"/>
            <w:color w:val="333333"/>
            <w:sz w:val="19"/>
            <w:szCs w:val="19"/>
          </w:rPr>
          <w:t xml:space="preserve">12.4 敏感性：哪个变量最影响结局</w:t>
        </w:r>
      </w:hyperlink>
    </w:p>
    <w:p>
      <w:pPr>
        <w:spacing w:after="20" w:before="0"/>
        <w:ind w:left="420"/>
      </w:pPr>
      <w:hyperlink w:history="1" w:anchor="bm111">
        <w:r>
          <w:rPr>
            <w:b w:val="false"/>
            <w:bCs w:val="false"/>
            <w:color w:val="333333"/>
            <w:sz w:val="19"/>
            <w:szCs w:val="19"/>
          </w:rPr>
          <w:t xml:space="preserve">12.5 前置指标与触发事件（用于动态修正判断）</w:t>
        </w:r>
      </w:hyperlink>
    </w:p>
    <w:p>
      <w:pPr>
        <w:spacing w:after="20" w:before="0"/>
        <w:ind w:left="420"/>
      </w:pPr>
      <w:hyperlink w:history="1" w:anchor="bm112">
        <w:r>
          <w:rPr>
            <w:b w:val="false"/>
            <w:bCs w:val="false"/>
            <w:color w:val="333333"/>
            <w:sz w:val="19"/>
            <w:szCs w:val="19"/>
          </w:rPr>
          <w:t xml:space="preserve">12.6 不强行量化的部分</w:t>
        </w:r>
      </w:hyperlink>
    </w:p>
    <w:p>
      <w:pPr>
        <w:spacing w:after="60" w:before="100"/>
        <w:ind w:left="0"/>
      </w:pPr>
      <w:hyperlink w:history="1" w:anchor="bm113">
        <w:r>
          <w:rPr>
            <w:b/>
            <w:bCs/>
            <w:color w:val="1F3864"/>
            <w:sz w:val="21"/>
            <w:szCs w:val="21"/>
          </w:rPr>
          <w:t xml:space="preserve">第十三篇　投资机会地图与行业投资策略</w:t>
        </w:r>
      </w:hyperlink>
    </w:p>
    <w:p>
      <w:pPr>
        <w:spacing w:after="20" w:before="0"/>
        <w:ind w:left="420"/>
      </w:pPr>
      <w:hyperlink w:history="1" w:anchor="bm114">
        <w:r>
          <w:rPr>
            <w:b w:val="false"/>
            <w:bCs w:val="false"/>
            <w:color w:val="333333"/>
            <w:sz w:val="19"/>
            <w:szCs w:val="19"/>
          </w:rPr>
          <w:t xml:space="preserve">13.1 四维投资机会矩阵</w:t>
        </w:r>
      </w:hyperlink>
    </w:p>
    <w:p>
      <w:pPr>
        <w:spacing w:after="20" w:before="0"/>
        <w:ind w:left="420"/>
      </w:pPr>
      <w:hyperlink w:history="1" w:anchor="bm115">
        <w:r>
          <w:rPr>
            <w:b w:val="false"/>
            <w:bCs w:val="false"/>
            <w:color w:val="333333"/>
            <w:sz w:val="19"/>
            <w:szCs w:val="19"/>
          </w:rPr>
          <w:t xml:space="preserve">13.2 投资机会优先级矩阵</w:t>
        </w:r>
      </w:hyperlink>
    </w:p>
    <w:p>
      <w:pPr>
        <w:spacing w:after="20" w:before="0"/>
        <w:ind w:left="420"/>
      </w:pPr>
      <w:hyperlink w:history="1" w:anchor="bm116">
        <w:r>
          <w:rPr>
            <w:b w:val="false"/>
            <w:bCs w:val="false"/>
            <w:color w:val="333333"/>
            <w:sz w:val="19"/>
            <w:szCs w:val="19"/>
          </w:rPr>
          <w:t xml:space="preserve">13.3 逐一回答十个投资问题</w:t>
        </w:r>
      </w:hyperlink>
    </w:p>
    <w:p>
      <w:pPr>
        <w:spacing w:after="20" w:before="0"/>
        <w:ind w:left="420"/>
      </w:pPr>
      <w:hyperlink w:history="1" w:anchor="bm117">
        <w:r>
          <w:rPr>
            <w:b w:val="false"/>
            <w:bCs w:val="false"/>
            <w:color w:val="333333"/>
            <w:sz w:val="19"/>
            <w:szCs w:val="19"/>
          </w:rPr>
          <w:t xml:space="preserve">13.4 项目筛选评分体系（分赛道权重）</w:t>
        </w:r>
      </w:hyperlink>
    </w:p>
    <w:p>
      <w:pPr>
        <w:spacing w:after="20" w:before="0"/>
        <w:ind w:left="420"/>
      </w:pPr>
      <w:hyperlink w:history="1" w:anchor="bm118">
        <w:r>
          <w:rPr>
            <w:b w:val="false"/>
            <w:bCs w:val="false"/>
            <w:color w:val="333333"/>
            <w:sz w:val="19"/>
            <w:szCs w:val="19"/>
          </w:rPr>
          <w:t xml:space="preserve">13.5 投资组合构建建议</w:t>
        </w:r>
      </w:hyperlink>
    </w:p>
    <w:p>
      <w:pPr>
        <w:spacing w:after="20" w:before="0"/>
        <w:ind w:left="420"/>
      </w:pPr>
      <w:hyperlink w:history="1" w:anchor="bm119">
        <w:r>
          <w:rPr>
            <w:b w:val="false"/>
            <w:bCs w:val="false"/>
            <w:color w:val="333333"/>
            <w:sz w:val="19"/>
            <w:szCs w:val="19"/>
          </w:rPr>
          <w:t xml:space="preserve">13.6 反证检查</w:t>
        </w:r>
      </w:hyperlink>
    </w:p>
    <w:p>
      <w:pPr>
        <w:spacing w:after="60" w:before="100"/>
        <w:ind w:left="0"/>
      </w:pPr>
      <w:hyperlink w:history="1" w:anchor="bm120">
        <w:r>
          <w:rPr>
            <w:b/>
            <w:bCs/>
            <w:color w:val="1F3864"/>
            <w:sz w:val="21"/>
            <w:szCs w:val="21"/>
          </w:rPr>
          <w:t xml:space="preserve">第十四篇　企业估值、资金效率与投资回报模型</w:t>
        </w:r>
      </w:hyperlink>
    </w:p>
    <w:p>
      <w:pPr>
        <w:spacing w:after="20" w:before="0"/>
        <w:ind w:left="420"/>
      </w:pPr>
      <w:hyperlink w:history="1" w:anchor="bm121">
        <w:r>
          <w:rPr>
            <w:b w:val="false"/>
            <w:bCs w:val="false"/>
            <w:color w:val="333333"/>
            <w:sz w:val="19"/>
            <w:szCs w:val="19"/>
          </w:rPr>
          <w:t xml:space="preserve">14.1 估值方法的适用性</w:t>
        </w:r>
      </w:hyperlink>
    </w:p>
    <w:p>
      <w:pPr>
        <w:spacing w:after="20" w:before="0"/>
        <w:ind w:left="420"/>
      </w:pPr>
      <w:hyperlink w:history="1" w:anchor="bm122">
        <w:r>
          <w:rPr>
            <w:b w:val="false"/>
            <w:bCs w:val="false"/>
            <w:color w:val="333333"/>
            <w:sz w:val="19"/>
            <w:szCs w:val="19"/>
          </w:rPr>
          <w:t xml:space="preserve">14.2 收入质量分层：同样一元收入，价值不同</w:t>
        </w:r>
      </w:hyperlink>
    </w:p>
    <w:p>
      <w:pPr>
        <w:spacing w:after="20" w:before="0"/>
        <w:ind w:left="420"/>
      </w:pPr>
      <w:hyperlink w:history="1" w:anchor="bm123">
        <w:r>
          <w:rPr>
            <w:b w:val="false"/>
            <w:bCs w:val="false"/>
            <w:color w:val="333333"/>
            <w:sz w:val="19"/>
            <w:szCs w:val="19"/>
          </w:rPr>
          <w:t xml:space="preserve">14.3 三类典型项目的假设投资模型</w:t>
        </w:r>
      </w:hyperlink>
    </w:p>
    <w:p>
      <w:pPr>
        <w:spacing w:after="20" w:before="0"/>
        <w:ind w:left="420"/>
      </w:pPr>
      <w:hyperlink w:history="1" w:anchor="bm124">
        <w:r>
          <w:rPr>
            <w:b w:val="false"/>
            <w:bCs w:val="false"/>
            <w:color w:val="333333"/>
            <w:sz w:val="19"/>
            <w:szCs w:val="19"/>
          </w:rPr>
          <w:t xml:space="preserve">14.4 资金效率指标</w:t>
        </w:r>
      </w:hyperlink>
    </w:p>
    <w:p>
      <w:pPr>
        <w:spacing w:after="20" w:before="0"/>
        <w:ind w:left="420"/>
      </w:pPr>
      <w:hyperlink w:history="1" w:anchor="bm125">
        <w:r>
          <w:rPr>
            <w:b w:val="false"/>
            <w:bCs w:val="false"/>
            <w:color w:val="333333"/>
            <w:sz w:val="19"/>
            <w:szCs w:val="19"/>
          </w:rPr>
          <w:t xml:space="preserve">14.5 公开可比的估值横截面</w:t>
        </w:r>
      </w:hyperlink>
    </w:p>
    <w:p>
      <w:pPr>
        <w:spacing w:after="20" w:before="0"/>
        <w:ind w:left="420"/>
      </w:pPr>
      <w:hyperlink w:history="1" w:anchor="bm126">
        <w:r>
          <w:rPr>
            <w:b w:val="false"/>
            <w:bCs w:val="false"/>
            <w:color w:val="333333"/>
            <w:sz w:val="19"/>
            <w:szCs w:val="19"/>
          </w:rPr>
          <w:t xml:space="preserve">14.6 反证检查</w:t>
        </w:r>
      </w:hyperlink>
    </w:p>
    <w:p>
      <w:pPr>
        <w:spacing w:after="60" w:before="100"/>
        <w:ind w:left="0"/>
      </w:pPr>
      <w:hyperlink w:history="1" w:anchor="bm127">
        <w:r>
          <w:rPr>
            <w:b/>
            <w:bCs/>
            <w:color w:val="1F3864"/>
            <w:sz w:val="21"/>
            <w:szCs w:val="21"/>
          </w:rPr>
          <w:t xml:space="preserve">第十五篇　尽职调查方法论与重大风险识别</w:t>
        </w:r>
      </w:hyperlink>
    </w:p>
    <w:p>
      <w:pPr>
        <w:spacing w:after="20" w:before="0"/>
        <w:ind w:left="420"/>
      </w:pPr>
      <w:hyperlink w:history="1" w:anchor="bm128">
        <w:r>
          <w:rPr>
            <w:b w:val="false"/>
            <w:bCs w:val="false"/>
            <w:color w:val="333333"/>
            <w:sz w:val="19"/>
            <w:szCs w:val="19"/>
          </w:rPr>
          <w:t xml:space="preserve">15.1 尽调流程：五步法</w:t>
        </w:r>
      </w:hyperlink>
    </w:p>
    <w:p>
      <w:pPr>
        <w:spacing w:after="20" w:before="0"/>
        <w:ind w:left="420"/>
      </w:pPr>
      <w:hyperlink w:history="1" w:anchor="bm129">
        <w:r>
          <w:rPr>
            <w:b w:val="false"/>
            <w:bCs w:val="false"/>
            <w:color w:val="333333"/>
            <w:sz w:val="19"/>
            <w:szCs w:val="19"/>
          </w:rPr>
          <w:t xml:space="preserve">15.2 订单瀑布表：识别订单水分的核心工具</w:t>
        </w:r>
      </w:hyperlink>
    </w:p>
    <w:p>
      <w:pPr>
        <w:spacing w:after="20" w:before="0"/>
        <w:ind w:left="420"/>
      </w:pPr>
      <w:hyperlink w:history="1" w:anchor="bm130">
        <w:r>
          <w:rPr>
            <w:b w:val="false"/>
            <w:bCs w:val="false"/>
            <w:color w:val="333333"/>
            <w:sz w:val="19"/>
            <w:szCs w:val="19"/>
          </w:rPr>
          <w:t xml:space="preserve">15.3 十类重大风险及识别方法</w:t>
        </w:r>
      </w:hyperlink>
    </w:p>
    <w:p>
      <w:pPr>
        <w:spacing w:after="20" w:before="0"/>
        <w:ind w:left="420"/>
      </w:pPr>
      <w:hyperlink w:history="1" w:anchor="bm131">
        <w:r>
          <w:rPr>
            <w:b w:val="false"/>
            <w:bCs w:val="false"/>
            <w:color w:val="333333"/>
            <w:sz w:val="19"/>
            <w:szCs w:val="19"/>
          </w:rPr>
          <w:t xml:space="preserve">15.4 关键尽调问题（★ 问题完整展开）</w:t>
        </w:r>
      </w:hyperlink>
    </w:p>
    <w:p>
      <w:pPr>
        <w:spacing w:after="20" w:before="0"/>
        <w:ind w:left="420"/>
      </w:pPr>
      <w:hyperlink w:history="1" w:anchor="bm132">
        <w:r>
          <w:rPr>
            <w:b w:val="false"/>
            <w:bCs w:val="false"/>
            <w:color w:val="333333"/>
            <w:sz w:val="19"/>
            <w:szCs w:val="19"/>
          </w:rPr>
          <w:t xml:space="preserve">15.5 访谈技巧：与创始人、专家、客户对话</w:t>
        </w:r>
      </w:hyperlink>
    </w:p>
    <w:p>
      <w:pPr>
        <w:spacing w:after="20" w:before="0"/>
        <w:ind w:left="420"/>
      </w:pPr>
      <w:hyperlink w:history="1" w:anchor="bm133">
        <w:r>
          <w:rPr>
            <w:b w:val="false"/>
            <w:bCs w:val="false"/>
            <w:color w:val="333333"/>
            <w:sz w:val="19"/>
            <w:szCs w:val="19"/>
          </w:rPr>
          <w:t xml:space="preserve">15.6 投委会材料模板（简版）</w:t>
        </w:r>
      </w:hyperlink>
    </w:p>
    <w:p>
      <w:pPr>
        <w:spacing w:after="60" w:before="100"/>
        <w:ind w:left="0"/>
      </w:pPr>
      <w:hyperlink w:history="1" w:anchor="bm134">
        <w:r>
          <w:rPr>
            <w:b/>
            <w:bCs/>
            <w:color w:val="1F3864"/>
            <w:sz w:val="21"/>
            <w:szCs w:val="21"/>
          </w:rPr>
          <w:t xml:space="preserve">第十六篇　综合判断：建立自己的具身智能投资认知体系</w:t>
        </w:r>
      </w:hyperlink>
    </w:p>
    <w:p>
      <w:pPr>
        <w:spacing w:after="20" w:before="0"/>
        <w:ind w:left="420"/>
      </w:pPr>
      <w:hyperlink w:history="1" w:anchor="bm135">
        <w:r>
          <w:rPr>
            <w:b w:val="false"/>
            <w:bCs w:val="false"/>
            <w:color w:val="333333"/>
            <w:sz w:val="19"/>
            <w:szCs w:val="19"/>
          </w:rPr>
          <w:t xml:space="preserve">16.1 26 条可验证的投资命题</w:t>
        </w:r>
      </w:hyperlink>
    </w:p>
    <w:p>
      <w:pPr>
        <w:spacing w:after="20" w:before="0"/>
        <w:ind w:left="420"/>
      </w:pPr>
      <w:hyperlink w:history="1" w:anchor="bm136">
        <w:r>
          <w:rPr>
            <w:b w:val="false"/>
            <w:bCs w:val="false"/>
            <w:color w:val="333333"/>
            <w:sz w:val="19"/>
            <w:szCs w:val="19"/>
          </w:rPr>
          <w:t xml:space="preserve">16.2 最终回答：如果今天重建一支专注中国具身智能的 VC 团队</w:t>
        </w:r>
      </w:hyperlink>
    </w:p>
    <w:p>
      <w:pPr>
        <w:spacing w:after="60" w:before="100"/>
        <w:ind w:left="0"/>
      </w:pPr>
      <w:hyperlink w:history="1" w:anchor="bm137">
        <w:r>
          <w:rPr>
            <w:b/>
            <w:bCs/>
            <w:color w:val="1F3864"/>
            <w:sz w:val="21"/>
            <w:szCs w:val="21"/>
          </w:rPr>
          <w:t xml:space="preserve">第十七篇　投委会逆向审查：最强反对意见与回应</w:t>
        </w:r>
      </w:hyperlink>
    </w:p>
    <w:p>
      <w:pPr>
        <w:spacing w:after="20" w:before="0"/>
        <w:ind w:left="420"/>
      </w:pPr>
      <w:hyperlink w:history="1" w:anchor="bm138">
        <w:r>
          <w:rPr>
            <w:b w:val="false"/>
            <w:bCs w:val="false"/>
            <w:color w:val="333333"/>
            <w:sz w:val="19"/>
            <w:szCs w:val="19"/>
          </w:rPr>
          <w:t xml:space="preserve">17.1 来自"怀疑派"的攻击：报告还不够悲观</w:t>
        </w:r>
      </w:hyperlink>
    </w:p>
    <w:p>
      <w:pPr>
        <w:spacing w:after="20" w:before="0"/>
        <w:ind w:left="420"/>
      </w:pPr>
      <w:hyperlink w:history="1" w:anchor="bm139">
        <w:r>
          <w:rPr>
            <w:b w:val="false"/>
            <w:bCs w:val="false"/>
            <w:color w:val="333333"/>
            <w:sz w:val="19"/>
            <w:szCs w:val="19"/>
          </w:rPr>
          <w:t xml:space="preserve">17.2 来自"乐观派"的攻击：报告过于悲观</w:t>
        </w:r>
      </w:hyperlink>
    </w:p>
    <w:p>
      <w:pPr>
        <w:spacing w:after="20" w:before="0"/>
        <w:ind w:left="420"/>
      </w:pPr>
      <w:hyperlink w:history="1" w:anchor="bm140">
        <w:r>
          <w:rPr>
            <w:b w:val="false"/>
            <w:bCs w:val="false"/>
            <w:color w:val="333333"/>
            <w:sz w:val="19"/>
            <w:szCs w:val="19"/>
          </w:rPr>
          <w:t xml:space="preserve">17.3 方法论层面的攻击</w:t>
        </w:r>
      </w:hyperlink>
    </w:p>
    <w:p>
      <w:pPr>
        <w:spacing w:after="20" w:before="0"/>
        <w:ind w:left="420"/>
      </w:pPr>
      <w:hyperlink w:history="1" w:anchor="bm141">
        <w:r>
          <w:rPr>
            <w:b w:val="false"/>
            <w:bCs w:val="false"/>
            <w:color w:val="333333"/>
            <w:sz w:val="19"/>
            <w:szCs w:val="19"/>
          </w:rPr>
          <w:t xml:space="preserve">17.4 审查后仍然保留的核心判断（高置信度）</w:t>
        </w:r>
      </w:hyperlink>
    </w:p>
    <w:p>
      <w:pPr>
        <w:spacing w:after="20" w:before="0"/>
        <w:ind w:left="420"/>
      </w:pPr>
      <w:hyperlink w:history="1" w:anchor="bm142">
        <w:r>
          <w:rPr>
            <w:b w:val="false"/>
            <w:bCs w:val="false"/>
            <w:color w:val="333333"/>
            <w:sz w:val="19"/>
            <w:szCs w:val="19"/>
          </w:rPr>
          <w:t xml:space="preserve">17.5 未核实事项清单及其对判断的影响</w:t>
        </w:r>
      </w:hyperlink>
    </w:p>
    <w:p>
      <w:pPr>
        <w:spacing w:after="60" w:before="100"/>
        <w:ind w:left="0"/>
      </w:pPr>
      <w:hyperlink w:history="1" w:anchor="bm143">
        <w:r>
          <w:rPr>
            <w:b/>
            <w:bCs/>
            <w:color w:val="1F3864"/>
            <w:sz w:val="21"/>
            <w:szCs w:val="21"/>
          </w:rPr>
          <w:t xml:space="preserve">附录</w:t>
        </w:r>
      </w:hyperlink>
    </w:p>
    <w:p>
      <w:pPr>
        <w:spacing w:after="20" w:before="0"/>
        <w:ind w:left="420"/>
      </w:pPr>
      <w:hyperlink w:history="1" w:anchor="bm144">
        <w:r>
          <w:rPr>
            <w:b w:val="false"/>
            <w:bCs w:val="false"/>
            <w:color w:val="333333"/>
            <w:sz w:val="19"/>
            <w:szCs w:val="19"/>
          </w:rPr>
          <w:t xml:space="preserve">附录 1　全球及中国具身智能产业链企业图谱（64 家）</w:t>
        </w:r>
      </w:hyperlink>
    </w:p>
    <w:p>
      <w:pPr>
        <w:spacing w:after="20" w:before="0"/>
        <w:ind w:left="420"/>
      </w:pPr>
      <w:hyperlink w:history="1" w:anchor="bm145">
        <w:r>
          <w:rPr>
            <w:b w:val="false"/>
            <w:bCs w:val="false"/>
            <w:color w:val="333333"/>
            <w:sz w:val="19"/>
            <w:szCs w:val="19"/>
          </w:rPr>
          <w:t xml:space="preserve">附录 2　代表企业核心指标对比矩阵</w:t>
        </w:r>
      </w:hyperlink>
    </w:p>
    <w:p>
      <w:pPr>
        <w:spacing w:after="20" w:before="0"/>
        <w:ind w:left="420"/>
      </w:pPr>
      <w:hyperlink w:history="1" w:anchor="bm146">
        <w:r>
          <w:rPr>
            <w:b w:val="false"/>
            <w:bCs w:val="false"/>
            <w:color w:val="333333"/>
            <w:sz w:val="19"/>
            <w:szCs w:val="19"/>
          </w:rPr>
          <w:t xml:space="preserve">附录 3　核心硬件与软件技术成熟度矩阵</w:t>
        </w:r>
      </w:hyperlink>
    </w:p>
    <w:p>
      <w:pPr>
        <w:spacing w:after="20" w:before="0"/>
        <w:ind w:left="420"/>
      </w:pPr>
      <w:hyperlink w:history="1" w:anchor="bm147">
        <w:r>
          <w:rPr>
            <w:b w:val="false"/>
            <w:bCs w:val="false"/>
            <w:color w:val="333333"/>
            <w:sz w:val="19"/>
            <w:szCs w:val="19"/>
          </w:rPr>
          <w:t xml:space="preserve">附录 4　下游场景商业化与 ROI 比较</w:t>
        </w:r>
      </w:hyperlink>
    </w:p>
    <w:p>
      <w:pPr>
        <w:spacing w:after="20" w:before="0"/>
        <w:ind w:left="420"/>
      </w:pPr>
      <w:hyperlink w:history="1" w:anchor="bm148">
        <w:r>
          <w:rPr>
            <w:b w:val="false"/>
            <w:bCs w:val="false"/>
            <w:color w:val="333333"/>
            <w:sz w:val="19"/>
            <w:szCs w:val="19"/>
          </w:rPr>
          <w:t xml:space="preserve">附录 5　2022–2026 年投融资事件及趋势数据</w:t>
        </w:r>
      </w:hyperlink>
    </w:p>
    <w:p>
      <w:pPr>
        <w:spacing w:after="20" w:before="0"/>
        <w:ind w:left="420"/>
      </w:pPr>
      <w:hyperlink w:history="1" w:anchor="bm149">
        <w:r>
          <w:rPr>
            <w:b w:val="false"/>
            <w:bCs w:val="false"/>
            <w:color w:val="333333"/>
            <w:sz w:val="19"/>
            <w:szCs w:val="19"/>
          </w:rPr>
          <w:t xml:space="preserve">附录 6　未来投资机会优先级矩阵</w:t>
        </w:r>
      </w:hyperlink>
    </w:p>
    <w:p>
      <w:pPr>
        <w:spacing w:after="20" w:before="0"/>
        <w:ind w:left="420"/>
      </w:pPr>
      <w:hyperlink w:history="1" w:anchor="bm150">
        <w:r>
          <w:rPr>
            <w:b w:val="false"/>
            <w:bCs w:val="false"/>
            <w:color w:val="333333"/>
            <w:sz w:val="19"/>
            <w:szCs w:val="19"/>
          </w:rPr>
          <w:t xml:space="preserve">附录 7　关键产业判断及反证清单</w:t>
        </w:r>
      </w:hyperlink>
    </w:p>
    <w:p>
      <w:pPr>
        <w:spacing w:after="20" w:before="0"/>
        <w:ind w:left="420"/>
      </w:pPr>
      <w:hyperlink w:history="1" w:anchor="bm151">
        <w:r>
          <w:rPr>
            <w:b w:val="false"/>
            <w:bCs w:val="false"/>
            <w:color w:val="333333"/>
            <w:sz w:val="19"/>
            <w:szCs w:val="19"/>
          </w:rPr>
          <w:t xml:space="preserve">附录 8　企业尽调问题库（89 题）</w:t>
        </w:r>
      </w:hyperlink>
    </w:p>
    <w:p>
      <w:pPr>
        <w:spacing w:after="20" w:before="0"/>
        <w:ind w:left="420"/>
      </w:pPr>
      <w:hyperlink w:history="1" w:anchor="bm152">
        <w:r>
          <w:rPr>
            <w:b w:val="false"/>
            <w:bCs w:val="false"/>
            <w:color w:val="333333"/>
            <w:sz w:val="19"/>
            <w:szCs w:val="19"/>
          </w:rPr>
          <w:t xml:space="preserve">附录 9　资料来源、引用链接、数据口径与证据等级索引</w:t>
        </w:r>
      </w:hyperlink>
    </w:p>
    <w:p>
      <w:pPr>
        <w:spacing w:after="20" w:before="0"/>
        <w:ind w:left="420"/>
      </w:pPr>
      <w:hyperlink w:history="1" w:anchor="bm153">
        <w:r>
          <w:rPr>
            <w:b w:val="false"/>
            <w:bCs w:val="false"/>
            <w:color w:val="333333"/>
            <w:sz w:val="19"/>
            <w:szCs w:val="19"/>
          </w:rPr>
          <w:t xml:space="preserve">附录 10　模型参数与复算说明</w:t>
        </w:r>
      </w:hyperlink>
    </w:p>
    <w:p>
      <w:pPr>
        <w:pStyle w:val="Heading1"/>
        <w:pageBreakBefore/>
      </w:pPr>
      <w:bookmarkStart w:name="bm1" w:id="1001"/>
      <w:r>
        <w:t xml:space="preserve">报告说明</w:t>
      </w:r>
      <w:bookmarkEnd w:id="1001"/>
    </w:p>
    <w:p>
      <w:pPr>
        <w:spacing w:after="120" w:line="324" w:lineRule="auto"/>
        <w:jc w:val="both"/>
      </w:pPr>
      <w:r>
        <w:rPr>
          <w:b/>
          <w:bCs/>
        </w:rPr>
        <w:t xml:space="preserve">研究对象</w:t>
      </w:r>
      <w:r>
        <w:t xml:space="preserve">：具身智能全产业链，涵盖人形机器人、通用移动操作机器人、机器人基础模型及其上下游。</w:t>
      </w:r>
      <w:r>
        <w:rPr>
          <w:b/>
          <w:bCs/>
        </w:rPr>
        <w:t xml:space="preserve">信息截止</w:t>
      </w:r>
      <w:r>
        <w:t xml:space="preserve">：2026 年 10 月 21 日。少数关键事件更新至 10 月 30 日，均注明日期，例如特斯拉 2026Q3 财报会、GXO 扩大部署。</w:t>
      </w:r>
      <w:r>
        <w:rPr>
          <w:b/>
          <w:bCs/>
        </w:rPr>
        <w:t xml:space="preserve">定位</w:t>
      </w:r>
      <w:r>
        <w:t xml:space="preserve">：这份报告服务于中国一级市场的投资决策，研究资源向产业、客户、竞争、资本和估值倾斜。技术只在影响产业判断时深入展开。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证据等级</w:t>
      </w:r>
      <w:r>
        <w:t xml:space="preserve">（全文以〔A〕〔B〕〔C〕〔D〕标注，并附来源编号 S01–S80，详见附录 9）：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〔A〕可核验的一手资料，或经过高质量独立验证的信息：交易所公告、政府文件、企业正式公告、IFR/统计局数据。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〔B〕可靠的二手来源，并有交叉佐证：主流财经媒体对财报、招股书的解读，以及第三方研究机构数据的转引。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〔C〕企业单方披露、单一来源或匿名信源。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〔D〕本报告的研究假设、推断或情景预测。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成熟度五级</w:t>
      </w:r>
      <w:r>
        <w:t xml:space="preserve">（沿用委托书定义）：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L1：实验室论文与单场景演示。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L2：受控条件下的持续运行。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L3：真实客户现场试点。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L4：可重复、可付费的商业部署。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L5：可规模化复制的成熟产品。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口径纪律</w:t>
      </w:r>
      <w:r>
        <w:t xml:space="preserve">：下面几组概念在文中严格区分。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出货、销量、交付、部署、有效运行。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意向订单、框架协议、正式合同、确认收入、回款。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融资宣布、交割到账。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估值、市值。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产量、出货。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研究局限</w:t>
      </w:r>
      <w:r>
        <w:t xml:space="preserve">：本研究环境的网络访问受白名单限制，多数网页无法直接打开原文，核验主要依靠检索引擎返回的原文摘录和多源比对。凡未能逐字核对的数字，都已降级标注。所有估值、TCO 和回报模型的参数都属示例性研究假设〔D〕，不代表任何企业的真实财务信息。本报告不构成投资建议。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配套交付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数据底表：</w:t>
      </w:r>
      <w:r>
        <w:rPr>
          <w:rFonts w:ascii="Consolas" w:cs="Consolas" w:eastAsia="SimSun" w:hAnsi="Consolas"/>
          <w:color w:val="8A3B12"/>
        </w:rPr>
        <w:t xml:space="preserve">data/具身智能投资研究_数据底表_2026-10.xlsx</w:t>
      </w:r>
      <w:r>
        <w:t xml:space="preserve">，共 17 张表，每张另附 CSV。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模型代码：</w:t>
      </w:r>
      <w:r>
        <w:rPr>
          <w:rFonts w:ascii="Consolas" w:cs="Consolas" w:eastAsia="SimSun" w:hAnsi="Consolas"/>
          <w:color w:val="8A3B12"/>
        </w:rPr>
        <w:t xml:space="preserve">scripts/models.py</w:t>
      </w:r>
      <w:r>
        <w:t xml:space="preserve">，可复算本报告全部模型数值。</w:t>
      </w:r>
    </w:p>
    <w:p>
      <w:pPr>
        <w:pStyle w:val="Heading1"/>
        <w:pageBreakBefore/>
      </w:pPr>
      <w:bookmarkStart w:name="bm2" w:id="1002"/>
      <w:r>
        <w:t xml:space="preserve">投资决策摘要</w:t>
      </w:r>
      <w:bookmarkEnd w:id="1002"/>
    </w:p>
    <w:p>
      <w:pPr>
        <w:pStyle w:val="Heading2"/>
      </w:pPr>
      <w:bookmarkStart w:name="bm3" w:id="1003"/>
      <w:r>
        <w:t xml:space="preserve">一句话结论</w:t>
      </w:r>
      <w:bookmarkEnd w:id="1003"/>
    </w:p>
    <w:p>
      <w:pPr>
        <w:spacing w:after="120" w:line="324" w:lineRule="auto"/>
        <w:jc w:val="both"/>
      </w:pPr>
      <w:r>
        <w:t xml:space="preserve">具身智能正处在一个错配期：技术能力在快速进步，资本极度充裕，但真实的生产性需求还没有形成。从 2026 年下半年起，整机赛道正由"资本扩张期"转入"商业验证期"。今后三年，这个行业的回报将由</w:t>
      </w:r>
      <w:r>
        <w:rPr>
          <w:b/>
          <w:bCs/>
        </w:rPr>
        <w:t xml:space="preserve">收入质量</w:t>
      </w:r>
      <w:r>
        <w:t xml:space="preserve">定价，而不是由</w:t>
      </w:r>
      <w:r>
        <w:rPr>
          <w:b/>
          <w:bCs/>
        </w:rPr>
        <w:t xml:space="preserve">技术叙事</w:t>
      </w:r>
      <w:r>
        <w:t xml:space="preserve">定价。最好的机会不在"再投一家通用人形公司"，而在三类资产：</w:t>
      </w:r>
    </w:p>
    <w:p>
      <w:pPr>
        <w:spacing w:after="60" w:line="312" w:lineRule="auto"/>
        <w:ind w:left="420" w:hanging="300"/>
      </w:pPr>
      <w:r>
        <w:t xml:space="preserve">1. 估值重置后的头部平台，以结构化条款进入；</w:t>
      </w:r>
    </w:p>
    <w:p>
      <w:pPr>
        <w:spacing w:after="60" w:line="312" w:lineRule="auto"/>
        <w:ind w:left="420" w:hanging="300"/>
      </w:pPr>
      <w:r>
        <w:t xml:space="preserve">2. 有工艺壁垒的精密部件和工具链，也就是"卖铲子"；</w:t>
      </w:r>
    </w:p>
    <w:p>
      <w:pPr>
        <w:spacing w:after="60" w:line="312" w:lineRule="auto"/>
        <w:ind w:left="420" w:hanging="300"/>
      </w:pPr>
      <w:r>
        <w:t xml:space="preserve">3. 已经跑通任务闭环的场景型公司，而且不拘泥于人形形态。</w:t>
      </w:r>
    </w:p>
    <w:p>
      <w:pPr>
        <w:pStyle w:val="Heading2"/>
      </w:pPr>
      <w:bookmarkStart w:name="bm4" w:id="1004"/>
      <w:r>
        <w:t xml:space="preserve">十个必须知道的事实</w:t>
      </w:r>
      <w:bookmarkEnd w:id="1004"/>
    </w:p>
    <w:p>
      <w:pPr>
        <w:spacing w:after="60" w:line="312" w:lineRule="auto"/>
        <w:ind w:left="420" w:hanging="300"/>
      </w:pPr>
      <w:r>
        <w:t xml:space="preserve">1. </w:t>
      </w:r>
      <w:r>
        <w:rPr>
          <w:b/>
          <w:bCs/>
        </w:rPr>
        <w:t xml:space="preserve">产业规模仍然很小</w:t>
      </w:r>
      <w:r>
        <w:t xml:space="preserve">。2025 年全球人形机器人出货约 1.8 万台，销售额约 4.4 亿美元〔B，S13〕。2026 年上半年出货超过 2.2 万台，前五名都是中国厂商，合计占 86%〔B，S14〕。工信部口径下，中国 2025 年人形产量约 2 万台，2026 年上半年超过 4 万台〔B，S19〕。</w:t>
      </w:r>
      <w:r>
        <w:rPr>
          <w:b/>
          <w:bCs/>
        </w:rPr>
        <w:t xml:space="preserve">产量明显高于出货</w:t>
      </w:r>
      <w:r>
        <w:t xml:space="preserve">，这本身就是需要追踪的风险信号。</w:t>
      </w:r>
    </w:p>
    <w:p>
      <w:pPr>
        <w:spacing w:after="60" w:line="312" w:lineRule="auto"/>
        <w:ind w:left="420" w:hanging="300"/>
      </w:pPr>
      <w:r>
        <w:t xml:space="preserve">2. </w:t>
      </w:r>
      <w:r>
        <w:rPr>
          <w:b/>
          <w:bCs/>
        </w:rPr>
        <w:t xml:space="preserve">买家主要不是工厂</w:t>
      </w:r>
      <w:r>
        <w:t xml:space="preserve">。2025 年超过八成出货流向文娱和科研〔C，S56〕。2026 年上半年国内公开中标金额中，教育科研占 55.5%，政府及国资平台占 20.6%，工业企业只占 21.1%〔C，S56〕。</w:t>
      </w:r>
    </w:p>
    <w:p>
      <w:pPr>
        <w:spacing w:after="60" w:line="312" w:lineRule="auto"/>
        <w:ind w:left="420" w:hanging="300"/>
      </w:pPr>
      <w:r>
        <w:t xml:space="preserve">3. </w:t>
      </w:r>
      <w:r>
        <w:rPr>
          <w:b/>
          <w:bCs/>
        </w:rPr>
        <w:t xml:space="preserve">资本远远跑在收入前面</w:t>
      </w:r>
      <w:r>
        <w:t xml:space="preserve">。中国具身智能融资额在 2025 年约为 329–554 亿元（因统计口径而异），仅 2026 年上半年就达到 935 亿元〔B，S23/S25〕。半年的融资额大约是全球人形年销售额的 </w:t>
      </w:r>
      <w:r>
        <w:rPr>
          <w:b/>
          <w:bCs/>
        </w:rPr>
        <w:t xml:space="preserve">30 倍</w:t>
      </w:r>
      <w:r>
        <w:t xml:space="preserve">（见图 1）。</w:t>
      </w:r>
    </w:p>
    <w:p>
      <w:pPr>
        <w:spacing w:after="60" w:line="312" w:lineRule="auto"/>
        <w:ind w:left="420" w:hanging="300"/>
      </w:pPr>
      <w:r>
        <w:t xml:space="preserve">4. </w:t>
      </w:r>
      <w:r>
        <w:rPr>
          <w:b/>
          <w:bCs/>
        </w:rPr>
        <w:t xml:space="preserve">已经出现盈利样本，但它的需求是"研究工具"</w:t>
      </w:r>
      <w:r>
        <w:t xml:space="preserve">。宇树 2025 年营收 17.08 亿元，主营毛利率约 60%，实现盈利〔B，S01〕。到 2026 年上半年，增速已从 +335% 降到 +48.5%〔B，S07〕。优必选 2025 年营收 20.01 亿元，仍在亏损，大额订单多来自政府的数据采集中心项目〔B，S08/S11〕。</w:t>
      </w:r>
    </w:p>
    <w:p>
      <w:pPr>
        <w:spacing w:after="60" w:line="312" w:lineRule="auto"/>
        <w:ind w:left="420" w:hanging="300"/>
      </w:pPr>
      <w:r>
        <w:t xml:space="preserve">5. </w:t>
      </w:r>
      <w:r>
        <w:rPr>
          <w:b/>
          <w:bCs/>
        </w:rPr>
        <w:t xml:space="preserve">客户侧还没有 ROI</w:t>
      </w:r>
      <w:r>
        <w:t xml:space="preserve">。全球最大的第三方物流商 GXO 完成了 45 次人形试点，CEO 表示"尚未实现 ROI"；它 2026 年计划部署约 2 万台机器人，其中</w:t>
      </w:r>
      <w:r>
        <w:rPr>
          <w:b/>
          <w:bCs/>
        </w:rPr>
        <w:t xml:space="preserve">没有一台是人形</w:t>
      </w:r>
      <w:r>
        <w:t xml:space="preserve">〔B，S36/S37〕。Agility 2025 年收入只有 180 万美元，但手握超过 3 亿美元的里程碑式订单〔B，S35〕。</w:t>
      </w:r>
    </w:p>
    <w:p>
      <w:pPr>
        <w:spacing w:after="60" w:line="312" w:lineRule="auto"/>
        <w:ind w:left="420" w:hanging="300"/>
      </w:pPr>
      <w:r>
        <w:t xml:space="preserve">6. </w:t>
      </w:r>
      <w:r>
        <w:rPr>
          <w:b/>
          <w:bCs/>
        </w:rPr>
        <w:t xml:space="preserve">二级市场完成了第一次价格发现</w:t>
      </w:r>
      <w:r>
        <w:t xml:space="preserve">。宇树以 219 倍发行市盈率上市，首日开盘市值约 4,449 亿元，到 9 月中旬已较开盘高点回撤约 53%〔B，S02/S06〕。据报道，证监会已通过窗口指导提高人形企业的 IPO 门槛〔B，S55〕。智元的港股 IPO 因新一轮融资而暂缓〔C，S16〕。</w:t>
      </w:r>
    </w:p>
    <w:p>
      <w:pPr>
        <w:spacing w:after="60" w:line="312" w:lineRule="auto"/>
        <w:ind w:left="420" w:hanging="300"/>
      </w:pPr>
      <w:r>
        <w:t xml:space="preserve">7. </w:t>
      </w:r>
      <w:r>
        <w:rPr>
          <w:b/>
          <w:bCs/>
        </w:rPr>
        <w:t xml:space="preserve">美国开始分化</w:t>
      </w:r>
      <w:r>
        <w:t xml:space="preserve">。Figure 估值 390 亿美元，收入极少〔B，S32〕。Skild 估值 140 亿美元以上，自称收入运行率超过 1 亿美元〔B/C，S46/S47〕。1X 的洽谈估值从 100 亿美元的目标降到约 60 亿美元〔C，S44〕。</w:t>
      </w:r>
    </w:p>
    <w:p>
      <w:pPr>
        <w:spacing w:after="60" w:line="312" w:lineRule="auto"/>
        <w:ind w:left="420" w:hanging="300"/>
      </w:pPr>
      <w:r>
        <w:t xml:space="preserve">8. </w:t>
      </w:r>
      <w:r>
        <w:rPr>
          <w:b/>
          <w:bCs/>
        </w:rPr>
        <w:t xml:space="preserve">能力瓶颈已经从"走"转到"稳定地做"</w:t>
      </w:r>
      <w:r>
        <w:t xml:space="preserve">。运动控制已经商品化。开放环境下的整任务操作成功率只有 10%–60%，且口径各异〔C〕。宝马的 Figure 02 试点累计 1,250 运行小时，按公开数据推算，平均吞吐大约只有产线节拍需求的一半〔C→D，S33〕。</w:t>
      </w:r>
    </w:p>
    <w:p>
      <w:pPr>
        <w:spacing w:after="60" w:line="312" w:lineRule="auto"/>
        <w:ind w:left="420" w:hanging="300"/>
      </w:pPr>
      <w:r>
        <w:t xml:space="preserve">9. </w:t>
      </w:r>
      <w:r>
        <w:rPr>
          <w:b/>
          <w:bCs/>
        </w:rPr>
        <w:t xml:space="preserve">成本</w:t>
      </w:r>
      <w:r>
        <w:t xml:space="preserve">。本报告 BOM 模型给出的基准估计是：2026 年千台级批量的全尺寸工业人形，单台物料加装配约 </w:t>
      </w:r>
      <w:r>
        <w:rPr>
          <w:b/>
          <w:bCs/>
        </w:rPr>
        <w:t xml:space="preserve">27 万元</w:t>
      </w:r>
      <w:r>
        <w:t xml:space="preserve">，区间 10–54 万元。其中旋转关节、线性关节和灵巧手这"三大件"约占 73%，与券商口径一致〔D/C，S63〕。G1 类小尺寸人形的成本约 3.5 万元，售价 9.9 万元，由此推出的毛利率约 64%，与宇树披露的毛利率相互印证〔D〕。</w:t>
      </w:r>
    </w:p>
    <w:p>
      <w:pPr>
        <w:spacing w:after="60" w:line="312" w:lineRule="auto"/>
        <w:ind w:left="420" w:hanging="300"/>
      </w:pPr>
      <w:r>
        <w:t xml:space="preserve">10. </w:t>
      </w:r>
      <w:r>
        <w:rPr>
          <w:b/>
          <w:bCs/>
        </w:rPr>
        <w:t xml:space="preserve">政策是一把双刃剑</w:t>
      </w:r>
      <w:r>
        <w:t xml:space="preserve">。一方面，国家发改委在 2025 年 11 月提示了"泡沫风险"，指出整机企业已超过 150 家〔A，S21〕。另一方面，工信部和国资委的专项行动要求 2026 年底形成万台级的落地能力〔B，S20〕，万亿级的国家创业投资引导基金也已启动〔A，S22〕。在美国，联邦采购禁令法案和 GUARD Act 正在推进〔B，S72/S73〕。</w:t>
      </w:r>
    </w:p>
    <w:p>
      <w:pPr>
        <w:spacing w:after="40" w:before="120"/>
        <w:jc w:val="center"/>
      </w:pPr>
      <w:r>
        <w:drawing>
          <wp:inline distT="0" distB="0" distL="0" distR="0">
            <wp:extent cx="6000750" cy="3152775"/>
            <wp:effectExtent t="0" r="0" b="0" l="0"/>
            <wp:docPr id="1" name="资本流入远超产业收入" descr="资本流入远超产业收入" title="资本流入远超产业收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14E"/>
          <w:sz w:val="18"/>
          <w:szCs w:val="18"/>
        </w:rPr>
        <w:t xml:space="preserve">图 1　资本流入远超产业收入</w:t>
      </w:r>
    </w:p>
    <w:p>
      <w:pPr>
        <w:pStyle w:val="Heading2"/>
      </w:pPr>
      <w:bookmarkStart w:name="bm5" w:id="1005"/>
      <w:r>
        <w:t xml:space="preserve">五组结构性矛盾</w:t>
      </w:r>
      <w:bookmarkEnd w:id="100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1"/>
        <w:gridCol w:w="2658"/>
        <w:gridCol w:w="2492"/>
        <w:gridCol w:w="2827"/>
      </w:tblGrid>
      <w:tr>
        <w:trPr>
          <w:cantSplit w:val="false"/>
          <w:tblHeader/>
        </w:trPr>
        <w:tc>
          <w:tcPr>
            <w:tcW w:type="dxa" w:w="16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矛盾</w:t>
            </w:r>
          </w:p>
        </w:tc>
        <w:tc>
          <w:tcPr>
            <w:tcW w:type="dxa" w:w="26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现状</w:t>
            </w:r>
          </w:p>
        </w:tc>
        <w:tc>
          <w:tcPr>
            <w:tcW w:type="dxa" w:w="24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决定胜负的变量</w:t>
            </w:r>
          </w:p>
        </w:tc>
        <w:tc>
          <w:tcPr>
            <w:tcW w:type="dxa" w:w="2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投资含义</w:t>
            </w:r>
          </w:p>
        </w:tc>
      </w:tr>
      <w:tr>
        <w:trPr>
          <w:cantSplit w:val="false"/>
          <w:tblHeader w:val="false"/>
        </w:trPr>
        <w:tc>
          <w:tcPr>
            <w:tcW w:type="dxa" w:w="16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资本规模与收入规模</w:t>
            </w:r>
          </w:p>
        </w:tc>
        <w:tc>
          <w:tcPr>
            <w:tcW w:type="dxa" w:w="26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半年融资约为全球年销售额 30 倍</w:t>
            </w:r>
          </w:p>
        </w:tc>
        <w:tc>
          <w:tcPr>
            <w:tcW w:type="dxa" w:w="24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订单向收入的转化率、复购率</w:t>
            </w:r>
          </w:p>
        </w:tc>
        <w:tc>
          <w:tcPr>
            <w:tcW w:type="dxa" w:w="2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后期估值透支；收入质量将成为估值锚</w:t>
            </w:r>
          </w:p>
        </w:tc>
      </w:tr>
      <w:tr>
        <w:trPr>
          <w:cantSplit w:val="false"/>
          <w:tblHeader w:val="false"/>
        </w:trPr>
        <w:tc>
          <w:tcPr>
            <w:tcW w:type="dxa" w:w="16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演示能力与部署能力</w:t>
            </w:r>
          </w:p>
        </w:tc>
        <w:tc>
          <w:tcPr>
            <w:tcW w:type="dxa" w:w="26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演示领先部署 1–3 年</w:t>
            </w:r>
          </w:p>
        </w:tc>
        <w:tc>
          <w:tcPr>
            <w:tcW w:type="dxa" w:w="24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人工接管率、看护配比、MTBF</w:t>
            </w:r>
          </w:p>
        </w:tc>
        <w:tc>
          <w:tcPr>
            <w:tcW w:type="dxa" w:w="2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把"接管率"列为一票否决项</w:t>
            </w:r>
          </w:p>
        </w:tc>
      </w:tr>
      <w:tr>
        <w:trPr>
          <w:cantSplit w:val="false"/>
          <w:tblHeader w:val="false"/>
        </w:trPr>
        <w:tc>
          <w:tcPr>
            <w:tcW w:type="dxa" w:w="16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通用能力与场景经济性</w:t>
            </w:r>
          </w:p>
        </w:tc>
        <w:tc>
          <w:tcPr>
            <w:tcW w:type="dxa" w:w="26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2026 年人形在双班搬运中不回本</w:t>
            </w:r>
          </w:p>
        </w:tc>
        <w:tc>
          <w:tcPr>
            <w:tcW w:type="dxa" w:w="24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吞吐率 ≥70%，整机价格 ≤30 万元</w:t>
            </w:r>
          </w:p>
        </w:tc>
        <w:tc>
          <w:tcPr>
            <w:tcW w:type="dxa" w:w="2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优先投资形态中立、任务闭环的公司</w:t>
            </w:r>
          </w:p>
        </w:tc>
      </w:tr>
      <w:tr>
        <w:trPr>
          <w:cantSplit w:val="false"/>
          <w:tblHeader w:val="false"/>
        </w:trPr>
        <w:tc>
          <w:tcPr>
            <w:tcW w:type="dxa" w:w="16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政策订单与市场需求</w:t>
            </w:r>
          </w:p>
        </w:tc>
        <w:tc>
          <w:tcPr>
            <w:tcW w:type="dxa" w:w="26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国资约占公开招采金额 74%（转引）</w:t>
            </w:r>
          </w:p>
        </w:tc>
        <w:tc>
          <w:tcPr>
            <w:tcW w:type="dxa" w:w="24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非政府收入占比</w:t>
            </w:r>
          </w:p>
        </w:tc>
        <w:tc>
          <w:tcPr>
            <w:tcW w:type="dxa" w:w="2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政府收入按一次性收入低倍数估值</w:t>
            </w:r>
          </w:p>
        </w:tc>
      </w:tr>
      <w:tr>
        <w:trPr>
          <w:cantSplit w:val="false"/>
          <w:tblHeader w:val="false"/>
        </w:trPr>
        <w:tc>
          <w:tcPr>
            <w:tcW w:type="dxa" w:w="16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一级估值与退出承接</w:t>
            </w:r>
          </w:p>
        </w:tc>
        <w:tc>
          <w:tcPr>
            <w:tcW w:type="dxa" w:w="26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证监会提高门槛，港股排队约 46 家</w:t>
            </w:r>
          </w:p>
        </w:tc>
        <w:tc>
          <w:tcPr>
            <w:tcW w:type="dxa" w:w="24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经常性收入、亏损收窄</w:t>
            </w:r>
          </w:p>
        </w:tc>
        <w:tc>
          <w:tcPr>
            <w:tcW w:type="dxa" w:w="2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设计多路径退出；以并购作为基准情景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6" w:id="1006"/>
      <w:r>
        <w:t xml:space="preserve">分环节阶段判断（2026 年 10 月）</w:t>
      </w:r>
      <w:bookmarkEnd w:id="100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2891"/>
        <w:gridCol w:w="4242"/>
      </w:tblGrid>
      <w:tr>
        <w:trPr>
          <w:cantSplit w:val="false"/>
          <w:tblHeader/>
        </w:trPr>
        <w:tc>
          <w:tcPr>
            <w:tcW w:type="dxa" w:w="25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环节</w:t>
            </w:r>
          </w:p>
        </w:tc>
        <w:tc>
          <w:tcPr>
            <w:tcW w:type="dxa" w:w="2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所处阶段</w:t>
            </w:r>
          </w:p>
        </w:tc>
        <w:tc>
          <w:tcPr>
            <w:tcW w:type="dxa" w:w="42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判断依据</w:t>
            </w:r>
          </w:p>
        </w:tc>
      </w:tr>
      <w:tr>
        <w:trPr>
          <w:cantSplit w:val="false"/>
          <w:tblHeader w:val="false"/>
        </w:trPr>
        <w:tc>
          <w:tcPr>
            <w:tcW w:type="dxa" w:w="25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科研教育与文娱人形</w:t>
            </w:r>
          </w:p>
        </w:tc>
        <w:tc>
          <w:tcPr>
            <w:tcW w:type="dxa" w:w="2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成熟期早段（增速放缓、价格战）</w:t>
            </w:r>
          </w:p>
        </w:tc>
        <w:tc>
          <w:tcPr>
            <w:tcW w:type="dxa" w:w="42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宇树增速回落；租赁日租从万元级跌到千元级〔B，S59〕</w:t>
            </w:r>
          </w:p>
        </w:tc>
      </w:tr>
      <w:tr>
        <w:trPr>
          <w:cantSplit w:val="false"/>
          <w:tblHeader w:val="false"/>
        </w:trPr>
        <w:tc>
          <w:tcPr>
            <w:tcW w:type="dxa" w:w="25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工业人形整机</w:t>
            </w:r>
          </w:p>
        </w:tc>
        <w:tc>
          <w:tcPr>
            <w:tcW w:type="dxa" w:w="2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商业验证早期</w:t>
            </w:r>
          </w:p>
        </w:tc>
        <w:tc>
          <w:tcPr>
            <w:tcW w:type="dxa" w:w="42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试点多，生产工位部署少，ROI 未达成</w:t>
            </w:r>
          </w:p>
        </w:tc>
      </w:tr>
      <w:tr>
        <w:trPr>
          <w:cantSplit w:val="false"/>
          <w:tblHeader w:val="false"/>
        </w:trPr>
        <w:tc>
          <w:tcPr>
            <w:tcW w:type="dxa" w:w="25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家庭通用人形</w:t>
            </w:r>
          </w:p>
        </w:tc>
        <w:tc>
          <w:tcPr>
            <w:tcW w:type="dxa" w:w="2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技术探索期</w:t>
            </w:r>
          </w:p>
        </w:tc>
        <w:tc>
          <w:tcPr>
            <w:tcW w:type="dxa" w:w="42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遥操作兜底，估值下修</w:t>
            </w:r>
          </w:p>
        </w:tc>
      </w:tr>
      <w:tr>
        <w:trPr>
          <w:cantSplit w:val="false"/>
          <w:tblHeader w:val="false"/>
        </w:trPr>
        <w:tc>
          <w:tcPr>
            <w:tcW w:type="dxa" w:w="25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机器人基础模型</w:t>
            </w:r>
          </w:p>
        </w:tc>
        <w:tc>
          <w:tcPr>
            <w:tcW w:type="dxa" w:w="2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技术探索期叠加资本扩张</w:t>
            </w:r>
          </w:p>
        </w:tc>
        <w:tc>
          <w:tcPr>
            <w:tcW w:type="dxa" w:w="42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开源密集，收入极少</w:t>
            </w:r>
          </w:p>
        </w:tc>
      </w:tr>
      <w:tr>
        <w:trPr>
          <w:cantSplit w:val="false"/>
          <w:tblHeader w:val="false"/>
        </w:trPr>
        <w:tc>
          <w:tcPr>
            <w:tcW w:type="dxa" w:w="25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核心零部件</w:t>
            </w:r>
          </w:p>
        </w:tc>
        <w:tc>
          <w:tcPr>
            <w:tcW w:type="dxa" w:w="2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量产导入期</w:t>
            </w:r>
          </w:p>
        </w:tc>
        <w:tc>
          <w:tcPr>
            <w:tcW w:type="dxa" w:w="42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订单增长，但均价下行、毛利承压〔B，S62〕</w:t>
            </w:r>
          </w:p>
        </w:tc>
      </w:tr>
      <w:tr>
        <w:trPr>
          <w:cantSplit w:val="false"/>
          <w:tblHeader w:val="false"/>
        </w:trPr>
        <w:tc>
          <w:tcPr>
            <w:tcW w:type="dxa" w:w="25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非人形移动操作与特种机器人</w:t>
            </w:r>
          </w:p>
        </w:tc>
        <w:tc>
          <w:tcPr>
            <w:tcW w:type="dxa" w:w="2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商业验证到早期规模化</w:t>
            </w:r>
          </w:p>
        </w:tc>
        <w:tc>
          <w:tcPr>
            <w:tcW w:type="dxa" w:w="42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四足巡检、AMR 已实现盈利〔A/B，S53/S77〕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7" w:id="1007"/>
      <w:r>
        <w:t xml:space="preserve">投资机会优先级（详见第十三篇）</w:t>
      </w:r>
      <w:bookmarkEnd w:id="1007"/>
    </w:p>
    <w:p>
      <w:pPr>
        <w:spacing w:after="60" w:line="312" w:lineRule="auto"/>
        <w:ind w:left="420" w:hanging="300"/>
      </w:pPr>
      <w:r>
        <w:t xml:space="preserve">1. </w:t>
      </w:r>
      <w:r>
        <w:rPr>
          <w:b/>
          <w:bCs/>
        </w:rPr>
        <w:t xml:space="preserve">★★★★★ 任务闭环的轮式移动操作和场景系统</w:t>
      </w:r>
      <w:r>
        <w:t xml:space="preserve">，覆盖工业上下料、实验室、物流搬箱。这类资产确定性最高，进入估值以不超过 10–15 倍收入为宜。</w:t>
      </w:r>
    </w:p>
    <w:p>
      <w:pPr>
        <w:spacing w:after="60" w:line="312" w:lineRule="auto"/>
        <w:ind w:left="420" w:hanging="300"/>
      </w:pPr>
      <w:r>
        <w:t xml:space="preserve">2. </w:t>
      </w:r>
      <w:r>
        <w:rPr>
          <w:b/>
          <w:bCs/>
        </w:rPr>
        <w:t xml:space="preserve">★★★★ 精密部件</w:t>
      </w:r>
      <w:r>
        <w:t xml:space="preserve">：行星滚柱丝杠、高自由度灵巧手加触觉、六维力。用存量业务给估值托底，把人形需求当作期权。</w:t>
      </w:r>
    </w:p>
    <w:p>
      <w:pPr>
        <w:spacing w:after="60" w:line="312" w:lineRule="auto"/>
        <w:ind w:left="420" w:hanging="300"/>
      </w:pPr>
      <w:r>
        <w:t xml:space="preserve">3. </w:t>
      </w:r>
      <w:r>
        <w:rPr>
          <w:b/>
          <w:bCs/>
        </w:rPr>
        <w:t xml:space="preserve">★★★★ 特种作业</w:t>
      </w:r>
      <w:r>
        <w:t xml:space="preserve">：巡检、电力、危化、矿山。已有盈利样本，主要客户是国企，复购明确。</w:t>
      </w:r>
    </w:p>
    <w:p>
      <w:pPr>
        <w:spacing w:after="60" w:line="312" w:lineRule="auto"/>
        <w:ind w:left="420" w:hanging="300"/>
      </w:pPr>
      <w:r>
        <w:t xml:space="preserve">4. </w:t>
      </w:r>
      <w:r>
        <w:rPr>
          <w:b/>
          <w:bCs/>
        </w:rPr>
        <w:t xml:space="preserve">★★★ 端侧计算平台和数据工具链</w:t>
      </w:r>
      <w:r>
        <w:t xml:space="preserve">。受益于国产替代和部署规模增长，但要警惕被大厂和开源替代。</w:t>
      </w:r>
    </w:p>
    <w:p>
      <w:pPr>
        <w:spacing w:after="60" w:line="312" w:lineRule="auto"/>
        <w:ind w:left="420" w:hanging="300"/>
      </w:pPr>
      <w:r>
        <w:t xml:space="preserve">5. </w:t>
      </w:r>
      <w:r>
        <w:rPr>
          <w:b/>
          <w:bCs/>
        </w:rPr>
        <w:t xml:space="preserve">★★★（看价格）头部整机或平台的重置估值轮次</w:t>
      </w:r>
      <w:r>
        <w:t xml:space="preserve">。只在估值回落、并且有优先清算权与回购等结构化条款时参与。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应当回避的方向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同质化的双足全尺寸整机新项目；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以政府数采中心或商演租赁为主要收入的企业；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估值超过 100 亿元、却没有第三方付费的纯模型公司；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家庭通用人形（最多只作小额期权）；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订单以框架协议为主、关联方收入占比高的企业。</w:t>
      </w:r>
    </w:p>
    <w:p>
      <w:pPr>
        <w:pStyle w:val="Heading2"/>
      </w:pPr>
      <w:bookmarkStart w:name="bm8" w:id="1008"/>
      <w:r>
        <w:t xml:space="preserve">估值与回报的关键结论（详见第十四篇）</w:t>
      </w:r>
      <w:bookmarkEnd w:id="1008"/>
    </w:p>
    <w:p>
      <w:pPr>
        <w:spacing w:after="120" w:line="324" w:lineRule="auto"/>
        <w:jc w:val="both"/>
      </w:pPr>
      <w:r>
        <w:t xml:space="preserve">按本报告的情景回报模型〔D〕：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整机 B 轮</w:t>
      </w:r>
      <w:r>
        <w:t xml:space="preserve">：以 80 亿元投后估值进入，期望 MOIC 约 </w:t>
      </w:r>
      <w:r>
        <w:rPr>
          <w:b/>
          <w:bCs/>
        </w:rPr>
        <w:t xml:space="preserve">0.73x</w:t>
      </w:r>
      <w:r>
        <w:t xml:space="preserve">；入场估值降到 30 亿元时约 1.5x。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纯模型 A 轮</w:t>
      </w:r>
      <w:r>
        <w:t xml:space="preserve">：以 40 亿元投后估值进入，平台化概率需要达到 20% 以上，期望 MOIC 才接近 2x。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已有真实客户的工业场景公司</w:t>
      </w:r>
      <w:r>
        <w:t xml:space="preserve">：以 15 亿元进入，期望 MOIC 约 1.44x，而且分布更集中、下行更可控。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结论</w:t>
      </w:r>
      <w:r>
        <w:t xml:space="preserve">：在当前价格下，后期整机和纯模型项目的风险收益比不佳。超额回报来自两种情形：一是</w:t>
      </w:r>
      <w:r>
        <w:rPr>
          <w:b/>
          <w:bCs/>
        </w:rPr>
        <w:t xml:space="preserve">估值重置后的入场</w:t>
      </w:r>
      <w:r>
        <w:t xml:space="preserve">；二是</w:t>
      </w:r>
      <w:r>
        <w:rPr>
          <w:b/>
          <w:bCs/>
        </w:rPr>
        <w:t xml:space="preserve">早期、低估值、但有任务闭环证据的项目</w:t>
      </w:r>
      <w:r>
        <w:t xml:space="preserve">。</w:t>
      </w:r>
    </w:p>
    <w:p>
      <w:pPr>
        <w:pStyle w:val="Heading2"/>
      </w:pPr>
      <w:bookmarkStart w:name="bm9" w:id="1009"/>
      <w:r>
        <w:t xml:space="preserve">重大风险</w:t>
      </w:r>
      <w:bookmarkEnd w:id="1009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下行风险</w:t>
      </w:r>
      <w:r>
        <w:t xml:space="preserve">：泛化能力和可靠性在 2028 年前没有突破，行业进入悲观情景，出现大面积融资断档和整机出清（见第十二篇）；退出窗口持续收紧；订单造假或关联交易暴露，引发行业性信任危机。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上行风险</w:t>
      </w:r>
      <w:r>
        <w:t xml:space="preserve">：VLA 或世界模型在 2027 年出现可靠性跃迁，同时特斯拉实现大规模量产，行业提前进入乐观情景。这种情况下，过度保守会让我们错过头部平台的超额收益。</w:t>
      </w:r>
    </w:p>
    <w:p>
      <w:pPr>
        <w:pStyle w:val="Heading2"/>
      </w:pPr>
      <w:bookmarkStart w:name="bm10" w:id="1010"/>
      <w:r>
        <w:t xml:space="preserve">未来三年的动态策略</w:t>
      </w:r>
      <w:bookmarkEnd w:id="10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78"/>
        <w:gridCol w:w="4032"/>
        <w:gridCol w:w="4328"/>
      </w:tblGrid>
      <w:tr>
        <w:trPr>
          <w:cantSplit w:val="false"/>
          <w:tblHeader/>
        </w:trPr>
        <w:tc>
          <w:tcPr>
            <w:tcW w:type="dxa" w:w="12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时间段</w:t>
            </w:r>
          </w:p>
        </w:tc>
        <w:tc>
          <w:tcPr>
            <w:tcW w:type="dxa" w:w="40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市场状态（基准情景）</w:t>
            </w:r>
          </w:p>
        </w:tc>
        <w:tc>
          <w:tcPr>
            <w:tcW w:type="dxa" w:w="43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策略</w:t>
            </w:r>
          </w:p>
        </w:tc>
      </w:tr>
      <w:tr>
        <w:trPr>
          <w:cantSplit w:val="false"/>
          <w:tblHeader w:val="false"/>
        </w:trPr>
        <w:tc>
          <w:tcPr>
            <w:tcW w:type="dxa" w:w="12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2026Q4–2027H1</w:t>
            </w:r>
          </w:p>
        </w:tc>
        <w:tc>
          <w:tcPr>
            <w:tcW w:type="dxa" w:w="40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估值分化、IPO 门槛提高、尾部融资断档</w:t>
            </w:r>
          </w:p>
        </w:tc>
        <w:tc>
          <w:tcPr>
            <w:tcW w:type="dxa" w:w="43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以尽调和建库为主；只投场景闭环与精密部件；为头部整机的重置轮次预留额度</w:t>
            </w:r>
          </w:p>
        </w:tc>
      </w:tr>
      <w:tr>
        <w:trPr>
          <w:cantSplit w:val="false"/>
          <w:tblHeader w:val="false"/>
        </w:trPr>
        <w:tc>
          <w:tcPr>
            <w:tcW w:type="dxa" w:w="12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2027H2–2028</w:t>
            </w:r>
          </w:p>
        </w:tc>
        <w:tc>
          <w:tcPr>
            <w:tcW w:type="dxa" w:w="40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工业 ROI 门槛开始被部分场景跨越，出清加速</w:t>
            </w:r>
          </w:p>
        </w:tc>
        <w:tc>
          <w:tcPr>
            <w:tcW w:type="dxa" w:w="43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加大对复购明确的场景公司的投入；参与并购整合；跟踪人形与轮式在同一任务上的 TCO</w:t>
            </w:r>
          </w:p>
        </w:tc>
      </w:tr>
      <w:tr>
        <w:trPr>
          <w:cantSplit w:val="false"/>
          <w:tblHeader w:val="false"/>
        </w:trPr>
        <w:tc>
          <w:tcPr>
            <w:tcW w:type="dxa" w:w="12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2029 起</w:t>
            </w:r>
          </w:p>
        </w:tc>
        <w:tc>
          <w:tcPr>
            <w:tcW w:type="dxa" w:w="40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规模化与标准化，专业分工重新出现</w:t>
            </w:r>
          </w:p>
        </w:tc>
        <w:tc>
          <w:tcPr>
            <w:tcW w:type="dxa" w:w="43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布局标准化部件、运维与金融服务、机器人 OS 与车队管理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每季度复核的触发指标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工业生产性收入占比；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1 人看护台数；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每小时人工接管次数；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订单向收入的转化率；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上市可比公司的估值/收入倍数；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特斯拉季度产量；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美国相关法案的进展。</w:t>
      </w:r>
    </w:p>
    <w:p>
      <w:pPr>
        <w:pStyle w:val="Heading1"/>
        <w:pageBreakBefore/>
      </w:pPr>
      <w:bookmarkStart w:name="bm11" w:id="1011"/>
      <w:r>
        <w:t xml:space="preserve">第一篇　行业定义、历史演进与全景产业地图</w:t>
      </w:r>
      <w:bookmarkEnd w:id="1011"/>
    </w:p>
    <w:p>
      <w:pPr>
        <w:pStyle w:val="Heading2"/>
      </w:pPr>
      <w:bookmarkStart w:name="bm12" w:id="1012"/>
      <w:r>
        <w:t xml:space="preserve">1.1 先把边界划清：六个经常被混用的概念</w:t>
      </w:r>
      <w:bookmarkEnd w:id="10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5"/>
        <w:gridCol w:w="3339"/>
        <w:gridCol w:w="2276"/>
        <w:gridCol w:w="2278"/>
      </w:tblGrid>
      <w:tr>
        <w:trPr>
          <w:cantSplit w:val="false"/>
          <w:tblHeader/>
        </w:trPr>
        <w:tc>
          <w:tcPr>
            <w:tcW w:type="dxa" w:w="17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概念</w:t>
            </w:r>
          </w:p>
        </w:tc>
        <w:tc>
          <w:tcPr>
            <w:tcW w:type="dxa" w:w="33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定义（本报告口径）</w:t>
            </w:r>
          </w:p>
        </w:tc>
        <w:tc>
          <w:tcPr>
            <w:tcW w:type="dxa" w:w="22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与其他概念的关系</w:t>
            </w:r>
          </w:p>
        </w:tc>
        <w:tc>
          <w:tcPr>
            <w:tcW w:type="dxa" w:w="22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投资者常见误区</w:t>
            </w:r>
          </w:p>
        </w:tc>
      </w:tr>
      <w:tr>
        <w:trPr>
          <w:cantSplit w:val="false"/>
          <w:tblHeader w:val="false"/>
        </w:trPr>
        <w:tc>
          <w:tcPr>
            <w:tcW w:type="dxa" w:w="17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具身智能（Embodied AI）</w:t>
            </w:r>
          </w:p>
        </w:tc>
        <w:tc>
          <w:tcPr>
            <w:tcW w:type="dxa" w:w="33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智能体通过物理身体感知、决策并作用于物理世界的能力体系，包括模型、数据、本体和系统</w:t>
            </w:r>
          </w:p>
        </w:tc>
        <w:tc>
          <w:tcPr>
            <w:tcW w:type="dxa" w:w="22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范围最大，包含下面五项</w:t>
            </w:r>
          </w:p>
        </w:tc>
        <w:tc>
          <w:tcPr>
            <w:tcW w:type="dxa" w:w="22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把它等同于"人形机器人"</w:t>
            </w:r>
          </w:p>
        </w:tc>
      </w:tr>
      <w:tr>
        <w:trPr>
          <w:cantSplit w:val="false"/>
          <w:tblHeader w:val="false"/>
        </w:trPr>
        <w:tc>
          <w:tcPr>
            <w:tcW w:type="dxa" w:w="17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机器人基础模型</w:t>
            </w:r>
          </w:p>
        </w:tc>
        <w:tc>
          <w:tcPr>
            <w:tcW w:type="dxa" w:w="33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在多任务、多本体数据上预训练，可迁移到新任务的感知—决策—动作模型（VLA、世界动作模型等）</w:t>
            </w:r>
          </w:p>
        </w:tc>
        <w:tc>
          <w:tcPr>
            <w:tcW w:type="dxa" w:w="22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具身智能的"大脑"层</w:t>
            </w:r>
          </w:p>
        </w:tc>
        <w:tc>
          <w:tcPr>
            <w:tcW w:type="dxa" w:w="22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用大语言模型的商业模式去类比</w:t>
            </w:r>
          </w:p>
        </w:tc>
      </w:tr>
      <w:tr>
        <w:trPr>
          <w:cantSplit w:val="false"/>
          <w:tblHeader w:val="false"/>
        </w:trPr>
        <w:tc>
          <w:tcPr>
            <w:tcW w:type="dxa" w:w="17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人形机器人</w:t>
            </w:r>
          </w:p>
        </w:tc>
        <w:tc>
          <w:tcPr>
            <w:tcW w:type="dxa" w:w="33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双足（或轮足）、双臂、头部躯干形态的机器人</w:t>
            </w:r>
          </w:p>
        </w:tc>
        <w:tc>
          <w:tcPr>
            <w:tcW w:type="dxa" w:w="22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本体形态之一</w:t>
            </w:r>
          </w:p>
        </w:tc>
        <w:tc>
          <w:tcPr>
            <w:tcW w:type="dxa" w:w="22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默认它是具身智能的唯一载体</w:t>
            </w:r>
          </w:p>
        </w:tc>
      </w:tr>
      <w:tr>
        <w:trPr>
          <w:cantSplit w:val="false"/>
          <w:tblHeader w:val="false"/>
        </w:trPr>
        <w:tc>
          <w:tcPr>
            <w:tcW w:type="dxa" w:w="17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移动操作机器人</w:t>
            </w:r>
          </w:p>
        </w:tc>
        <w:tc>
          <w:tcPr>
            <w:tcW w:type="dxa" w:w="33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移动底盘（轮式、足式）加机械臂的组合，能"走到哪、做到哪"</w:t>
            </w:r>
          </w:p>
        </w:tc>
        <w:tc>
          <w:tcPr>
            <w:tcW w:type="dxa" w:w="22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与人形部分重叠；轮式双臂是主力</w:t>
            </w:r>
          </w:p>
        </w:tc>
        <w:tc>
          <w:tcPr>
            <w:tcW w:type="dxa" w:w="22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忽视它在工业场景的经济性优势</w:t>
            </w:r>
          </w:p>
        </w:tc>
      </w:tr>
      <w:tr>
        <w:trPr>
          <w:cantSplit w:val="false"/>
          <w:tblHeader w:val="false"/>
        </w:trPr>
        <w:tc>
          <w:tcPr>
            <w:tcW w:type="dxa" w:w="17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通用机器人</w:t>
            </w:r>
          </w:p>
        </w:tc>
        <w:tc>
          <w:tcPr>
            <w:tcW w:type="dxa" w:w="33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不为单一任务设计、靠软件扩展任务的机器人</w:t>
            </w:r>
          </w:p>
        </w:tc>
        <w:tc>
          <w:tcPr>
            <w:tcW w:type="dxa" w:w="22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一个目标，而非一类产品</w:t>
            </w:r>
          </w:p>
        </w:tc>
        <w:tc>
          <w:tcPr>
            <w:tcW w:type="dxa" w:w="22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把"能演示多任务"当成"通用"</w:t>
            </w:r>
          </w:p>
        </w:tc>
      </w:tr>
      <w:tr>
        <w:trPr>
          <w:cantSplit w:val="false"/>
          <w:tblHeader w:val="false"/>
        </w:trPr>
        <w:tc>
          <w:tcPr>
            <w:tcW w:type="dxa" w:w="17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工业机器人和服务机器人</w:t>
            </w:r>
          </w:p>
        </w:tc>
        <w:tc>
          <w:tcPr>
            <w:tcW w:type="dxa" w:w="33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传统分类：工业臂、AGV/AMR、协作臂；配送、清洁、导览等</w:t>
            </w:r>
          </w:p>
        </w:tc>
        <w:tc>
          <w:tcPr>
            <w:tcW w:type="dxa" w:w="22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具身智能的存量市场和替代方案</w:t>
            </w:r>
          </w:p>
        </w:tc>
        <w:tc>
          <w:tcPr>
            <w:tcW w:type="dxa" w:w="22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忽视它们是人形最直接的竞争对手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本报告的立场</w:t>
      </w:r>
      <w:r>
        <w:t xml:space="preserve">：人形只是具身智能的一种形态，不是终点。投资分析的单位应该是"</w:t>
      </w:r>
      <w:r>
        <w:rPr>
          <w:b/>
          <w:bCs/>
        </w:rPr>
        <w:t xml:space="preserve">一个能被付费的任务</w:t>
      </w:r>
      <w:r>
        <w:t xml:space="preserve">"，而不是"一种形态"。后面几篇会反复用这条标准检验各类叙事。</w:t>
      </w:r>
    </w:p>
    <w:p>
      <w:pPr>
        <w:pStyle w:val="Heading2"/>
      </w:pPr>
      <w:bookmarkStart w:name="bm13" w:id="1013"/>
      <w:r>
        <w:t xml:space="preserve">1.2 2022–2026：四个阶段与主要矛盾的迁移</w:t>
      </w:r>
      <w:bookmarkEnd w:id="1013"/>
    </w:p>
    <w:p>
      <w:pPr>
        <w:pStyle w:val="Heading3"/>
      </w:pPr>
      <w:r>
        <w:t xml:space="preserve">阶段一（2022–2023）：叙事启动期，主要矛盾是"大模型能否给机器人带来通用智能"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发生了什么</w:t>
      </w:r>
      <w:r>
        <w:t xml:space="preserve">：2022 年 9 月，特斯拉在 AI Day 展示了 Optimus 原型。2022 年 11 月，ChatGPT 发布。2023 年 7 月，Google 发布 RT-2，首次把动作当作语言 token 输出。同期，Figure（2022）和智元（2023 年 2 月）等公司成立。2023 年 11 月，工信部发布《人形机器人创新发展指导意见》，北京人形机器人创新中心成立〔A/B〕。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为什么会发生</w:t>
      </w:r>
      <w:r>
        <w:t xml:space="preserve">：大语言模型显示出"规模带来泛化"，资本和人才开始相信机器人也能复制这条路径。与此同时，特斯拉用"汽车供应链加 AI"重新定义了人形的成本想象。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资本行为</w:t>
      </w:r>
      <w:r>
        <w:t xml:space="preserve">：以早期轮次为主，单笔金额小。投资逻辑是"押团队、押路线"。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本质</w:t>
      </w:r>
      <w:r>
        <w:t xml:space="preserve">：这一阶段的核心资产是</w:t>
      </w:r>
      <w:r>
        <w:rPr>
          <w:b/>
          <w:bCs/>
        </w:rPr>
        <w:t xml:space="preserve">信念</w:t>
      </w:r>
      <w:r>
        <w:t xml:space="preserve">。真实能力主要停留在 L1。</w:t>
      </w:r>
    </w:p>
    <w:p>
      <w:pPr>
        <w:pStyle w:val="Heading3"/>
      </w:pPr>
      <w:r>
        <w:t xml:space="preserve">阶段二（2024）：技术验证与资本入场，主要矛盾是"有没有可规模化的数据和动作生成路径"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发生了什么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技术上：ALOHA/ACT 和 Diffusion Policy 让少量示范就能学会精细操作；π0（2024 年 10 月）确立了"VLM 加流匹配动作专家"的主流架构。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融资上：Figure B 轮 6.75 亿美元（估值 26 亿美元）；Skild 获 3 亿美元 A 轮（估值 15 亿美元）；PI 先后完成种子轮和 4 亿美元融资〔B〕。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中国：宇树 G1 以 9.9 万元发布，把人形价格拉进科研教育预算可承受的区间。中国具身融资约 84–137 亿元〔B，S25〕。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为什么会发生</w:t>
      </w:r>
      <w:r>
        <w:t xml:space="preserve">：开源模型和低成本遥操作硬件降低了研究门槛。中国的电动车和消费电子供应链，把关节和整机成本压到海外的几分之一。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本质</w:t>
      </w:r>
      <w:r>
        <w:t xml:space="preserve">：</w:t>
      </w:r>
      <w:r>
        <w:rPr>
          <w:b/>
          <w:bCs/>
        </w:rPr>
        <w:t xml:space="preserve">降价</w:t>
      </w:r>
      <w:r>
        <w:t xml:space="preserve">是这一阶段最被低估的事件。它直接催生了下一阶段"科研教育+文娱"这个真实但有天花板的市场。</w:t>
      </w:r>
    </w:p>
    <w:p>
      <w:pPr>
        <w:pStyle w:val="Heading3"/>
      </w:pPr>
      <w:r>
        <w:t xml:space="preserve">阶段三（2025）：资本扩张与量产叙事，主要矛盾从"能不能"迁移到"能不能交付"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发生了什么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2025 年春晚的人形表演、人形半程马拉松和世界人形机器人运动会，把人形推成了大众话题。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规模与订单：全球出货约 1.8 万台〔B，S13〕。优必选 Walker S2 于 2025 年 11 月量产交付，公司称全年订单约 13 亿元〔B/C，S08/S10〕。智元控股上纬新材〔B，S18〕。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估值：Figure 以 390 亿美元投后估值完成 C 轮〔B，S32〕。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融资：中国具身融资约 329–554 亿元〔B〕。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政策：2025 年 11 月，国家发改委罕见地公开提示"泡沫风险"〔A，S21〕。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为什么会发生</w:t>
      </w:r>
      <w:r>
        <w:t xml:space="preserve">：一级资本追逐稀缺的头部标的。地方政府把具身智能当作新的产业抓手，用数采中心、训练场和应用示范创造需求。A 股和港股的"机器人概念"形成了估值锚。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本质</w:t>
      </w:r>
      <w:r>
        <w:t xml:space="preserve">：资本开始用</w:t>
      </w:r>
      <w:r>
        <w:rPr>
          <w:b/>
          <w:bCs/>
        </w:rPr>
        <w:t xml:space="preserve">订单和出货</w:t>
      </w:r>
      <w:r>
        <w:t xml:space="preserve">给公司定价。但订单口径混乱，出货流向主要是非 ROI 型买方（见第二、六篇）。</w:t>
      </w:r>
    </w:p>
    <w:p>
      <w:pPr>
        <w:pStyle w:val="Heading3"/>
      </w:pPr>
      <w:r>
        <w:t xml:space="preserve">阶段四（2026）：资本高峰与价值发现，主要矛盾是"估值与收入质量"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发生了什么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rPr>
          <w:b/>
          <w:bCs/>
        </w:rPr>
        <w:t xml:space="preserve">融资高峰</w:t>
      </w:r>
      <w:r>
        <w:t xml:space="preserve">：2026 年上半年中国具身融资 935 亿元〔B，S23〕；它石智航 4.55 亿美元的 Pre-A 轮创下国内单轮纪录〔B，S50〕；星海图、千寻、银河的估值都进入 200 亿元级〔C〕。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rPr>
          <w:b/>
          <w:bCs/>
        </w:rPr>
        <w:t xml:space="preserve">上市与价格发现</w:t>
      </w:r>
      <w:r>
        <w:t xml:space="preserve">：8 月，宇树在科创板上市，首日开盘市值约 4,449 亿元，随后回撤约一半〔B，S02/S06〕。9 月，证监会窗口指导提高了门槛〔B，S55〕。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rPr>
          <w:b/>
          <w:bCs/>
        </w:rPr>
        <w:t xml:space="preserve">客户侧证据</w:t>
      </w:r>
      <w:r>
        <w:t xml:space="preserve">：GXO 披露 45 次人形试点未实现 ROI〔B，S36〕；人形租赁日租从万元级降到千元级〔B，S59〕。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rPr>
          <w:b/>
          <w:bCs/>
        </w:rPr>
        <w:t xml:space="preserve">海外</w:t>
      </w:r>
      <w:r>
        <w:t xml:space="preserve">：1X 估值下修（洽谈中）〔C，S44〕；Agility 以 25 亿美元估值签约 SPAC〔B，S35〕；特斯拉弗里蒙特产线开始早期生产，对外交付推迟到 2027 年底〔B，S29〕。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为什么会发生</w:t>
      </w:r>
      <w:r>
        <w:t xml:space="preserve">：二级市场提供了第一个连续的定价机制，"演示—订单—估值"这条链条第一次遇到了"收入—利润—市值"的检验。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本质</w:t>
      </w:r>
      <w:r>
        <w:t xml:space="preserve">：行业从"讲故事"转向"对账"。</w:t>
      </w:r>
      <w:r>
        <w:rPr>
          <w:b/>
          <w:bCs/>
        </w:rPr>
        <w:t xml:space="preserve">收入质量</w:t>
      </w:r>
      <w:r>
        <w:t xml:space="preserve">（是否非关联、是否已验收、是否复购、是否生产性用途）成为新的定价锚。新华网 2026 年 5 月的一篇报道标题，恰好是"交付能力成估值锚点"〔B，S26〕。</w:t>
      </w:r>
    </w:p>
    <w:p>
      <w:pPr>
        <w:pStyle w:val="Heading3"/>
      </w:pPr>
      <w:r>
        <w:t xml:space="preserve">一张表看阶段迁移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8"/>
        <w:gridCol w:w="1204"/>
        <w:gridCol w:w="1893"/>
        <w:gridCol w:w="1204"/>
        <w:gridCol w:w="1893"/>
        <w:gridCol w:w="1896"/>
      </w:tblGrid>
      <w:tr>
        <w:trPr>
          <w:cantSplit w:val="false"/>
          <w:tblHeader/>
        </w:trPr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阶段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资本关注</w:t>
            </w:r>
          </w:p>
        </w:tc>
        <w:tc>
          <w:tcPr>
            <w:tcW w:type="dxa" w:w="18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定价锚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主要矛盾</w:t>
            </w:r>
          </w:p>
        </w:tc>
        <w:tc>
          <w:tcPr>
            <w:tcW w:type="dxa" w:w="18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受益者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受损者</w:t>
            </w:r>
          </w:p>
        </w:tc>
      </w:tr>
      <w:tr>
        <w:trPr>
          <w:cantSplit w:val="false"/>
          <w:tblHeader w:val="false"/>
        </w:trPr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2022–2023 叙事启动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团队、路线</w:t>
            </w:r>
          </w:p>
        </w:tc>
        <w:tc>
          <w:tcPr>
            <w:tcW w:type="dxa" w:w="18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创始人背景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智能是否可迁移</w:t>
            </w:r>
          </w:p>
        </w:tc>
        <w:tc>
          <w:tcPr>
            <w:tcW w:type="dxa" w:w="18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顶尖学术团队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rPr>
          <w:cantSplit w:val="false"/>
          <w:tblHeader w:val="false"/>
        </w:trPr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2024 技术验证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模型、数据路径</w:t>
            </w:r>
          </w:p>
        </w:tc>
        <w:tc>
          <w:tcPr>
            <w:tcW w:type="dxa" w:w="18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论文与演示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数据从哪来</w:t>
            </w:r>
          </w:p>
        </w:tc>
        <w:tc>
          <w:tcPr>
            <w:tcW w:type="dxa" w:w="18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开源与低价硬件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高价硬件</w:t>
            </w:r>
          </w:p>
        </w:tc>
      </w:tr>
      <w:tr>
        <w:trPr>
          <w:cantSplit w:val="false"/>
          <w:tblHeader w:val="false"/>
        </w:trPr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2025 资本扩张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出货、订单</w:t>
            </w:r>
          </w:p>
        </w:tc>
        <w:tc>
          <w:tcPr>
            <w:tcW w:type="dxa" w:w="18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订单金额与出货台数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能否交付</w:t>
            </w:r>
          </w:p>
        </w:tc>
        <w:tc>
          <w:tcPr>
            <w:tcW w:type="dxa" w:w="18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整机头部、零部件概念股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无融资能力的尾部</w:t>
            </w:r>
          </w:p>
        </w:tc>
      </w:tr>
      <w:tr>
        <w:trPr>
          <w:cantSplit w:val="false"/>
          <w:tblHeader w:val="false"/>
        </w:trPr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2026 价值发现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收入质量、退出</w:t>
            </w:r>
          </w:p>
        </w:tc>
        <w:tc>
          <w:tcPr>
            <w:tcW w:type="dxa" w:w="18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经常性收入、毛利、复购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估值与收入</w:t>
            </w:r>
          </w:p>
        </w:tc>
        <w:tc>
          <w:tcPr>
            <w:tcW w:type="dxa" w:w="18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有真实收入者、精密部件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订单注水者、同质化整机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4" w:id="1014"/>
      <w:r>
        <w:t xml:space="preserve">1.3 全景产业地图：谁依赖谁，谁创造价值，谁拿走利润</w:t>
      </w:r>
      <w:bookmarkEnd w:id="1014"/>
    </w:p>
    <w:p>
      <w:pPr>
        <w:pStyle w:val="Heading3"/>
      </w:pPr>
      <w:r>
        <w:t xml:space="preserve">上游：材料、零部件、算力与数据工具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执行器（价值量最大）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旋转关节：无框力矩电机、谐波或行星减速器、编码器、驱动器；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线性关节：行星滚柱丝杠加电机。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末端执行器</w:t>
      </w:r>
      <w:r>
        <w:t xml:space="preserve">：灵巧手，分连杆、腱绳和直驱等方案，可以集成触觉。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传感器</w:t>
      </w:r>
      <w:r>
        <w:t xml:space="preserve">：六维力、关节力矩、IMU、RGB-D、激光雷达、触觉和电子皮肤。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算力</w:t>
      </w:r>
      <w:r>
        <w:t xml:space="preserve">：端侧 SoC（NVIDIA Jetson Thor、地平线 RDK、特斯拉 AI5 等）和云端训练集群。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能源</w:t>
      </w:r>
      <w:r>
        <w:t xml:space="preserve">：电池包、BMS、换电和充电设施。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软件工具</w:t>
      </w:r>
      <w:r>
        <w:t xml:space="preserve">：仿真（Isaac、Genesis 等）、数据采集设备（遥操作、手套、UMI 类）、标注和数据管理、评测平台。</w:t>
      </w:r>
    </w:p>
    <w:p>
      <w:pPr>
        <w:pStyle w:val="Heading3"/>
      </w:pPr>
      <w:r>
        <w:t xml:space="preserve">中游：本体、控制与智能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本体与整机集成</w:t>
      </w:r>
      <w:r>
        <w:t xml:space="preserve">：机械设计、电控架构、热管理、整机测试与量产。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控制系统</w:t>
      </w:r>
      <w:r>
        <w:t xml:space="preserve">：全身运动控制（通常是 RL 加 sim2real）、运动规划、安全控制层。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智能系统</w:t>
      </w:r>
      <w:r>
        <w:t xml:space="preserve">：感知、具身推理 VLM、VLA 或世界动作模型、任务规划与记忆、机器人 OS 与中间件、车队管理。</w:t>
      </w:r>
    </w:p>
    <w:p>
      <w:pPr>
        <w:pStyle w:val="Heading3"/>
      </w:pPr>
      <w:r>
        <w:t xml:space="preserve">下游：场景与服务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场景</w:t>
      </w:r>
      <w:r>
        <w:t xml:space="preserve">：科研教育、文娱商演、政府数采与实训、汽车与 3C 制造、仓储物流、特种作业、商业服务与零售、医疗康养、家庭。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横向服务</w:t>
      </w:r>
      <w:r>
        <w:t xml:space="preserve">：系统集成、部署实施、遥操作服务、租赁和 RaaS、售后运维、金融（融资租赁）、渠道。</w:t>
      </w:r>
    </w:p>
    <w:p>
      <w:pPr>
        <w:pStyle w:val="Heading3"/>
      </w:pPr>
      <w:r>
        <w:t xml:space="preserve">产业链环节画像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9"/>
        <w:gridCol w:w="1070"/>
        <w:gridCol w:w="632"/>
        <w:gridCol w:w="1655"/>
        <w:gridCol w:w="1362"/>
        <w:gridCol w:w="1460"/>
        <w:gridCol w:w="1460"/>
        <w:gridCol w:w="880"/>
      </w:tblGrid>
      <w:tr>
        <w:trPr>
          <w:cantSplit w:val="false"/>
          <w:tblHeader/>
        </w:trPr>
        <w:tc>
          <w:tcPr>
            <w:tcW w:type="dxa" w:w="1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环节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作用</w:t>
            </w:r>
          </w:p>
        </w:tc>
        <w:tc>
          <w:tcPr>
            <w:tcW w:type="dxa" w:w="6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成熟度</w:t>
            </w:r>
          </w:p>
        </w:tc>
        <w:tc>
          <w:tcPr>
            <w:tcW w:type="dxa" w:w="1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供应商结构/集中度</w:t>
            </w:r>
          </w:p>
        </w:tc>
        <w:tc>
          <w:tcPr>
            <w:tcW w:type="dxa" w:w="13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成本占比/价值量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进入壁垒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潜在利润率（判断）</w:t>
            </w:r>
          </w:p>
        </w:tc>
        <w:tc>
          <w:tcPr>
            <w:tcW w:type="dxa" w:w="8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投资价值（判断）</w:t>
            </w:r>
          </w:p>
        </w:tc>
      </w:tr>
      <w:tr>
        <w:trPr>
          <w:cantSplit w:val="false"/>
          <w:tblHeader w:val="false"/>
        </w:trPr>
        <w:tc>
          <w:tcPr>
            <w:tcW w:type="dxa" w:w="1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旋转关节模组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提供关节扭矩与位置控制</w:t>
            </w:r>
          </w:p>
        </w:tc>
        <w:tc>
          <w:tcPr>
            <w:tcW w:type="dxa" w:w="6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L4–L5</w:t>
            </w:r>
          </w:p>
        </w:tc>
        <w:tc>
          <w:tcPr>
            <w:tcW w:type="dxa" w:w="1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中国供应商众多，头部整机自研</w:t>
            </w:r>
          </w:p>
        </w:tc>
        <w:tc>
          <w:tcPr>
            <w:tcW w:type="dxa" w:w="13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约占整机物料 31%（模型基准）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中（一体化设计、散热、一致性）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中低，持续年降</w:t>
            </w:r>
          </w:p>
        </w:tc>
        <w:tc>
          <w:tcPr>
            <w:tcW w:type="dxa" w:w="8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中：需一体化与规模</w:t>
            </w:r>
          </w:p>
        </w:tc>
      </w:tr>
      <w:tr>
        <w:trPr>
          <w:cantSplit w:val="false"/>
          <w:tblHeader w:val="false"/>
        </w:trPr>
        <w:tc>
          <w:tcPr>
            <w:tcW w:type="dxa" w:w="1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线性执行器/行星滚柱丝杠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高负载直线驱动</w:t>
            </w:r>
          </w:p>
        </w:tc>
        <w:tc>
          <w:tcPr>
            <w:tcW w:type="dxa" w:w="6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L3–L4</w:t>
            </w:r>
          </w:p>
        </w:tc>
        <w:tc>
          <w:tcPr>
            <w:tcW w:type="dxa" w:w="1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海外（舍弗勒、Rollvis、GSA 等）领先，国产追赶</w:t>
            </w:r>
          </w:p>
        </w:tc>
        <w:tc>
          <w:tcPr>
            <w:tcW w:type="dxa" w:w="13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17%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高（磨削工艺、设备）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中高（国产替代初期）</w:t>
            </w:r>
          </w:p>
        </w:tc>
        <w:tc>
          <w:tcPr>
            <w:tcW w:type="dxa" w:w="8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高</w:t>
            </w:r>
          </w:p>
        </w:tc>
      </w:tr>
      <w:tr>
        <w:trPr>
          <w:cantSplit w:val="false"/>
          <w:tblHeader w:val="false"/>
        </w:trPr>
        <w:tc>
          <w:tcPr>
            <w:tcW w:type="dxa" w:w="1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灵巧手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末端操作</w:t>
            </w:r>
          </w:p>
        </w:tc>
        <w:tc>
          <w:tcPr>
            <w:tcW w:type="dxa" w:w="6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L2–L5（分层）</w:t>
            </w:r>
          </w:p>
        </w:tc>
        <w:tc>
          <w:tcPr>
            <w:tcW w:type="dxa" w:w="1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低端分散、价格战；高端少数</w:t>
            </w:r>
          </w:p>
        </w:tc>
        <w:tc>
          <w:tcPr>
            <w:tcW w:type="dxa" w:w="13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25%（基准）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低端低、高端高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低端低、高端中高</w:t>
            </w:r>
          </w:p>
        </w:tc>
        <w:tc>
          <w:tcPr>
            <w:tcW w:type="dxa" w:w="8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高端高</w:t>
            </w:r>
          </w:p>
        </w:tc>
      </w:tr>
      <w:tr>
        <w:trPr>
          <w:cantSplit w:val="false"/>
          <w:tblHeader w:val="false"/>
        </w:trPr>
        <w:tc>
          <w:tcPr>
            <w:tcW w:type="dxa" w:w="1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力觉/触觉传感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接触感知</w:t>
            </w:r>
          </w:p>
        </w:tc>
        <w:tc>
          <w:tcPr>
            <w:tcW w:type="dxa" w:w="6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L2–L5</w:t>
            </w:r>
          </w:p>
        </w:tc>
        <w:tc>
          <w:tcPr>
            <w:tcW w:type="dxa" w:w="1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六维力海外主导；触觉初创多</w:t>
            </w:r>
          </w:p>
        </w:tc>
        <w:tc>
          <w:tcPr>
            <w:tcW w:type="dxa" w:w="13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8%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中高（标定、耐久）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中高</w:t>
            </w:r>
          </w:p>
        </w:tc>
        <w:tc>
          <w:tcPr>
            <w:tcW w:type="dxa" w:w="8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中高</w:t>
            </w:r>
          </w:p>
        </w:tc>
      </w:tr>
      <w:tr>
        <w:trPr>
          <w:cantSplit w:val="false"/>
          <w:tblHeader w:val="false"/>
        </w:trPr>
        <w:tc>
          <w:tcPr>
            <w:tcW w:type="dxa" w:w="1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视觉/雷达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环境感知</w:t>
            </w:r>
          </w:p>
        </w:tc>
        <w:tc>
          <w:tcPr>
            <w:tcW w:type="dxa" w:w="6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L5</w:t>
            </w:r>
          </w:p>
        </w:tc>
        <w:tc>
          <w:tcPr>
            <w:tcW w:type="dxa" w:w="1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中国供应商成本领先</w:t>
            </w:r>
          </w:p>
        </w:tc>
        <w:tc>
          <w:tcPr>
            <w:tcW w:type="dxa" w:w="13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3%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</w:t>
            </w:r>
          </w:p>
        </w:tc>
        <w:tc>
          <w:tcPr>
            <w:tcW w:type="dxa" w:w="8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</w:t>
            </w:r>
          </w:p>
        </w:tc>
      </w:tr>
      <w:tr>
        <w:trPr>
          <w:cantSplit w:val="false"/>
          <w:tblHeader w:val="false"/>
        </w:trPr>
        <w:tc>
          <w:tcPr>
            <w:tcW w:type="dxa" w:w="1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端侧计算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推理与控制</w:t>
            </w:r>
          </w:p>
        </w:tc>
        <w:tc>
          <w:tcPr>
            <w:tcW w:type="dxa" w:w="6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</w:t>
            </w:r>
          </w:p>
        </w:tc>
        <w:tc>
          <w:tcPr>
            <w:tcW w:type="dxa" w:w="1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NVIDIA 主导；国产 SoC 替代</w:t>
            </w:r>
          </w:p>
        </w:tc>
        <w:tc>
          <w:tcPr>
            <w:tcW w:type="dxa" w:w="13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6%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很高（生态）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高（龙头）</w:t>
            </w:r>
          </w:p>
        </w:tc>
        <w:tc>
          <w:tcPr>
            <w:tcW w:type="dxa" w:w="8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中（初创难）</w:t>
            </w:r>
          </w:p>
        </w:tc>
      </w:tr>
      <w:tr>
        <w:trPr>
          <w:cantSplit w:val="false"/>
          <w:tblHeader w:val="false"/>
        </w:trPr>
        <w:tc>
          <w:tcPr>
            <w:tcW w:type="dxa" w:w="1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电池与能源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续航</w:t>
            </w:r>
          </w:p>
        </w:tc>
        <w:tc>
          <w:tcPr>
            <w:tcW w:type="dxa" w:w="6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</w:t>
            </w:r>
          </w:p>
        </w:tc>
        <w:tc>
          <w:tcPr>
            <w:tcW w:type="dxa" w:w="1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电池产业链成熟</w:t>
            </w:r>
          </w:p>
        </w:tc>
        <w:tc>
          <w:tcPr>
            <w:tcW w:type="dxa" w:w="13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2%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</w:t>
            </w:r>
          </w:p>
        </w:tc>
        <w:tc>
          <w:tcPr>
            <w:tcW w:type="dxa" w:w="8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</w:t>
            </w:r>
          </w:p>
        </w:tc>
      </w:tr>
      <w:tr>
        <w:trPr>
          <w:cantSplit w:val="false"/>
          <w:tblHeader w:val="false"/>
        </w:trPr>
        <w:tc>
          <w:tcPr>
            <w:tcW w:type="dxa" w:w="1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结构件与装配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机体</w:t>
            </w:r>
          </w:p>
        </w:tc>
        <w:tc>
          <w:tcPr>
            <w:tcW w:type="dxa" w:w="6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</w:t>
            </w:r>
          </w:p>
        </w:tc>
        <w:tc>
          <w:tcPr>
            <w:tcW w:type="dxa" w:w="1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外包与自制并存</w:t>
            </w:r>
          </w:p>
        </w:tc>
        <w:tc>
          <w:tcPr>
            <w:tcW w:type="dxa" w:w="13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7% + 装配 12%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</w:t>
            </w:r>
          </w:p>
        </w:tc>
        <w:tc>
          <w:tcPr>
            <w:tcW w:type="dxa" w:w="8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</w:t>
            </w:r>
          </w:p>
        </w:tc>
      </w:tr>
      <w:tr>
        <w:trPr>
          <w:cantSplit w:val="false"/>
          <w:tblHeader w:val="false"/>
        </w:trPr>
        <w:tc>
          <w:tcPr>
            <w:tcW w:type="dxa" w:w="1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机器人基础模型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感知—决策—动作</w:t>
            </w:r>
          </w:p>
        </w:tc>
        <w:tc>
          <w:tcPr>
            <w:tcW w:type="dxa" w:w="6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L1–L3</w:t>
            </w:r>
          </w:p>
        </w:tc>
        <w:tc>
          <w:tcPr>
            <w:tcW w:type="dxa" w:w="1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海外 PI/DeepMind/Skild；中国大厂与创业公司众多，开源密集</w:t>
            </w:r>
          </w:p>
        </w:tc>
        <w:tc>
          <w:tcPr>
            <w:tcW w:type="dxa" w:w="13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软件，暂无稳定价格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中（人才、数据、算力）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未知（可能高也可能被开源压低）</w:t>
            </w:r>
          </w:p>
        </w:tc>
        <w:tc>
          <w:tcPr>
            <w:tcW w:type="dxa" w:w="8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中：看数据闭环</w:t>
            </w:r>
          </w:p>
        </w:tc>
      </w:tr>
      <w:tr>
        <w:trPr>
          <w:cantSplit w:val="false"/>
          <w:tblHeader w:val="false"/>
        </w:trPr>
        <w:tc>
          <w:tcPr>
            <w:tcW w:type="dxa" w:w="1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数据采集与服务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训练燃料</w:t>
            </w:r>
          </w:p>
        </w:tc>
        <w:tc>
          <w:tcPr>
            <w:tcW w:type="dxa" w:w="6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L3–L4</w:t>
            </w:r>
          </w:p>
        </w:tc>
        <w:tc>
          <w:tcPr>
            <w:tcW w:type="dxa" w:w="1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数采中心（国资）、创业公司、整机自采</w:t>
            </w:r>
          </w:p>
        </w:tc>
        <w:tc>
          <w:tcPr>
            <w:tcW w:type="dxa" w:w="13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低（供给扩张）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</w:t>
            </w:r>
          </w:p>
        </w:tc>
        <w:tc>
          <w:tcPr>
            <w:tcW w:type="dxa" w:w="8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低（工具除外）</w:t>
            </w:r>
          </w:p>
        </w:tc>
      </w:tr>
      <w:tr>
        <w:trPr>
          <w:cantSplit w:val="false"/>
          <w:tblHeader w:val="false"/>
        </w:trPr>
        <w:tc>
          <w:tcPr>
            <w:tcW w:type="dxa" w:w="1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仿真/世界模型/评测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训练与验证</w:t>
            </w:r>
          </w:p>
        </w:tc>
        <w:tc>
          <w:tcPr>
            <w:tcW w:type="dxa" w:w="6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L2–L4</w:t>
            </w:r>
          </w:p>
        </w:tc>
        <w:tc>
          <w:tcPr>
            <w:tcW w:type="dxa" w:w="1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NVIDIA Isaac/Cosmos 主导，国产追赶</w:t>
            </w:r>
          </w:p>
        </w:tc>
        <w:tc>
          <w:tcPr>
            <w:tcW w:type="dxa" w:w="13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中高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</w:t>
            </w:r>
          </w:p>
        </w:tc>
        <w:tc>
          <w:tcPr>
            <w:tcW w:type="dxa" w:w="8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1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整机集成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系统集成与品牌</w:t>
            </w:r>
          </w:p>
        </w:tc>
        <w:tc>
          <w:tcPr>
            <w:tcW w:type="dxa" w:w="6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L3–L5（分层）</w:t>
            </w:r>
          </w:p>
        </w:tc>
        <w:tc>
          <w:tcPr>
            <w:tcW w:type="dxa" w:w="1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 150+ 家，前五占全球出货 86%</w:t>
            </w:r>
          </w:p>
        </w:tc>
        <w:tc>
          <w:tcPr>
            <w:tcW w:type="dxa" w:w="13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资本与供应链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教育科研高、工业中低</w:t>
            </w:r>
          </w:p>
        </w:tc>
        <w:tc>
          <w:tcPr>
            <w:tcW w:type="dxa" w:w="8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头部高、尾部低</w:t>
            </w:r>
          </w:p>
        </w:tc>
      </w:tr>
      <w:tr>
        <w:trPr>
          <w:cantSplit w:val="false"/>
          <w:tblHeader w:val="false"/>
        </w:trPr>
        <w:tc>
          <w:tcPr>
            <w:tcW w:type="dxa" w:w="1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系统集成/部署服务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场景落地</w:t>
            </w:r>
          </w:p>
        </w:tc>
        <w:tc>
          <w:tcPr>
            <w:tcW w:type="dxa" w:w="6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</w:t>
            </w:r>
          </w:p>
        </w:tc>
        <w:tc>
          <w:tcPr>
            <w:tcW w:type="dxa" w:w="1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整机厂直销为主，集成商初现</w:t>
            </w:r>
          </w:p>
        </w:tc>
        <w:tc>
          <w:tcPr>
            <w:tcW w:type="dxa" w:w="13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项目制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行业 know-how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</w:t>
            </w:r>
          </w:p>
        </w:tc>
        <w:tc>
          <w:tcPr>
            <w:tcW w:type="dxa" w:w="8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1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运营服务/RaaS/租赁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按使用付费</w:t>
            </w:r>
          </w:p>
        </w:tc>
        <w:tc>
          <w:tcPr>
            <w:tcW w:type="dxa" w:w="6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</w:t>
            </w:r>
          </w:p>
        </w:tc>
        <w:tc>
          <w:tcPr>
            <w:tcW w:type="dxa" w:w="1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分散</w:t>
            </w:r>
          </w:p>
        </w:tc>
        <w:tc>
          <w:tcPr>
            <w:tcW w:type="dxa" w:w="13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资金与运维网络</w:t>
            </w:r>
          </w:p>
        </w:tc>
        <w:tc>
          <w:tcPr>
            <w:tcW w:type="dxa" w:w="14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中低（视利用率）</w:t>
            </w:r>
          </w:p>
        </w:tc>
        <w:tc>
          <w:tcPr>
            <w:tcW w:type="dxa" w:w="8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中低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价值流、成本流与技术依赖（文字版产业图）</w:t>
      </w:r>
    </w:p>
    <w:p>
      <w:pPr>
        <w:shd w:fill="F4F4F2" w:color="auto" w:val="clear"/>
        <w:spacing w:after="0" w:before="8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         资本（VC/国资/产业资本/二级市场）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                      │  融资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                      ▼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上游零部件 ──供货──▶ 整机/本体 ──设备/方案──▶ 场景客户 ──付费──▶ 收入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（执行器≈48%、灵巧手≈25%、          ▲                  │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传感≈11%、算力≈6%：物料成本）       │                  │ 部署回流数据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                                    │                  ▼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基础模型/软件 ──授权/自研──────────────┘          数据（遥操作/人类视频/仿真）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（开源底座、云端训练算力）                               │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       ▲─────────────────────────训练数据───────────────┘</w:t>
      </w:r>
    </w:p>
    <w:p>
      <w:pPr>
        <w:shd w:fill="F4F4F2" w:color="auto" w:val="clear"/>
        <w:spacing w:after="16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政策（数采中心、训练场、补贴、标准、采购）──订单/补贴──▶ 整机、数据服务</w:t>
      </w:r>
    </w:p>
    <w:p>
      <w:pPr>
        <w:spacing w:after="120" w:line="324" w:lineRule="auto"/>
        <w:jc w:val="both"/>
      </w:pPr>
      <w:r>
        <w:t xml:space="preserve">这张图里有三个关键依赖：</w:t>
      </w:r>
    </w:p>
    <w:p>
      <w:pPr>
        <w:spacing w:after="60" w:line="312" w:lineRule="auto"/>
        <w:ind w:left="420" w:hanging="300"/>
      </w:pPr>
      <w:r>
        <w:t xml:space="preserve">1. </w:t>
      </w:r>
      <w:r>
        <w:rPr>
          <w:b/>
          <w:bCs/>
        </w:rPr>
        <w:t xml:space="preserve">整机的毛利受上游执行器定价约束</w:t>
      </w:r>
      <w:r>
        <w:t xml:space="preserve">。执行器加灵巧手约占物料成本的 73%（第三篇）。</w:t>
      </w:r>
    </w:p>
    <w:p>
      <w:pPr>
        <w:spacing w:after="60" w:line="312" w:lineRule="auto"/>
        <w:ind w:left="420" w:hanging="300"/>
      </w:pPr>
      <w:r>
        <w:t xml:space="preserve">2. </w:t>
      </w:r>
      <w:r>
        <w:rPr>
          <w:b/>
          <w:bCs/>
        </w:rPr>
        <w:t xml:space="preserve">模型能力依赖数据，数据又依赖部署规模</w:t>
      </w:r>
      <w:r>
        <w:t xml:space="preserve">。没有部署就没有回流数据，这是"先有鸡还是先有蛋"的结构性难题（第五篇）。</w:t>
      </w:r>
    </w:p>
    <w:p>
      <w:pPr>
        <w:spacing w:after="60" w:line="312" w:lineRule="auto"/>
        <w:ind w:left="420" w:hanging="300"/>
      </w:pPr>
      <w:r>
        <w:t xml:space="preserve">3. </w:t>
      </w:r>
      <w:r>
        <w:rPr>
          <w:b/>
          <w:bCs/>
        </w:rPr>
        <w:t xml:space="preserve">当前收入很大程度依赖政策与科研预算</w:t>
      </w:r>
      <w:r>
        <w:t xml:space="preserve">，而不是 ROI 型客户（第六篇）。</w:t>
      </w:r>
    </w:p>
    <w:p>
      <w:pPr>
        <w:pStyle w:val="Heading3"/>
      </w:pPr>
      <w:r>
        <w:t xml:space="preserve">竞争地图（按环节与地区）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1"/>
        <w:gridCol w:w="2865"/>
        <w:gridCol w:w="2865"/>
        <w:gridCol w:w="2867"/>
      </w:tblGrid>
      <w:tr>
        <w:trPr>
          <w:cantSplit w:val="false"/>
          <w:tblHeader/>
        </w:trPr>
        <w:tc>
          <w:tcPr>
            <w:tcW w:type="dxa" w:w="10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环节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中国代表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海外代表</w:t>
            </w:r>
          </w:p>
        </w:tc>
        <w:tc>
          <w:tcPr>
            <w:tcW w:type="dxa" w:w="286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当前格局</w:t>
            </w:r>
          </w:p>
        </w:tc>
      </w:tr>
      <w:tr>
        <w:trPr>
          <w:cantSplit w:val="false"/>
          <w:tblHeader w:val="false"/>
        </w:trPr>
        <w:tc>
          <w:tcPr>
            <w:tcW w:type="dxa" w:w="10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人形整机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宇树、智元、优必选、银河通用、乐聚、星动纪元、逐际、星尘、傅利叶、小鹏、小米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特斯拉、Figure、Agility、Apptronik、BD（现代）、1X</w:t>
            </w:r>
          </w:p>
        </w:tc>
        <w:tc>
          <w:tcPr>
            <w:tcW w:type="dxa" w:w="286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出货：中国主导（前五占 86%）；估值：美国更高</w:t>
            </w:r>
          </w:p>
        </w:tc>
      </w:tr>
      <w:tr>
        <w:trPr>
          <w:cantSplit w:val="false"/>
          <w:tblHeader w:val="false"/>
        </w:trPr>
        <w:tc>
          <w:tcPr>
            <w:tcW w:type="dxa" w:w="10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四足/特种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宇树、云深处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BD（Spot）、ANYbotics</w:t>
            </w:r>
          </w:p>
        </w:tc>
        <w:tc>
          <w:tcPr>
            <w:tcW w:type="dxa" w:w="286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已商业化（L4–L5）</w:t>
            </w:r>
          </w:p>
        </w:tc>
      </w:tr>
      <w:tr>
        <w:trPr>
          <w:cantSplit w:val="false"/>
          <w:tblHeader w:val="false"/>
        </w:trPr>
        <w:tc>
          <w:tcPr>
            <w:tcW w:type="dxa" w:w="10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基础模型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星海图、千寻、自变量、它石、智平方、灵初、极佳；字节、阿里、蚂蚁、腾讯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PI、Skild、Google DeepMind、NVIDIA、Generalist</w:t>
            </w:r>
          </w:p>
        </w:tc>
        <w:tc>
          <w:tcPr>
            <w:tcW w:type="dxa" w:w="286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美国在前沿能力领先；中国在开源和迭代速度上领先</w:t>
            </w:r>
          </w:p>
        </w:tc>
      </w:tr>
      <w:tr>
        <w:trPr>
          <w:cantSplit w:val="false"/>
          <w:tblHeader w:val="false"/>
        </w:trPr>
        <w:tc>
          <w:tcPr>
            <w:tcW w:type="dxa" w:w="10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精密部件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绿的谐波、国产丝杠群组、因时、灵心巧手、国产六维力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哈默纳科、舍弗勒、THK、ATI</w:t>
            </w:r>
          </w:p>
        </w:tc>
        <w:tc>
          <w:tcPr>
            <w:tcW w:type="dxa" w:w="286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中低端中国主导，高端海外领先</w:t>
            </w:r>
          </w:p>
        </w:tc>
      </w:tr>
      <w:tr>
        <w:trPr>
          <w:cantSplit w:val="false"/>
          <w:tblHeader w:val="false"/>
        </w:trPr>
        <w:tc>
          <w:tcPr>
            <w:tcW w:type="dxa" w:w="10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端侧算力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地平线、地瓜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NVIDIA、特斯拉（自用）</w:t>
            </w:r>
          </w:p>
        </w:tc>
        <w:tc>
          <w:tcPr>
            <w:tcW w:type="dxa" w:w="286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NVIDIA 主导</w:t>
            </w:r>
          </w:p>
        </w:tc>
      </w:tr>
      <w:tr>
        <w:trPr>
          <w:cantSplit w:val="false"/>
          <w:tblHeader w:val="false"/>
        </w:trPr>
        <w:tc>
          <w:tcPr>
            <w:tcW w:type="dxa" w:w="10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对照组（非人形）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极智嘉、海康机器人、越疆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亚马逊、Locus 等</w:t>
            </w:r>
          </w:p>
        </w:tc>
        <w:tc>
          <w:tcPr>
            <w:tcW w:type="dxa" w:w="286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已规模化盈利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5" w:id="1015"/>
      <w:r>
        <w:t xml:space="preserve">1.4 反证检查：本篇判断可能错在哪里</w:t>
      </w:r>
      <w:bookmarkEnd w:id="1015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"人形只是形态之一"的反面</w:t>
      </w:r>
      <w:r>
        <w:t xml:space="preserve">：如果某种形态的出货量远超其他形态，规模经济可能让它成为最便宜的通用平台，就像智能手机统一了形态一样。触发信号是：双足人形相对轮式底盘的成本溢价在 2028 年前降到 20% 以内（见第六篇）。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"2026 年是拐点"的反面</w:t>
      </w:r>
      <w:r>
        <w:t xml:space="preserve">：国家创投引导基金和地方产业基金可能延长资本扩张期，把出清推迟到 2028 年以后。这时，回避整机的策略可能错过一段由资金推动的估值上行。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最容易被忽略的竞争对手</w:t>
      </w:r>
      <w:r>
        <w:t xml:space="preserve">：不是另一家人形公司，而是</w:t>
      </w:r>
      <w:r>
        <w:rPr>
          <w:b/>
          <w:bCs/>
        </w:rPr>
        <w:t xml:space="preserve">协作臂加 AMR 的复合机器人、专用自动化设备，以及物流巨头的自研系统</w:t>
      </w:r>
      <w:r>
        <w:t xml:space="preserve">。</w:t>
      </w:r>
    </w:p>
    <w:p>
      <w:pPr>
        <w:pStyle w:val="Heading1"/>
        <w:pageBreakBefore/>
      </w:pPr>
      <w:bookmarkStart w:name="bm16" w:id="1016"/>
      <w:r>
        <w:t xml:space="preserve">第二篇　全球产业实际发展水平：剥离宣传后的真实能力</w:t>
      </w:r>
      <w:bookmarkEnd w:id="1016"/>
    </w:p>
    <w:p>
      <w:pPr>
        <w:pStyle w:val="Heading2"/>
      </w:pPr>
      <w:bookmarkStart w:name="bm17" w:id="1017"/>
      <w:r>
        <w:t xml:space="preserve">2.1 核心问题：机器人今天到底能做什么，不能做什么</w:t>
      </w:r>
      <w:bookmarkEnd w:id="1017"/>
    </w:p>
    <w:p>
      <w:pPr>
        <w:spacing w:after="120" w:line="324" w:lineRule="auto"/>
        <w:jc w:val="both"/>
      </w:pPr>
      <w:r>
        <w:t xml:space="preserve">先给结论〔综合判断，B/C/D〕：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已经可靠能做的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在平地与一般室外地形上稳定行走、跑跳和完成舞蹈动作（运动控制已商品化）；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在结构化工位上，对已知物体做抓取放置；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四足机器人做巡检；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在受控展示环境中做导览和交互。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在试点中"能做但不够好"的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工厂的料箱搬运、上下料、物料配送：速度慢于熟练工人，需要人员看护；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物流搬箱：可以连续运行，但吞吐和可用率还不足以支撑 ROI；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柔性物体操作，例如叠衣服：成功率可观，但速度慢、失败恢复差。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基本还做不到的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陌生家庭里长时序家务的可靠完成；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精细的五指装配；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不靠人工接管、跨场景零样本的长期稳定运行；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满足汽车总装线节拍与质量的规模化作业。</w:t>
      </w:r>
    </w:p>
    <w:p>
      <w:pPr>
        <w:pStyle w:val="Heading2"/>
      </w:pPr>
      <w:bookmarkStart w:name="bm18" w:id="1018"/>
      <w:r>
        <w:t xml:space="preserve">2.2 成熟度五级与代表企业定位</w:t>
      </w:r>
      <w:bookmarkEnd w:id="1018"/>
    </w:p>
    <w:p>
      <w:pPr>
        <w:spacing w:after="40" w:before="120"/>
        <w:jc w:val="center"/>
      </w:pPr>
      <w:r>
        <w:drawing>
          <wp:inline distT="0" distB="0" distL="0" distR="0">
            <wp:extent cx="6000750" cy="3152775"/>
            <wp:effectExtent t="0" r="0" b="0" l="0"/>
            <wp:docPr id="1" name="全球人形机器人出货：从万台级走向五万台级" descr="全球人形机器人出货：从万台级走向五万台级" title="全球人形机器人出货：从万台级走向五万台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14E"/>
          <w:sz w:val="18"/>
          <w:szCs w:val="18"/>
        </w:rPr>
        <w:t xml:space="preserve">图 2　全球人形机器人出货：从万台级走向五万台级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4"/>
        <w:gridCol w:w="2637"/>
        <w:gridCol w:w="4463"/>
        <w:gridCol w:w="814"/>
      </w:tblGrid>
      <w:tr>
        <w:trPr>
          <w:cantSplit w:val="false"/>
          <w:tblHeader/>
        </w:trPr>
        <w:tc>
          <w:tcPr>
            <w:tcW w:type="dxa" w:w="17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成熟度</w:t>
            </w:r>
          </w:p>
        </w:tc>
        <w:tc>
          <w:tcPr>
            <w:tcW w:type="dxa" w:w="26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定义</w:t>
            </w:r>
          </w:p>
        </w:tc>
        <w:tc>
          <w:tcPr>
            <w:tcW w:type="dxa" w:w="44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代表性证据（截至 2026-10）</w:t>
            </w:r>
          </w:p>
        </w:tc>
        <w:tc>
          <w:tcPr>
            <w:tcW w:type="dxa" w:w="8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证据等级</w:t>
            </w:r>
          </w:p>
        </w:tc>
      </w:tr>
      <w:tr>
        <w:trPr>
          <w:cantSplit w:val="false"/>
          <w:tblHeader w:val="false"/>
        </w:trPr>
        <w:tc>
          <w:tcPr>
            <w:tcW w:type="dxa" w:w="17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L5 规模化成熟产品</w:t>
            </w:r>
          </w:p>
        </w:tc>
        <w:tc>
          <w:tcPr>
            <w:tcW w:type="dxa" w:w="26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可规模化复制</w:t>
            </w:r>
          </w:p>
        </w:tc>
        <w:tc>
          <w:tcPr>
            <w:tcW w:type="dxa" w:w="44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科研教育与文娱人形（宇树 G1 等，年出货数千台、毛利约 60%）；四足巡检；仓储 AMR（极智嘉营收 31.71 亿元、经调整盈利）</w:t>
            </w:r>
          </w:p>
        </w:tc>
        <w:tc>
          <w:tcPr>
            <w:tcW w:type="dxa" w:w="8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17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L4 可重复付费部署</w:t>
            </w:r>
          </w:p>
        </w:tc>
        <w:tc>
          <w:tcPr>
            <w:tcW w:type="dxa" w:w="26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多客户、可付费、可重复</w:t>
            </w:r>
          </w:p>
        </w:tc>
        <w:tc>
          <w:tcPr>
            <w:tcW w:type="dxa" w:w="44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云深处四足巡检（2025 年营收 3.37 亿元、盈利）；优必选政府数采中心项目；Agility 在 9 个客户站点的 RaaS（规模小）</w:t>
            </w:r>
          </w:p>
        </w:tc>
        <w:tc>
          <w:tcPr>
            <w:tcW w:type="dxa" w:w="8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17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L3 客户现场试点</w:t>
            </w:r>
          </w:p>
        </w:tc>
        <w:tc>
          <w:tcPr>
            <w:tcW w:type="dxa" w:w="26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真实客户、真实现场</w:t>
            </w:r>
          </w:p>
        </w:tc>
        <w:tc>
          <w:tcPr>
            <w:tcW w:type="dxa" w:w="44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宝马 Figure（2025 年 Figure 02，2026 年 Figure 03 做物流作业）；优必选、智元在车厂和 3C 产线的实训与试点；GXO 45 次人形试点；银河通用零售"太空舱"</w:t>
            </w:r>
          </w:p>
        </w:tc>
        <w:tc>
          <w:tcPr>
            <w:tcW w:type="dxa" w:w="8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B/C</w:t>
            </w:r>
          </w:p>
        </w:tc>
      </w:tr>
      <w:tr>
        <w:trPr>
          <w:cantSplit w:val="false"/>
          <w:tblHeader w:val="false"/>
        </w:trPr>
        <w:tc>
          <w:tcPr>
            <w:tcW w:type="dxa" w:w="17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L2 受控持续运行</w:t>
            </w:r>
          </w:p>
        </w:tc>
        <w:tc>
          <w:tcPr>
            <w:tcW w:type="dxa" w:w="26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实验室或自有场地长时间运行</w:t>
            </w:r>
          </w:p>
        </w:tc>
        <w:tc>
          <w:tcPr>
            <w:tcW w:type="dxa" w:w="44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特斯拉内部工厂；1X NEO 内部家庭测试；北京人形创新中心 8 小时耐久测试</w:t>
            </w:r>
          </w:p>
        </w:tc>
        <w:tc>
          <w:tcPr>
            <w:tcW w:type="dxa" w:w="8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17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L1 演示</w:t>
            </w:r>
          </w:p>
        </w:tc>
        <w:tc>
          <w:tcPr>
            <w:tcW w:type="dxa" w:w="26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单场景、可剪辑</w:t>
            </w:r>
          </w:p>
        </w:tc>
        <w:tc>
          <w:tcPr>
            <w:tcW w:type="dxa" w:w="44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大部分家庭场景、五指精细装配、长时序整任务演示</w:t>
            </w:r>
          </w:p>
        </w:tc>
        <w:tc>
          <w:tcPr>
            <w:tcW w:type="dxa" w:w="8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关键观察</w:t>
      </w:r>
      <w:r>
        <w:t xml:space="preserve">：同一家公司的不同产品、不同场景，往往处在不同成熟度。所以评价企业时</w:t>
      </w:r>
      <w:r>
        <w:rPr>
          <w:b/>
          <w:bCs/>
        </w:rPr>
        <w:t xml:space="preserve">不能用一个成熟度标签概括</w:t>
      </w:r>
      <w:r>
        <w:t xml:space="preserve">，必须</w:t>
      </w:r>
      <w:r>
        <w:rPr>
          <w:b/>
          <w:bCs/>
        </w:rPr>
        <w:t xml:space="preserve">按收入来源逐项定级</w:t>
      </w:r>
      <w:r>
        <w:t xml:space="preserve">。例如，宇树的科研教育业务属于 L5，工业业务大致在 L3；优必选的政府项目属于 L4，产线生产性部署多在 L3。</w:t>
      </w:r>
    </w:p>
    <w:p>
      <w:pPr>
        <w:pStyle w:val="Heading2"/>
      </w:pPr>
      <w:bookmarkStart w:name="bm19" w:id="1019"/>
      <w:r>
        <w:t xml:space="preserve">2.3 分能力维度的真实水平</w:t>
      </w:r>
      <w:bookmarkEnd w:id="10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1"/>
        <w:gridCol w:w="3029"/>
        <w:gridCol w:w="3029"/>
        <w:gridCol w:w="2479"/>
      </w:tblGrid>
      <w:tr>
        <w:trPr>
          <w:cantSplit w:val="false"/>
          <w:tblHeader/>
        </w:trPr>
        <w:tc>
          <w:tcPr>
            <w:tcW w:type="dxa" w:w="11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能力维度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2026 年真实水平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主要证据</w:t>
            </w:r>
          </w:p>
        </w:tc>
        <w:tc>
          <w:tcPr>
            <w:tcW w:type="dxa" w:w="24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离商业化的差距</w:t>
            </w:r>
          </w:p>
        </w:tc>
      </w:tr>
      <w:tr>
        <w:trPr>
          <w:cantSplit w:val="false"/>
          <w:tblHeader w:val="false"/>
        </w:trPr>
        <w:tc>
          <w:tcPr>
            <w:tcW w:type="dxa" w:w="11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移动与平衡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成熟：仿真强化学习加零样本 sim2real 成为标配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跑跳、舞蹈、马拉松赛事普遍可完成</w:t>
            </w:r>
          </w:p>
        </w:tc>
        <w:tc>
          <w:tcPr>
            <w:tcW w:type="dxa" w:w="24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负载下的稳健性和跌倒后的安全仍需改进</w:t>
            </w:r>
          </w:p>
        </w:tc>
      </w:tr>
      <w:tr>
        <w:trPr>
          <w:cantSplit w:val="false"/>
          <w:tblHeader w:val="false"/>
        </w:trPr>
        <w:tc>
          <w:tcPr>
            <w:tcW w:type="dxa" w:w="11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导航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成熟：AMR 产业已验证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极智嘉等</w:t>
            </w:r>
          </w:p>
        </w:tc>
        <w:tc>
          <w:tcPr>
            <w:tcW w:type="dxa" w:w="24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人形借用即可</w:t>
            </w:r>
          </w:p>
        </w:tc>
      </w:tr>
      <w:tr>
        <w:trPr>
          <w:cantSplit w:val="false"/>
          <w:tblHeader w:val="false"/>
        </w:trPr>
        <w:tc>
          <w:tcPr>
            <w:tcW w:type="dxa" w:w="11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结构化抓放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接近可用：固定工位成功率可达 99% 级（多为公司口径）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智元称在龙旗产线达 99.5%；千寻称在宁德时代超过 99%（C）</w:t>
            </w:r>
          </w:p>
        </w:tc>
        <w:tc>
          <w:tcPr>
            <w:tcW w:type="dxa" w:w="24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节拍和换型速度</w:t>
            </w:r>
          </w:p>
        </w:tc>
      </w:tr>
      <w:tr>
        <w:trPr>
          <w:cantSplit w:val="false"/>
          <w:tblHeader w:val="false"/>
        </w:trPr>
        <w:tc>
          <w:tcPr>
            <w:tcW w:type="dxa" w:w="11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开放环境移动操作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早期：陌生家庭整任务成功率约 56%（Figure 自评）；BEHAVIOR 挑战赛冠军的完整成功率约 12%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公司自评与学术赛事（C/B）</w:t>
            </w:r>
          </w:p>
        </w:tc>
        <w:tc>
          <w:tcPr>
            <w:tcW w:type="dxa" w:w="24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长尾失败、误差累积</w:t>
            </w:r>
          </w:p>
        </w:tc>
      </w:tr>
      <w:tr>
        <w:trPr>
          <w:cantSplit w:val="false"/>
          <w:tblHeader w:val="false"/>
        </w:trPr>
        <w:tc>
          <w:tcPr>
            <w:tcW w:type="dxa" w:w="11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灵巧操作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早期：五指装配类任务成功率约 32%–44%（DeepMind 自报，C）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特斯拉称手部是最难的机电问题（B，S29）</w:t>
            </w:r>
          </w:p>
        </w:tc>
        <w:tc>
          <w:tcPr>
            <w:tcW w:type="dxa" w:w="24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硬件寿命与触觉</w:t>
            </w:r>
          </w:p>
        </w:tc>
      </w:tr>
      <w:tr>
        <w:trPr>
          <w:cantSplit w:val="false"/>
          <w:tblHeader w:val="false"/>
        </w:trPr>
        <w:tc>
          <w:tcPr>
            <w:tcW w:type="dxa" w:w="11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双臂协同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中等：叠衣、装箱等可演示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多家公司演示</w:t>
            </w:r>
          </w:p>
        </w:tc>
        <w:tc>
          <w:tcPr>
            <w:tcW w:type="dxa" w:w="24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速度与稳定性</w:t>
            </w:r>
          </w:p>
        </w:tc>
      </w:tr>
      <w:tr>
        <w:trPr>
          <w:cantSplit w:val="false"/>
          <w:tblHeader w:val="false"/>
        </w:trPr>
        <w:tc>
          <w:tcPr>
            <w:tcW w:type="dxa" w:w="11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长时序任务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早期：约 10–15 分钟级任务演示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PI MEM 等（C）</w:t>
            </w:r>
          </w:p>
        </w:tc>
        <w:tc>
          <w:tcPr>
            <w:tcW w:type="dxa" w:w="24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记忆、错误恢复</w:t>
            </w:r>
          </w:p>
        </w:tc>
      </w:tr>
      <w:tr>
        <w:trPr>
          <w:cantSplit w:val="false"/>
          <w:tblHeader w:val="false"/>
        </w:trPr>
        <w:tc>
          <w:tcPr>
            <w:tcW w:type="dxa" w:w="11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环境泛化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早期：在数十户陌生家庭中零样本测试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Figure（C）</w:t>
            </w:r>
          </w:p>
        </w:tc>
        <w:tc>
          <w:tcPr>
            <w:tcW w:type="dxa" w:w="24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第三方大样本验证缺失</w:t>
            </w:r>
          </w:p>
        </w:tc>
      </w:tr>
      <w:tr>
        <w:trPr>
          <w:cantSplit w:val="false"/>
          <w:tblHeader w:val="false"/>
        </w:trPr>
        <w:tc>
          <w:tcPr>
            <w:tcW w:type="dxa" w:w="11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人机交互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可用：大模型对话和指令理解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4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指令到动作的可靠映射</w:t>
            </w:r>
          </w:p>
        </w:tc>
      </w:tr>
      <w:tr>
        <w:trPr>
          <w:cantSplit w:val="false"/>
          <w:tblHeader w:val="false"/>
        </w:trPr>
        <w:tc>
          <w:tcPr>
            <w:tcW w:type="dxa" w:w="11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安全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早期：标准体系 2026 年才发布（B，S20）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4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认证缺失</w:t>
            </w:r>
          </w:p>
        </w:tc>
      </w:tr>
      <w:tr>
        <w:trPr>
          <w:cantSplit w:val="false"/>
          <w:tblHeader w:val="false"/>
        </w:trPr>
        <w:tc>
          <w:tcPr>
            <w:tcW w:type="dxa" w:w="11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可靠性与维护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缺乏公开数据：几乎没有公司披露 MTBF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4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这是</w:t>
            </w:r>
            <w:r>
              <w:rPr>
                <w:b/>
                <w:bCs/>
                <w:sz w:val="16"/>
                <w:szCs w:val="16"/>
              </w:rPr>
              <w:t xml:space="preserve">最重要的信息缺口</w:t>
            </w:r>
          </w:p>
        </w:tc>
      </w:tr>
      <w:tr>
        <w:trPr>
          <w:cantSplit w:val="false"/>
          <w:tblHeader w:val="false"/>
        </w:trPr>
        <w:tc>
          <w:tcPr>
            <w:tcW w:type="dxa" w:w="11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续航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约 2–4 小时（多数公司口径）；优必选 Walker S2 用自主换电规避（C）</w:t>
            </w:r>
          </w:p>
        </w:tc>
        <w:tc>
          <w:tcPr>
            <w:tcW w:type="dxa" w:w="30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4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换电与调度</w:t>
            </w:r>
          </w:p>
        </w:tc>
      </w:tr>
    </w:tbl>
    <w:p>
      <w:pPr>
        <w:spacing w:after="120"/>
      </w:pPr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b/>
          <w:bCs/>
          <w:color w:val="3A3F4A"/>
          <w:sz w:val="18"/>
          <w:szCs w:val="18"/>
        </w:rPr>
        <w:t xml:space="preserve">口径警告</w:t>
      </w:r>
      <w:r>
        <w:rPr>
          <w:color w:val="3A3F4A"/>
          <w:sz w:val="18"/>
          <w:szCs w:val="18"/>
        </w:rPr>
        <w:t xml:space="preserve">：上表的成功率几乎都来自公司自评，任务定义、样本量和是否允许重试各不相同，</w:t>
      </w:r>
      <w:r>
        <w:rPr>
          <w:b/>
          <w:bCs/>
          <w:color w:val="3A3F4A"/>
          <w:sz w:val="18"/>
          <w:szCs w:val="18"/>
        </w:rPr>
        <w:t xml:space="preserve">不可横向比较</w:t>
      </w:r>
      <w:r>
        <w:rPr>
          <w:color w:val="3A3F4A"/>
          <w:sz w:val="18"/>
          <w:szCs w:val="18"/>
        </w:rPr>
        <w:t xml:space="preserve">。第三方大样本、盲测的数据非常稀缺。2026 年 6 月的 RoboArena 众包评测操纵事件，进一步暴露了评测的公信力问题〔C，见原技术报告第 41 章〕。</w:t>
      </w:r>
    </w:p>
    <w:p>
      <w:pPr>
        <w:pStyle w:val="Heading2"/>
      </w:pPr>
      <w:bookmarkStart w:name="bm20" w:id="1020"/>
      <w:r>
        <w:t xml:space="preserve">2.4 一个可验算的案例：宝马 Spartanburg 的 Figure 02 试点</w:t>
      </w:r>
      <w:bookmarkEnd w:id="1020"/>
    </w:p>
    <w:p>
      <w:pPr>
        <w:spacing w:after="120" w:line="324" w:lineRule="auto"/>
        <w:jc w:val="both"/>
      </w:pPr>
      <w:r>
        <w:t xml:space="preserve">公开数据〔C，S33〕：Figure 02 在宝马 Spartanburg 车身车间工作约 10–11 个月，累计运行 1,250 小时，装载 9 万多个零件，参与了 3 万多辆 X3 的生产。该工位节拍为 84 秒，每个节拍装载 3 个零件，装载动作本身用时 37 秒。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本报告的推算</w:t>
      </w:r>
      <w:r>
        <w:t xml:space="preserve">〔D，假设所有运行小时都用于同一任务〕：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平均吞吐 = 90,000 ÷ 1,250 ≈ </w:t>
      </w:r>
      <w:r>
        <w:rPr>
          <w:b/>
          <w:bCs/>
        </w:rPr>
        <w:t xml:space="preserve">72 件/小时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产线需求 = 3 件 ÷ 84 秒 × 3,600 ≈ </w:t>
      </w:r>
      <w:r>
        <w:rPr>
          <w:b/>
          <w:bCs/>
        </w:rPr>
        <w:t xml:space="preserve">129 件/小时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机器人平均吞吐约为节拍需求的 </w:t>
      </w:r>
      <w:r>
        <w:rPr>
          <w:b/>
          <w:bCs/>
        </w:rPr>
        <w:t xml:space="preserve">56%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时间覆盖：1,250 小时 ÷ 约 220 个工作日 ≈ </w:t>
      </w:r>
      <w:r>
        <w:rPr>
          <w:b/>
          <w:bCs/>
        </w:rPr>
        <w:t xml:space="preserve">每工作日约 5.7 小时</w:t>
      </w:r>
      <w:r>
        <w:t xml:space="preserve">，远低于双班约 16 小时的覆盖。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解读</w:t>
      </w:r>
      <w:r>
        <w:t xml:space="preserve">：这是一次</w:t>
      </w:r>
      <w:r>
        <w:rPr>
          <w:b/>
          <w:bCs/>
        </w:rPr>
        <w:t xml:space="preserve">成功的试点</w:t>
      </w:r>
      <w:r>
        <w:t xml:space="preserve">——机器人真正在生产线上运行，而且有可审计的数字。但它离</w:t>
      </w:r>
      <w:r>
        <w:rPr>
          <w:b/>
          <w:bCs/>
        </w:rPr>
        <w:t xml:space="preserve">经济性替代</w:t>
      </w:r>
      <w:r>
        <w:t xml:space="preserve">还很远。按本报告的 TCO 模型，吞吐率低于 60%、时间覆盖不足一班的机器人，即使整机价格降到 20 万元，也很难在 5 年内回本（第六篇敏感性表）。Figure 后来把 Figure 02 退役，换成 Figure 03 做物流作业，这也说明硬件代际迭代本身就是部署成本的一部分。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替代解释</w:t>
      </w:r>
      <w:r>
        <w:t xml:space="preserve">：这个工位可能并非全时段交给机器人，而是有意安排人机混线。若如此，56% 低估了机器人的瞬时能力。不过对投资判断有意义的，恰恰是"</w:t>
      </w:r>
      <w:r>
        <w:rPr>
          <w:b/>
          <w:bCs/>
        </w:rPr>
        <w:t xml:space="preserve">平均有效吞吐</w:t>
      </w:r>
      <w:r>
        <w:t xml:space="preserve">"而不是"瞬时最佳速度"。</w:t>
      </w:r>
    </w:p>
    <w:p>
      <w:pPr>
        <w:pStyle w:val="Heading2"/>
      </w:pPr>
      <w:bookmarkStart w:name="bm21" w:id="1021"/>
      <w:r>
        <w:t xml:space="preserve">2.5 演示和部署之间的"四道鸿沟"</w:t>
      </w:r>
      <w:bookmarkEnd w:id="10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7"/>
        <w:gridCol w:w="2665"/>
        <w:gridCol w:w="2768"/>
        <w:gridCol w:w="3078"/>
      </w:tblGrid>
      <w:tr>
        <w:trPr>
          <w:cantSplit w:val="false"/>
          <w:tblHeader/>
        </w:trPr>
        <w:tc>
          <w:tcPr>
            <w:tcW w:type="dxa" w:w="11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鸿沟</w:t>
            </w:r>
          </w:p>
        </w:tc>
        <w:tc>
          <w:tcPr>
            <w:tcW w:type="dxa" w:w="26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演示中</w:t>
            </w:r>
          </w:p>
        </w:tc>
        <w:tc>
          <w:tcPr>
            <w:tcW w:type="dxa" w:w="27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部署中</w:t>
            </w:r>
          </w:p>
        </w:tc>
        <w:tc>
          <w:tcPr>
            <w:tcW w:type="dxa" w:w="30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如何识破</w:t>
            </w:r>
          </w:p>
        </w:tc>
      </w:tr>
      <w:tr>
        <w:trPr>
          <w:cantSplit w:val="false"/>
          <w:tblHeader w:val="false"/>
        </w:trPr>
        <w:tc>
          <w:tcPr>
            <w:tcW w:type="dxa" w:w="11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1. 选择偏差</w:t>
            </w:r>
          </w:p>
        </w:tc>
        <w:tc>
          <w:tcPr>
            <w:tcW w:type="dxa" w:w="26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展示最好的一次</w:t>
            </w:r>
          </w:p>
        </w:tc>
        <w:tc>
          <w:tcPr>
            <w:tcW w:type="dxa" w:w="27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要求每一次</w:t>
            </w:r>
          </w:p>
        </w:tc>
        <w:tc>
          <w:tcPr>
            <w:tcW w:type="dxa" w:w="30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要求连续 30 次以上的不剪辑录像</w:t>
            </w:r>
          </w:p>
        </w:tc>
      </w:tr>
      <w:tr>
        <w:trPr>
          <w:cantSplit w:val="false"/>
          <w:tblHeader w:val="false"/>
        </w:trPr>
        <w:tc>
          <w:tcPr>
            <w:tcW w:type="dxa" w:w="11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2. 人工接管</w:t>
            </w:r>
          </w:p>
        </w:tc>
        <w:tc>
          <w:tcPr>
            <w:tcW w:type="dxa" w:w="26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遥操作或人工复位常不披露</w:t>
            </w:r>
          </w:p>
        </w:tc>
        <w:tc>
          <w:tcPr>
            <w:tcW w:type="dxa" w:w="27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接管就是成本</w:t>
            </w:r>
          </w:p>
        </w:tc>
        <w:tc>
          <w:tcPr>
            <w:tcW w:type="dxa" w:w="30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要求每小时接管次数与日志</w:t>
            </w:r>
          </w:p>
        </w:tc>
      </w:tr>
      <w:tr>
        <w:trPr>
          <w:cantSplit w:val="false"/>
          <w:tblHeader w:val="false"/>
        </w:trPr>
        <w:tc>
          <w:tcPr>
            <w:tcW w:type="dxa" w:w="11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3. 环境控制</w:t>
            </w:r>
          </w:p>
        </w:tc>
        <w:tc>
          <w:tcPr>
            <w:tcW w:type="dxa" w:w="26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光照、物体、布局都事先准备</w:t>
            </w:r>
          </w:p>
        </w:tc>
        <w:tc>
          <w:tcPr>
            <w:tcW w:type="dxa" w:w="27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每天都在变化</w:t>
            </w:r>
          </w:p>
        </w:tc>
        <w:tc>
          <w:tcPr>
            <w:tcW w:type="dxa" w:w="30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由投资方指定物体和场景</w:t>
            </w:r>
          </w:p>
        </w:tc>
      </w:tr>
      <w:tr>
        <w:trPr>
          <w:cantSplit w:val="false"/>
          <w:tblHeader w:val="false"/>
        </w:trPr>
        <w:tc>
          <w:tcPr>
            <w:tcW w:type="dxa" w:w="11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4. 时间尺度</w:t>
            </w:r>
          </w:p>
        </w:tc>
        <w:tc>
          <w:tcPr>
            <w:tcW w:type="dxa" w:w="26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几分钟</w:t>
            </w:r>
          </w:p>
        </w:tc>
        <w:tc>
          <w:tcPr>
            <w:tcW w:type="dxa" w:w="27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每天 16–24 小时、数月不间断</w:t>
            </w:r>
          </w:p>
        </w:tc>
        <w:tc>
          <w:tcPr>
            <w:tcW w:type="dxa" w:w="30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要求 MTBF 和可用率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机制解释</w:t>
      </w:r>
      <w:r>
        <w:t xml:space="preserve">：模型版本以月为单位迭代，整机代际以 18–36 个月为单位迭代。软件进步能立刻体现在演示里，却要等硬件、品控和服务网络跟上，才能体现在部署里。所以"</w:t>
      </w:r>
      <w:r>
        <w:rPr>
          <w:b/>
          <w:bCs/>
        </w:rPr>
        <w:t xml:space="preserve">演示领先部署 1–3 年</w:t>
      </w:r>
      <w:r>
        <w:t xml:space="preserve">"是结构性的，不是个别公司的诚信问题（第十六篇 T25）。</w:t>
      </w:r>
    </w:p>
    <w:p>
      <w:pPr>
        <w:pStyle w:val="Heading2"/>
      </w:pPr>
      <w:bookmarkStart w:name="bm22" w:id="1022"/>
      <w:r>
        <w:t xml:space="preserve">2.6 地区竞争地位对比</w:t>
      </w:r>
      <w:bookmarkEnd w:id="10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1"/>
        <w:gridCol w:w="2570"/>
        <w:gridCol w:w="2044"/>
        <w:gridCol w:w="1518"/>
        <w:gridCol w:w="1285"/>
        <w:gridCol w:w="1170"/>
      </w:tblGrid>
      <w:tr>
        <w:trPr>
          <w:cantSplit w:val="false"/>
          <w:tblHeader/>
        </w:trPr>
        <w:tc>
          <w:tcPr>
            <w:tcW w:type="dxa" w:w="10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维度</w:t>
            </w:r>
          </w:p>
        </w:tc>
        <w:tc>
          <w:tcPr>
            <w:tcW w:type="dxa" w:w="2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中国</w:t>
            </w:r>
          </w:p>
        </w:tc>
        <w:tc>
          <w:tcPr>
            <w:tcW w:type="dxa" w:w="20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美国</w:t>
            </w:r>
          </w:p>
        </w:tc>
        <w:tc>
          <w:tcPr>
            <w:tcW w:type="dxa" w:w="15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欧洲</w:t>
            </w:r>
          </w:p>
        </w:tc>
        <w:tc>
          <w:tcPr>
            <w:tcW w:type="dxa" w:w="12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日本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韩国</w:t>
            </w:r>
          </w:p>
        </w:tc>
      </w:tr>
      <w:tr>
        <w:trPr>
          <w:cantSplit w:val="false"/>
          <w:tblHeader w:val="false"/>
        </w:trPr>
        <w:tc>
          <w:tcPr>
            <w:tcW w:type="dxa" w:w="10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前沿研究与基础模型</w:t>
            </w:r>
          </w:p>
        </w:tc>
        <w:tc>
          <w:tcPr>
            <w:tcW w:type="dxa" w:w="2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强，追赶中（开源与迭代速度快）</w:t>
            </w:r>
          </w:p>
        </w:tc>
        <w:tc>
          <w:tcPr>
            <w:tcW w:type="dxa" w:w="20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5"/>
                <w:szCs w:val="15"/>
              </w:rPr>
              <w:t xml:space="preserve">最强</w:t>
            </w:r>
            <w:r>
              <w:rPr>
                <w:sz w:val="15"/>
                <w:szCs w:val="15"/>
              </w:rPr>
              <w:t xml:space="preserve">（PI、DeepMind、NVIDIA、Skild）</w:t>
            </w:r>
          </w:p>
        </w:tc>
        <w:tc>
          <w:tcPr>
            <w:tcW w:type="dxa" w:w="15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中（学术强，商业弱）</w:t>
            </w:r>
          </w:p>
        </w:tc>
        <w:tc>
          <w:tcPr>
            <w:tcW w:type="dxa" w:w="12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中弱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中弱</w:t>
            </w:r>
          </w:p>
        </w:tc>
      </w:tr>
      <w:tr>
        <w:trPr>
          <w:cantSplit w:val="false"/>
          <w:tblHeader w:val="false"/>
        </w:trPr>
        <w:tc>
          <w:tcPr>
            <w:tcW w:type="dxa" w:w="10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供应链与成本</w:t>
            </w:r>
          </w:p>
        </w:tc>
        <w:tc>
          <w:tcPr>
            <w:tcW w:type="dxa" w:w="2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5"/>
                <w:szCs w:val="15"/>
              </w:rPr>
              <w:t xml:space="preserve">最强</w:t>
            </w:r>
            <w:r>
              <w:rPr>
                <w:sz w:val="15"/>
                <w:szCs w:val="15"/>
              </w:rPr>
              <w:t xml:space="preserve">（BOM 约为非中国供应链的三分之一，B，S64）</w:t>
            </w:r>
          </w:p>
        </w:tc>
        <w:tc>
          <w:tcPr>
            <w:tcW w:type="dxa" w:w="20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弱（依赖中国与亚洲供应链）</w:t>
            </w:r>
          </w:p>
        </w:tc>
        <w:tc>
          <w:tcPr>
            <w:tcW w:type="dxa" w:w="15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中（精密部件强：舍弗勒等）</w:t>
            </w:r>
          </w:p>
        </w:tc>
        <w:tc>
          <w:tcPr>
            <w:tcW w:type="dxa" w:w="12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强（精密减速器、伺服）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10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整机出货</w:t>
            </w:r>
          </w:p>
        </w:tc>
        <w:tc>
          <w:tcPr>
            <w:tcW w:type="dxa" w:w="2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5"/>
                <w:szCs w:val="15"/>
              </w:rPr>
              <w:t xml:space="preserve">最强</w:t>
            </w:r>
            <w:r>
              <w:rPr>
                <w:sz w:val="15"/>
                <w:szCs w:val="15"/>
              </w:rPr>
              <w:t xml:space="preserve">（全球前五占 86%）</w:t>
            </w:r>
          </w:p>
        </w:tc>
        <w:tc>
          <w:tcPr>
            <w:tcW w:type="dxa" w:w="20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弱（百台到千台级）</w:t>
            </w:r>
          </w:p>
        </w:tc>
        <w:tc>
          <w:tcPr>
            <w:tcW w:type="dxa" w:w="15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弱</w:t>
            </w:r>
          </w:p>
        </w:tc>
        <w:tc>
          <w:tcPr>
            <w:tcW w:type="dxa" w:w="12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弱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中（现代/BD）</w:t>
            </w:r>
          </w:p>
        </w:tc>
      </w:tr>
      <w:tr>
        <w:trPr>
          <w:cantSplit w:val="false"/>
          <w:tblHeader w:val="false"/>
        </w:trPr>
        <w:tc>
          <w:tcPr>
            <w:tcW w:type="dxa" w:w="10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商业落地</w:t>
            </w:r>
          </w:p>
        </w:tc>
        <w:tc>
          <w:tcPr>
            <w:tcW w:type="dxa" w:w="2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科研教育与政府项目多，工业试点多</w:t>
            </w:r>
          </w:p>
        </w:tc>
        <w:tc>
          <w:tcPr>
            <w:tcW w:type="dxa" w:w="20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物流和汽车试点，单客户深</w:t>
            </w:r>
          </w:p>
        </w:tc>
        <w:tc>
          <w:tcPr>
            <w:tcW w:type="dxa" w:w="15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少</w:t>
            </w:r>
          </w:p>
        </w:tc>
        <w:tc>
          <w:tcPr>
            <w:tcW w:type="dxa" w:w="12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少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集团内部消化（现代）</w:t>
            </w:r>
          </w:p>
        </w:tc>
      </w:tr>
      <w:tr>
        <w:trPr>
          <w:cantSplit w:val="false"/>
          <w:tblHeader w:val="false"/>
        </w:trPr>
        <w:tc>
          <w:tcPr>
            <w:tcW w:type="dxa" w:w="10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资本资源</w:t>
            </w:r>
          </w:p>
        </w:tc>
        <w:tc>
          <w:tcPr>
            <w:tcW w:type="dxa" w:w="2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数量多、单笔大，国资占比高</w:t>
            </w:r>
          </w:p>
        </w:tc>
        <w:tc>
          <w:tcPr>
            <w:tcW w:type="dxa" w:w="20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单家估值最高</w:t>
            </w:r>
          </w:p>
        </w:tc>
        <w:tc>
          <w:tcPr>
            <w:tcW w:type="dxa" w:w="15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少</w:t>
            </w:r>
          </w:p>
        </w:tc>
        <w:tc>
          <w:tcPr>
            <w:tcW w:type="dxa" w:w="12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少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产业资本</w:t>
            </w:r>
          </w:p>
        </w:tc>
      </w:tr>
      <w:tr>
        <w:trPr>
          <w:cantSplit w:val="false"/>
          <w:tblHeader w:val="false"/>
        </w:trPr>
        <w:tc>
          <w:tcPr>
            <w:tcW w:type="dxa" w:w="10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地缘风险</w:t>
            </w:r>
          </w:p>
        </w:tc>
        <w:tc>
          <w:tcPr>
            <w:tcW w:type="dxa" w:w="2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对美出口受限（法案推进中）</w:t>
            </w:r>
          </w:p>
        </w:tc>
        <w:tc>
          <w:tcPr>
            <w:tcW w:type="dxa" w:w="20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供应链受制于中国</w:t>
            </w:r>
          </w:p>
        </w:tc>
        <w:tc>
          <w:tcPr>
            <w:tcW w:type="dxa" w:w="15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中性</w:t>
            </w:r>
          </w:p>
        </w:tc>
        <w:tc>
          <w:tcPr>
            <w:tcW w:type="dxa" w:w="12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中性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中性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判断</w:t>
      </w:r>
      <w:r>
        <w:t xml:space="preserve">：中美在这个行业里是互补的不对称竞争。美国领先在</w:t>
      </w:r>
      <w:r>
        <w:rPr>
          <w:b/>
          <w:bCs/>
        </w:rPr>
        <w:t xml:space="preserve">"脑"和"资本定价"</w:t>
      </w:r>
      <w:r>
        <w:t xml:space="preserve">，中国领先在</w:t>
      </w:r>
      <w:r>
        <w:rPr>
          <w:b/>
          <w:bCs/>
        </w:rPr>
        <w:t xml:space="preserve">"身体"和"出货"</w:t>
      </w:r>
      <w:r>
        <w:t xml:space="preserve">。欧洲和日本主要是精密部件供应者，韩国则以现代集团的内部场景作为突破口。</w:t>
      </w:r>
    </w:p>
    <w:p>
      <w:pPr>
        <w:pStyle w:val="Heading2"/>
      </w:pPr>
      <w:bookmarkStart w:name="bm23" w:id="1023"/>
      <w:r>
        <w:t xml:space="preserve">2.7 反证检查</w:t>
      </w:r>
      <w:bookmarkEnd w:id="1023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可能推翻"操作不可靠"判断的证据</w:t>
      </w:r>
      <w:r>
        <w:t xml:space="preserve">：第三方大样本盲测显示，某个模型在陌生环境中整任务成功率超过 90%，同时接管率低于 0.1 次/小时。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可能被忽视的事实</w:t>
      </w:r>
      <w:r>
        <w:t xml:space="preserve">：中国工厂里有大量"实训"部署，这些部署虽然不在生产工位上，但确实在积累真实数据。这些数据的价值可能被低估。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一旦发展不及预期，损失最大的</w:t>
      </w:r>
      <w:r>
        <w:t xml:space="preserve">：估值主要靠演示视频支撑、没有第三方部署指标的公司。</w:t>
      </w:r>
    </w:p>
    <w:p>
      <w:pPr>
        <w:pStyle w:val="Heading1"/>
        <w:pageBreakBefore/>
      </w:pPr>
      <w:bookmarkStart w:name="bm24" w:id="1024"/>
      <w:r>
        <w:t xml:space="preserve">第三篇　机器人硬件全产业链及真实工程瓶颈</w:t>
      </w:r>
      <w:bookmarkEnd w:id="1024"/>
    </w:p>
    <w:p>
      <w:pPr>
        <w:pStyle w:val="Heading2"/>
      </w:pPr>
      <w:bookmarkStart w:name="bm25" w:id="1025"/>
      <w:r>
        <w:t xml:space="preserve">3.1 本体形态：没有最好的形态，只有最匹配任务的形态</w:t>
      </w:r>
      <w:bookmarkEnd w:id="102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9"/>
        <w:gridCol w:w="2039"/>
        <w:gridCol w:w="2243"/>
        <w:gridCol w:w="1529"/>
        <w:gridCol w:w="1223"/>
        <w:gridCol w:w="1585"/>
      </w:tblGrid>
      <w:tr>
        <w:trPr>
          <w:cantSplit w:val="false"/>
          <w:tblHeader/>
        </w:trPr>
        <w:tc>
          <w:tcPr>
            <w:tcW w:type="dxa" w:w="10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形态</w:t>
            </w:r>
          </w:p>
        </w:tc>
        <w:tc>
          <w:tcPr>
            <w:tcW w:type="dxa" w:w="2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代表</w:t>
            </w:r>
          </w:p>
        </w:tc>
        <w:tc>
          <w:tcPr>
            <w:tcW w:type="dxa" w:w="22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优势</w:t>
            </w:r>
          </w:p>
        </w:tc>
        <w:tc>
          <w:tcPr>
            <w:tcW w:type="dxa" w:w="1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劣势</w:t>
            </w:r>
          </w:p>
        </w:tc>
        <w:tc>
          <w:tcPr>
            <w:tcW w:type="dxa" w:w="12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最适场景</w:t>
            </w:r>
          </w:p>
        </w:tc>
        <w:tc>
          <w:tcPr>
            <w:tcW w:type="dxa" w:w="1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2026 年相对成本（同等臂部能力）</w:t>
            </w:r>
          </w:p>
        </w:tc>
      </w:tr>
      <w:tr>
        <w:trPr>
          <w:cantSplit w:val="false"/>
          <w:tblHeader w:val="false"/>
        </w:trPr>
        <w:tc>
          <w:tcPr>
            <w:tcW w:type="dxa" w:w="10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全尺寸双足人形</w:t>
            </w:r>
          </w:p>
        </w:tc>
        <w:tc>
          <w:tcPr>
            <w:tcW w:type="dxa" w:w="2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Optimus、Figure 03、Walker S2、Atlas、H2</w:t>
            </w:r>
          </w:p>
        </w:tc>
        <w:tc>
          <w:tcPr>
            <w:tcW w:type="dxa" w:w="22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能进入为人设计的环境（台阶、狭窄通道）；品牌与展示价值</w:t>
            </w:r>
          </w:p>
        </w:tc>
        <w:tc>
          <w:tcPr>
            <w:tcW w:type="dxa" w:w="1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成本、功耗、跌倒风险、维护复杂</w:t>
            </w:r>
          </w:p>
        </w:tc>
        <w:tc>
          <w:tcPr>
            <w:tcW w:type="dxa" w:w="12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旧产线、跨楼层作业、展示</w:t>
            </w:r>
          </w:p>
        </w:tc>
        <w:tc>
          <w:tcPr>
            <w:tcW w:type="dxa" w:w="1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最高（基准 1.0）</w:t>
            </w:r>
          </w:p>
        </w:tc>
      </w:tr>
      <w:tr>
        <w:trPr>
          <w:cantSplit w:val="false"/>
          <w:tblHeader w:val="false"/>
        </w:trPr>
        <w:tc>
          <w:tcPr>
            <w:tcW w:type="dxa" w:w="10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小尺寸双足人形</w:t>
            </w:r>
          </w:p>
        </w:tc>
        <w:tc>
          <w:tcPr>
            <w:tcW w:type="dxa" w:w="2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宇树 G1、加速进化、松延</w:t>
            </w:r>
          </w:p>
        </w:tc>
        <w:tc>
          <w:tcPr>
            <w:tcW w:type="dxa" w:w="22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便宜、安全、开发友好</w:t>
            </w:r>
          </w:p>
        </w:tc>
        <w:tc>
          <w:tcPr>
            <w:tcW w:type="dxa" w:w="1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负载和作业范围小</w:t>
            </w:r>
          </w:p>
        </w:tc>
        <w:tc>
          <w:tcPr>
            <w:tcW w:type="dxa" w:w="12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科研、教育、文娱</w:t>
            </w:r>
          </w:p>
        </w:tc>
        <w:tc>
          <w:tcPr>
            <w:tcW w:type="dxa" w:w="1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约 0.15–0.3</w:t>
            </w:r>
          </w:p>
        </w:tc>
      </w:tr>
      <w:tr>
        <w:trPr>
          <w:cantSplit w:val="false"/>
          <w:tblHeader w:val="false"/>
        </w:trPr>
        <w:tc>
          <w:tcPr>
            <w:tcW w:type="dxa" w:w="10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轮式双臂（移动操作）</w:t>
            </w:r>
          </w:p>
        </w:tc>
        <w:tc>
          <w:tcPr>
            <w:tcW w:type="dxa" w:w="2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银河 Galbot G1、星海图 R1、星尘 S1</w:t>
            </w:r>
          </w:p>
        </w:tc>
        <w:tc>
          <w:tcPr>
            <w:tcW w:type="dxa" w:w="22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稳定、续航长、成本低、安全性好</w:t>
            </w:r>
          </w:p>
        </w:tc>
        <w:tc>
          <w:tcPr>
            <w:tcW w:type="dxa" w:w="1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不能爬楼梯、越障</w:t>
            </w:r>
          </w:p>
        </w:tc>
        <w:tc>
          <w:tcPr>
            <w:tcW w:type="dxa" w:w="12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工厂、实验室、零售、仓储</w:t>
            </w:r>
          </w:p>
        </w:tc>
        <w:tc>
          <w:tcPr>
            <w:tcW w:type="dxa" w:w="1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约 0.5–0.7</w:t>
            </w:r>
          </w:p>
        </w:tc>
      </w:tr>
      <w:tr>
        <w:trPr>
          <w:cantSplit w:val="false"/>
          <w:tblHeader w:val="false"/>
        </w:trPr>
        <w:tc>
          <w:tcPr>
            <w:tcW w:type="dxa" w:w="10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轮足混合</w:t>
            </w:r>
          </w:p>
        </w:tc>
        <w:tc>
          <w:tcPr>
            <w:tcW w:type="dxa" w:w="2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逐际、部分国产型号</w:t>
            </w:r>
          </w:p>
        </w:tc>
        <w:tc>
          <w:tcPr>
            <w:tcW w:type="dxa" w:w="22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兼顾效率与通过性</w:t>
            </w:r>
          </w:p>
        </w:tc>
        <w:tc>
          <w:tcPr>
            <w:tcW w:type="dxa" w:w="1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控制复杂</w:t>
            </w:r>
          </w:p>
        </w:tc>
        <w:tc>
          <w:tcPr>
            <w:tcW w:type="dxa" w:w="12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园区、巡检</w:t>
            </w:r>
          </w:p>
        </w:tc>
        <w:tc>
          <w:tcPr>
            <w:tcW w:type="dxa" w:w="1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约 0.7–0.9</w:t>
            </w:r>
          </w:p>
        </w:tc>
      </w:tr>
      <w:tr>
        <w:trPr>
          <w:cantSplit w:val="false"/>
          <w:tblHeader w:val="false"/>
        </w:trPr>
        <w:tc>
          <w:tcPr>
            <w:tcW w:type="dxa" w:w="10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四足（可加机械臂）</w:t>
            </w:r>
          </w:p>
        </w:tc>
        <w:tc>
          <w:tcPr>
            <w:tcW w:type="dxa" w:w="2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宇树、云深处、BD Spot</w:t>
            </w:r>
          </w:p>
        </w:tc>
        <w:tc>
          <w:tcPr>
            <w:tcW w:type="dxa" w:w="22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地形适应强，已商业化</w:t>
            </w:r>
          </w:p>
        </w:tc>
        <w:tc>
          <w:tcPr>
            <w:tcW w:type="dxa" w:w="1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操作能力有限</w:t>
            </w:r>
          </w:p>
        </w:tc>
        <w:tc>
          <w:tcPr>
            <w:tcW w:type="dxa" w:w="12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巡检、特种作业</w:t>
            </w:r>
          </w:p>
        </w:tc>
        <w:tc>
          <w:tcPr>
            <w:tcW w:type="dxa" w:w="1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约 0.2–0.5</w:t>
            </w:r>
          </w:p>
        </w:tc>
      </w:tr>
      <w:tr>
        <w:trPr>
          <w:cantSplit w:val="false"/>
          <w:tblHeader w:val="false"/>
        </w:trPr>
        <w:tc>
          <w:tcPr>
            <w:tcW w:type="dxa" w:w="10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固定双臂和协作臂</w:t>
            </w:r>
          </w:p>
        </w:tc>
        <w:tc>
          <w:tcPr>
            <w:tcW w:type="dxa" w:w="2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越疆、协作臂厂商</w:t>
            </w:r>
          </w:p>
        </w:tc>
        <w:tc>
          <w:tcPr>
            <w:tcW w:type="dxa" w:w="22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最便宜、最可靠</w:t>
            </w:r>
          </w:p>
        </w:tc>
        <w:tc>
          <w:tcPr>
            <w:tcW w:type="dxa" w:w="1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不能移动</w:t>
            </w:r>
          </w:p>
        </w:tc>
        <w:tc>
          <w:tcPr>
            <w:tcW w:type="dxa" w:w="12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固定工位</w:t>
            </w:r>
          </w:p>
        </w:tc>
        <w:tc>
          <w:tcPr>
            <w:tcW w:type="dxa" w:w="1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约 0.2–0.4</w:t>
            </w:r>
          </w:p>
        </w:tc>
      </w:tr>
    </w:tbl>
    <w:p>
      <w:pPr>
        <w:spacing w:after="120"/>
      </w:pPr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相对成本是本报告基于公开价格区间的粗略判断〔D〕，仅用于说明形态之间的数量级差异。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投资含义</w:t>
      </w:r>
      <w:r>
        <w:t xml:space="preserve">：形态决定成本，成本决定场景，场景决定收入的确定性。</w:t>
      </w:r>
      <w:r>
        <w:rPr>
          <w:b/>
          <w:bCs/>
        </w:rPr>
        <w:t xml:space="preserve">"人形必要性"应当由任务来证明，而不是由叙事来假定</w:t>
      </w:r>
      <w:r>
        <w:t xml:space="preserve">（第六篇 6.4 节专门讨论）。</w:t>
      </w:r>
    </w:p>
    <w:p>
      <w:pPr>
        <w:pStyle w:val="Heading2"/>
      </w:pPr>
      <w:bookmarkStart w:name="bm26" w:id="1026"/>
      <w:r>
        <w:t xml:space="preserve">3.2 执行器：价值量最大的环节，也是最先商品化的环节</w:t>
      </w:r>
      <w:bookmarkEnd w:id="1026"/>
    </w:p>
    <w:p>
      <w:pPr>
        <w:spacing w:after="120" w:line="324" w:lineRule="auto"/>
        <w:jc w:val="both"/>
      </w:pPr>
      <w:r>
        <w:rPr>
          <w:b/>
          <w:bCs/>
        </w:rPr>
        <w:t xml:space="preserve">旋转关节</w:t>
      </w:r>
      <w:r>
        <w:t xml:space="preserve">由无框力矩电机、减速器、编码器和驱动器组成。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减速器路线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谐波减速器：精度高、体积小、刚性和寿命受限，多用于手臂和腕部；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行星减速器：用于准直驱（QDD），抗冲击、反驱性好，多用于腿部；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摆线和 RV 减速器：多用于重载关节。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产业现状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国产化率高。绿的谐波 2025 年谐波减速器销量 42.5 万台，营收 5.71 亿元，全球份额约 12%，排名第二；哈默纳科约 40%〔B，S62〕。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价格长期下行。绿的谐波综合毛利率从 2025 年的 36.9% 降到 2026 年上半年的 32.3%〔B，S62〕。这说明</w:t>
      </w:r>
      <w:r>
        <w:rPr>
          <w:b/>
          <w:bCs/>
        </w:rPr>
        <w:t xml:space="preserve">在人形需求真正放量之前，减速器已经进入价格竞争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判断</w:t>
      </w:r>
      <w:r>
        <w:t xml:space="preserve">：标准旋转关节会走上电动车电机的路径——规模越大越便宜，利润率被压到制造业平均水平。利润留在三类企业手里：</w:t>
      </w:r>
    </w:p>
    <w:p>
      <w:pPr>
        <w:spacing w:after="60" w:line="312" w:lineRule="auto"/>
        <w:ind w:left="840" w:hanging="300"/>
      </w:pPr>
      <w:r>
        <w:t xml:space="preserve">1. 做一体化高扭矩密度模组的；</w:t>
      </w:r>
    </w:p>
    <w:p>
      <w:pPr>
        <w:spacing w:after="60" w:line="312" w:lineRule="auto"/>
        <w:ind w:left="840" w:hanging="300"/>
      </w:pPr>
      <w:r>
        <w:t xml:space="preserve">2. 控制寿命一致性的；</w:t>
      </w:r>
    </w:p>
    <w:p>
      <w:pPr>
        <w:spacing w:after="60" w:line="312" w:lineRule="auto"/>
        <w:ind w:left="840" w:hanging="300"/>
      </w:pPr>
      <w:r>
        <w:t xml:space="preserve">3. 与整机深度协同设计的。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线性关节</w:t>
      </w:r>
      <w:r>
        <w:t xml:space="preserve">以行星滚柱丝杠为核心，特斯拉路线大量使用。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产业现状</w:t>
      </w:r>
      <w:r>
        <w:t xml:space="preserve">：国产化率约 20%，良率约 60%，海外是 85% 以上（券商口径）〔C，S63〕。国产单价比进口低 20%–30%，但批量稳定性仍待验证。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瓶颈</w:t>
      </w:r>
      <w:r>
        <w:t xml:space="preserve">：精密螺纹磨床（设备多依赖进口）、热处理和寿命测试。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判断</w:t>
      </w:r>
      <w:r>
        <w:t xml:space="preserve">：这是硬件链条里</w:t>
      </w:r>
      <w:r>
        <w:rPr>
          <w:b/>
          <w:bCs/>
        </w:rPr>
        <w:t xml:space="preserve">少数在 3–5 年内仍有工艺壁垒的环节</w:t>
      </w:r>
      <w:r>
        <w:t xml:space="preserve">，具备独立投资价值。但要防范两点：一是 Tier1 和整机厂自制，例如现代计划在美国自产 30 万台执行器/年〔B，S41〕；二是放量之后的价格战。</w:t>
      </w:r>
    </w:p>
    <w:p>
      <w:pPr>
        <w:pStyle w:val="Heading2"/>
      </w:pPr>
      <w:bookmarkStart w:name="bm27" w:id="1027"/>
      <w:r>
        <w:t xml:space="preserve">3.3 灵巧手：最难的问题，最大的分化</w:t>
      </w:r>
      <w:bookmarkEnd w:id="1027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分层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低自由度连杆手（约 6 个自由度）已降到数千元。灵心巧手 O6 标准版售价 6,666 元；GGII 统计 2025 年国内灵巧手出货约 1.92 万只，因时出货超过 1 万只〔C，S61〕。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高自由度（20+）、带触觉的手仍在数万到十余万元，寿命和维修性是主要瓶颈。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产业态度</w:t>
      </w:r>
      <w:r>
        <w:t xml:space="preserve">：特斯拉管理层在 2026Q3 财报会上说，手部、尤其是手指是最难的机电问题，并拒绝给出单位成本目标〔B，S29〕。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为什么难</w:t>
      </w:r>
      <w:r>
        <w:t xml:space="preserve">：灵巧手要在约一只人手的体积内，同时做到高自由度、高负载、高寿命（数十万到百万次循环），还要集成触觉。这里同时撞上了微型驱动的</w:t>
      </w:r>
      <w:r>
        <w:rPr>
          <w:b/>
          <w:bCs/>
        </w:rPr>
        <w:t xml:space="preserve">功率密度</w:t>
      </w:r>
      <w:r>
        <w:t xml:space="preserve">、腱绳的</w:t>
      </w:r>
      <w:r>
        <w:rPr>
          <w:b/>
          <w:bCs/>
        </w:rPr>
        <w:t xml:space="preserve">磨损</w:t>
      </w:r>
      <w:r>
        <w:t xml:space="preserve">、触觉的</w:t>
      </w:r>
      <w:r>
        <w:rPr>
          <w:b/>
          <w:bCs/>
        </w:rPr>
        <w:t xml:space="preserve">标定漂移</w:t>
      </w:r>
      <w:r>
        <w:t xml:space="preserve">和</w:t>
      </w:r>
      <w:r>
        <w:rPr>
          <w:b/>
          <w:bCs/>
        </w:rPr>
        <w:t xml:space="preserve">散热</w:t>
      </w:r>
      <w:r>
        <w:t xml:space="preserve">几道约束。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边际价值</w:t>
      </w:r>
      <w:r>
        <w:t xml:space="preserve">：对抓取放置这类任务，2 指或 3 指夹爪加上好的视觉往往就够了。对装配、工具使用和柔性物体操作，自由度和触觉的边际价值很高，但前提是</w:t>
      </w:r>
      <w:r>
        <w:rPr>
          <w:b/>
          <w:bCs/>
        </w:rPr>
        <w:t xml:space="preserve">模型能用好这些自由度</w:t>
      </w:r>
      <w:r>
        <w:t xml:space="preserve">——目前数据和模型都还跟不上硬件自由度。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判断</w:t>
      </w:r>
      <w:r>
        <w:t xml:space="preserve">：低自由度手是价格战市场；高自由度加触觉手是高价值、高风险的市场。投资时要看三样东西：</w:t>
      </w:r>
      <w:r>
        <w:rPr>
          <w:b/>
          <w:bCs/>
        </w:rPr>
        <w:t xml:space="preserve">寿命测试数据、多客户导入、自有触觉数据闭环</w:t>
      </w:r>
      <w:r>
        <w:t xml:space="preserve">。</w:t>
      </w:r>
    </w:p>
    <w:p>
      <w:pPr>
        <w:pStyle w:val="Heading2"/>
      </w:pPr>
      <w:bookmarkStart w:name="bm28" w:id="1028"/>
      <w:r>
        <w:t xml:space="preserve">3.4 传感器、算力、能源与电控</w:t>
      </w:r>
      <w:bookmarkEnd w:id="102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0"/>
        <w:gridCol w:w="2965"/>
        <w:gridCol w:w="1887"/>
        <w:gridCol w:w="1078"/>
        <w:gridCol w:w="2698"/>
      </w:tblGrid>
      <w:tr>
        <w:trPr>
          <w:cantSplit w:val="false"/>
          <w:tblHeader/>
        </w:trPr>
        <w:tc>
          <w:tcPr>
            <w:tcW w:type="dxa" w:w="1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子系统</w:t>
            </w:r>
          </w:p>
        </w:tc>
        <w:tc>
          <w:tcPr>
            <w:tcW w:type="dxa" w:w="2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现状</w:t>
            </w:r>
          </w:p>
        </w:tc>
        <w:tc>
          <w:tcPr>
            <w:tcW w:type="dxa" w:w="18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瓶颈</w:t>
            </w:r>
          </w:p>
        </w:tc>
        <w:tc>
          <w:tcPr>
            <w:tcW w:type="dxa" w:w="10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是否接近物理约束</w:t>
            </w:r>
          </w:p>
        </w:tc>
        <w:tc>
          <w:tcPr>
            <w:tcW w:type="dxa" w:w="26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投资含义</w:t>
            </w:r>
          </w:p>
        </w:tc>
      </w:tr>
      <w:tr>
        <w:trPr>
          <w:cantSplit w:val="false"/>
          <w:tblHeader w:val="false"/>
        </w:trPr>
        <w:tc>
          <w:tcPr>
            <w:tcW w:type="dxa" w:w="1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六维力/关节力矩</w:t>
            </w:r>
          </w:p>
        </w:tc>
        <w:tc>
          <w:tcPr>
            <w:tcW w:type="dxa" w:w="2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高端以海外（ATI 等）为主，国产追赶</w:t>
            </w:r>
          </w:p>
        </w:tc>
        <w:tc>
          <w:tcPr>
            <w:tcW w:type="dxa" w:w="18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温漂、过载保护、成本</w:t>
            </w:r>
          </w:p>
        </w:tc>
        <w:tc>
          <w:tcPr>
            <w:tcW w:type="dxa" w:w="10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否</w:t>
            </w:r>
          </w:p>
        </w:tc>
        <w:tc>
          <w:tcPr>
            <w:tcW w:type="dxa" w:w="26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国产替代机会</w:t>
            </w:r>
          </w:p>
        </w:tc>
      </w:tr>
      <w:tr>
        <w:trPr>
          <w:cantSplit w:val="false"/>
          <w:tblHeader w:val="false"/>
        </w:trPr>
        <w:tc>
          <w:tcPr>
            <w:tcW w:type="dxa" w:w="1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触觉与电子皮肤</w:t>
            </w:r>
          </w:p>
        </w:tc>
        <w:tc>
          <w:tcPr>
            <w:tcW w:type="dxa" w:w="2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方案多、无标准</w:t>
            </w:r>
          </w:p>
        </w:tc>
        <w:tc>
          <w:tcPr>
            <w:tcW w:type="dxa" w:w="18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耐久性、标定、数据利用</w:t>
            </w:r>
          </w:p>
        </w:tc>
        <w:tc>
          <w:tcPr>
            <w:tcW w:type="dxa" w:w="10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否</w:t>
            </w:r>
          </w:p>
        </w:tc>
        <w:tc>
          <w:tcPr>
            <w:tcW w:type="dxa" w:w="26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早期机会，宜与数据业务结合</w:t>
            </w:r>
          </w:p>
        </w:tc>
      </w:tr>
      <w:tr>
        <w:trPr>
          <w:cantSplit w:val="false"/>
          <w:tblHeader w:val="false"/>
        </w:trPr>
        <w:tc>
          <w:tcPr>
            <w:tcW w:type="dxa" w:w="1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视觉与激光雷达</w:t>
            </w:r>
          </w:p>
        </w:tc>
        <w:tc>
          <w:tcPr>
            <w:tcW w:type="dxa" w:w="2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国产成本优势明显，已商品化</w:t>
            </w:r>
          </w:p>
        </w:tc>
        <w:tc>
          <w:tcPr>
            <w:tcW w:type="dxa" w:w="18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透明、反光物体</w:t>
            </w:r>
          </w:p>
        </w:tc>
        <w:tc>
          <w:tcPr>
            <w:tcW w:type="dxa" w:w="10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低</w:t>
            </w:r>
          </w:p>
        </w:tc>
      </w:tr>
      <w:tr>
        <w:trPr>
          <w:cantSplit w:val="false"/>
          <w:tblHeader w:val="false"/>
        </w:trPr>
        <w:tc>
          <w:tcPr>
            <w:tcW w:type="dxa" w:w="1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端侧计算</w:t>
            </w:r>
          </w:p>
        </w:tc>
        <w:tc>
          <w:tcPr>
            <w:tcW w:type="dxa" w:w="2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Jetson AGX Thor 开发套件 3,499 美元、T5000 模组千片价 2,999 美元〔B，S70〕；国产 SoC 推广中</w:t>
            </w:r>
          </w:p>
        </w:tc>
        <w:tc>
          <w:tcPr>
            <w:tcW w:type="dxa" w:w="18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功耗、散热、工具链、出口管制</w:t>
            </w:r>
          </w:p>
        </w:tc>
        <w:tc>
          <w:tcPr>
            <w:tcW w:type="dxa" w:w="10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否</w:t>
            </w:r>
          </w:p>
        </w:tc>
        <w:tc>
          <w:tcPr>
            <w:tcW w:type="dxa" w:w="26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NVIDIA 主导高端；国产替代中低端</w:t>
            </w:r>
          </w:p>
        </w:tc>
      </w:tr>
      <w:tr>
        <w:trPr>
          <w:cantSplit w:val="false"/>
          <w:tblHeader w:val="false"/>
        </w:trPr>
        <w:tc>
          <w:tcPr>
            <w:tcW w:type="dxa" w:w="1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电池与能源</w:t>
            </w:r>
          </w:p>
        </w:tc>
        <w:tc>
          <w:tcPr>
            <w:tcW w:type="dxa" w:w="2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续航约 2–4 小时级（公司口径）；自主换电、无线充电已出现</w:t>
            </w:r>
          </w:p>
        </w:tc>
        <w:tc>
          <w:tcPr>
            <w:tcW w:type="dxa" w:w="18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能量密度</w:t>
            </w:r>
          </w:p>
        </w:tc>
        <w:tc>
          <w:tcPr>
            <w:tcW w:type="dxa" w:w="10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5"/>
                <w:szCs w:val="15"/>
              </w:rPr>
              <w:t xml:space="preserve">是</w:t>
            </w:r>
            <w:r>
              <w:rPr>
                <w:sz w:val="15"/>
                <w:szCs w:val="15"/>
              </w:rPr>
              <w:t xml:space="preserve">（电化学约束）</w:t>
            </w:r>
          </w:p>
        </w:tc>
        <w:tc>
          <w:tcPr>
            <w:tcW w:type="dxa" w:w="26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用运营调度提高可用率，而不是押注电池突破</w:t>
            </w:r>
          </w:p>
        </w:tc>
      </w:tr>
      <w:tr>
        <w:trPr>
          <w:cantSplit w:val="false"/>
          <w:tblHeader w:val="false"/>
        </w:trPr>
        <w:tc>
          <w:tcPr>
            <w:tcW w:type="dxa" w:w="1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电控与实时系统</w:t>
            </w:r>
          </w:p>
        </w:tc>
        <w:tc>
          <w:tcPr>
            <w:tcW w:type="dxa" w:w="2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分布式驱动加 EtherCAT 等实时总线，已成熟</w:t>
            </w:r>
          </w:p>
        </w:tc>
        <w:tc>
          <w:tcPr>
            <w:tcW w:type="dxa" w:w="18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线束、可靠性</w:t>
            </w:r>
          </w:p>
        </w:tc>
        <w:tc>
          <w:tcPr>
            <w:tcW w:type="dxa" w:w="10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否</w:t>
            </w:r>
          </w:p>
        </w:tc>
        <w:tc>
          <w:tcPr>
            <w:tcW w:type="dxa" w:w="26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低</w:t>
            </w:r>
          </w:p>
        </w:tc>
      </w:tr>
      <w:tr>
        <w:trPr>
          <w:cantSplit w:val="false"/>
          <w:tblHeader w:val="false"/>
        </w:trPr>
        <w:tc>
          <w:tcPr>
            <w:tcW w:type="dxa" w:w="1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结构与材料</w:t>
            </w:r>
          </w:p>
        </w:tc>
        <w:tc>
          <w:tcPr>
            <w:tcW w:type="dxa" w:w="2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铝镁合金、工程塑料；小批量模具摊销高</w:t>
            </w:r>
          </w:p>
        </w:tc>
        <w:tc>
          <w:tcPr>
            <w:tcW w:type="dxa" w:w="18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轻量化与成本的权衡</w:t>
            </w:r>
          </w:p>
        </w:tc>
        <w:tc>
          <w:tcPr>
            <w:tcW w:type="dxa" w:w="10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部分</w:t>
            </w:r>
          </w:p>
        </w:tc>
        <w:tc>
          <w:tcPr>
            <w:tcW w:type="dxa" w:w="26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低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29" w:id="1029"/>
      <w:r>
        <w:t xml:space="preserve">3.5 BOM 拆解模型：全尺寸工业人形（2026 年，千台级批量）</w:t>
      </w:r>
      <w:bookmarkEnd w:id="1029"/>
    </w:p>
    <w:p>
      <w:pPr>
        <w:spacing w:after="120" w:line="324" w:lineRule="auto"/>
        <w:jc w:val="both"/>
      </w:pPr>
      <w:r>
        <w:t xml:space="preserve">模型说明：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假设</w:t>
      </w:r>
      <w:r>
        <w:t xml:space="preserve">：约 1.7 米，28 个本体关节（20 个旋转、8 个线性），2 只灵巧手，4 个六维力传感器，采用中国供应链。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三个公开锚点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① 优必选 Walker S3 的 BOM 目标为 25–28 万元〔C，S63〕；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② 摩根士丹利估算 Optimus Gen2 用中国供应链约 4.6 万美元〔B，S64〕；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③ 券商口径"三大件约占 73%"〔C，S63〕。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77"/>
        <w:gridCol w:w="490"/>
        <w:gridCol w:w="816"/>
        <w:gridCol w:w="980"/>
        <w:gridCol w:w="816"/>
        <w:gridCol w:w="980"/>
        <w:gridCol w:w="2779"/>
      </w:tblGrid>
      <w:tr>
        <w:trPr>
          <w:cantSplit w:val="false"/>
          <w:tblHeader/>
        </w:trPr>
        <w:tc>
          <w:tcPr>
            <w:tcW w:type="dxa" w:w="27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部件</w:t>
            </w:r>
          </w:p>
        </w:tc>
        <w:tc>
          <w:tcPr>
            <w:tcW w:type="dxa" w:w="49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数量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低（万元）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基准（万元）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高（万元）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基准占物料比</w:t>
            </w:r>
          </w:p>
        </w:tc>
        <w:tc>
          <w:tcPr>
            <w:tcW w:type="dxa" w:w="27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说明</w:t>
            </w:r>
          </w:p>
        </w:tc>
      </w:tr>
      <w:tr>
        <w:trPr>
          <w:cantSplit w:val="false"/>
          <w:tblHeader w:val="false"/>
        </w:trPr>
        <w:tc>
          <w:tcPr>
            <w:tcW w:type="dxa" w:w="27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旋转关节模组（无框力矩电机+谐波/行星减速器+双编码器+驱动器）</w:t>
            </w:r>
          </w:p>
        </w:tc>
        <w:tc>
          <w:tcPr>
            <w:tcW w:type="dxa" w:w="49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3.6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7.6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12.0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31%</w:t>
            </w:r>
          </w:p>
        </w:tc>
        <w:tc>
          <w:tcPr>
            <w:tcW w:type="dxa" w:w="27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肩肘腕髋膝踝及腰颈；国产化率高，价格年降 10–20%</w:t>
            </w:r>
          </w:p>
        </w:tc>
      </w:tr>
      <w:tr>
        <w:trPr>
          <w:cantSplit w:val="false"/>
          <w:tblHeader w:val="false"/>
        </w:trPr>
        <w:tc>
          <w:tcPr>
            <w:tcW w:type="dxa" w:w="27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线性关节模组（行星滚柱丝杠+电机+驱动）</w:t>
            </w:r>
          </w:p>
        </w:tc>
        <w:tc>
          <w:tcPr>
            <w:tcW w:type="dxa" w:w="49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2.0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4.0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7.2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17%</w:t>
            </w:r>
          </w:p>
        </w:tc>
        <w:tc>
          <w:tcPr>
            <w:tcW w:type="dxa" w:w="27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腿部/手臂直线驱动；行星滚柱丝杠国产化率约 20%、良率偏低</w:t>
            </w:r>
          </w:p>
        </w:tc>
      </w:tr>
      <w:tr>
        <w:trPr>
          <w:cantSplit w:val="false"/>
          <w:tblHeader w:val="false"/>
        </w:trPr>
        <w:tc>
          <w:tcPr>
            <w:tcW w:type="dxa" w:w="27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灵巧手（只）</w:t>
            </w:r>
          </w:p>
        </w:tc>
        <w:tc>
          <w:tcPr>
            <w:tcW w:type="dxa" w:w="49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1.2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6.0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14.0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25%</w:t>
            </w:r>
          </w:p>
        </w:tc>
        <w:tc>
          <w:tcPr>
            <w:tcW w:type="dxa" w:w="27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 自由度连杆手≈数千元；20+ 自由度带触觉手≈数万至十余万元</w:t>
            </w:r>
          </w:p>
        </w:tc>
      </w:tr>
      <w:tr>
        <w:trPr>
          <w:cantSplit w:val="false"/>
          <w:tblHeader w:val="false"/>
        </w:trPr>
        <w:tc>
          <w:tcPr>
            <w:tcW w:type="dxa" w:w="27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六维力/关节力矩传感器</w:t>
            </w:r>
          </w:p>
        </w:tc>
        <w:tc>
          <w:tcPr>
            <w:tcW w:type="dxa" w:w="49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0.8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2.0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4.8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8%</w:t>
            </w:r>
          </w:p>
        </w:tc>
        <w:tc>
          <w:tcPr>
            <w:tcW w:type="dxa" w:w="27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腕/踝；高精度六维力仍以海外为主</w:t>
            </w:r>
          </w:p>
        </w:tc>
      </w:tr>
      <w:tr>
        <w:trPr>
          <w:cantSplit w:val="false"/>
          <w:tblHeader w:val="false"/>
        </w:trPr>
        <w:tc>
          <w:tcPr>
            <w:tcW w:type="dxa" w:w="27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视觉与环境感知（RGB-D×3–4、激光雷达、IMU）</w:t>
            </w:r>
          </w:p>
        </w:tc>
        <w:tc>
          <w:tcPr>
            <w:tcW w:type="dxa" w:w="49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0.3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0.8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1.5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3%</w:t>
            </w:r>
          </w:p>
        </w:tc>
        <w:tc>
          <w:tcPr>
            <w:tcW w:type="dxa" w:w="27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国产深度相机/激光雷达已具成本优势</w:t>
            </w:r>
          </w:p>
        </w:tc>
      </w:tr>
      <w:tr>
        <w:trPr>
          <w:cantSplit w:val="false"/>
          <w:tblHeader w:val="false"/>
        </w:trPr>
        <w:tc>
          <w:tcPr>
            <w:tcW w:type="dxa" w:w="27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主控与端侧 AI 计算</w:t>
            </w:r>
          </w:p>
        </w:tc>
        <w:tc>
          <w:tcPr>
            <w:tcW w:type="dxa" w:w="49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0.4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1.5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3.0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6%</w:t>
            </w:r>
          </w:p>
        </w:tc>
        <w:tc>
          <w:tcPr>
            <w:tcW w:type="dxa" w:w="27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国产 SoC 方案≈数千元；Jetson Thor 模组千片价 2,999 美元</w:t>
            </w:r>
          </w:p>
        </w:tc>
      </w:tr>
      <w:tr>
        <w:trPr>
          <w:cantSplit w:val="false"/>
          <w:tblHeader w:val="false"/>
        </w:trPr>
        <w:tc>
          <w:tcPr>
            <w:tcW w:type="dxa" w:w="27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电池包与电源管理（1–2 kWh）</w:t>
            </w:r>
          </w:p>
        </w:tc>
        <w:tc>
          <w:tcPr>
            <w:tcW w:type="dxa" w:w="49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0.2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0.5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0.8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2%</w:t>
            </w:r>
          </w:p>
        </w:tc>
        <w:tc>
          <w:tcPr>
            <w:tcW w:type="dxa" w:w="27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可换电设计增加结构与 BMS 成本</w:t>
            </w:r>
          </w:p>
        </w:tc>
      </w:tr>
      <w:tr>
        <w:trPr>
          <w:cantSplit w:val="false"/>
          <w:tblHeader w:val="false"/>
        </w:trPr>
        <w:tc>
          <w:tcPr>
            <w:tcW w:type="dxa" w:w="27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结构件、外壳、线束、散热</w:t>
            </w:r>
          </w:p>
        </w:tc>
        <w:tc>
          <w:tcPr>
            <w:tcW w:type="dxa" w:w="49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0.8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1.8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2.8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7%</w:t>
            </w:r>
          </w:p>
        </w:tc>
        <w:tc>
          <w:tcPr>
            <w:tcW w:type="dxa" w:w="27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铝镁合金/工程塑料；小批量模具摊销高</w:t>
            </w:r>
          </w:p>
        </w:tc>
      </w:tr>
      <w:tr>
        <w:trPr>
          <w:cantSplit w:val="false"/>
          <w:tblHeader w:val="false"/>
        </w:trPr>
        <w:tc>
          <w:tcPr>
            <w:tcW w:type="dxa" w:w="27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4"/>
                <w:szCs w:val="14"/>
              </w:rPr>
              <w:t xml:space="preserve">物料</w:t>
            </w:r>
          </w:p>
        </w:tc>
        <w:tc>
          <w:tcPr>
            <w:tcW w:type="dxa" w:w="49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9.3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24.2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46.1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100%</w:t>
            </w:r>
          </w:p>
        </w:tc>
        <w:tc>
          <w:tcPr>
            <w:tcW w:type="dxa" w:w="27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</w:p>
        </w:tc>
      </w:tr>
      <w:tr>
        <w:trPr>
          <w:cantSplit w:val="false"/>
          <w:tblHeader w:val="false"/>
        </w:trPr>
        <w:tc>
          <w:tcPr>
            <w:tcW w:type="dxa" w:w="27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4"/>
                <w:szCs w:val="14"/>
              </w:rPr>
              <w:t xml:space="preserve">装配测试良率</w:t>
            </w:r>
          </w:p>
        </w:tc>
        <w:tc>
          <w:tcPr>
            <w:tcW w:type="dxa" w:w="49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0.7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2.9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8.3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</w:p>
        </w:tc>
        <w:tc>
          <w:tcPr>
            <w:tcW w:type="dxa" w:w="27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</w:p>
        </w:tc>
      </w:tr>
      <w:tr>
        <w:trPr>
          <w:cantSplit w:val="false"/>
          <w:tblHeader w:val="false"/>
        </w:trPr>
        <w:tc>
          <w:tcPr>
            <w:tcW w:type="dxa" w:w="27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4"/>
                <w:szCs w:val="14"/>
              </w:rPr>
              <w:t xml:space="preserve">合计</w:t>
            </w:r>
          </w:p>
        </w:tc>
        <w:tc>
          <w:tcPr>
            <w:tcW w:type="dxa" w:w="49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10.0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27.1</w:t>
            </w:r>
          </w:p>
        </w:tc>
        <w:tc>
          <w:tcPr>
            <w:tcW w:type="dxa" w:w="8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54.4</w:t>
            </w:r>
          </w:p>
        </w:tc>
        <w:tc>
          <w:tcPr>
            <w:tcW w:type="dxa" w:w="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</w:p>
        </w:tc>
        <w:tc>
          <w:tcPr>
            <w:tcW w:type="dxa" w:w="277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模型校验</w:t>
      </w:r>
      <w:r>
        <w:t xml:space="preserve">：基准情形下三大件占物料成本 </w:t>
      </w:r>
      <w:r>
        <w:rPr>
          <w:b/>
          <w:bCs/>
        </w:rPr>
        <w:t xml:space="preserve">72.7%</w:t>
      </w:r>
      <w:r>
        <w:t xml:space="preserve">，与券商口径的约 73% 一致。基准合计约 </w:t>
      </w:r>
      <w:r>
        <w:rPr>
          <w:b/>
          <w:bCs/>
        </w:rPr>
        <w:t xml:space="preserve">27.1 万元（约 3.8 万美元）</w:t>
      </w:r>
      <w:r>
        <w:t xml:space="preserve">，介于优必选的下一代目标和摩根士丹利的估计之间。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小尺寸科研教育人形（G1 类）</w:t>
      </w:r>
      <w:r>
        <w:t xml:space="preserve">：用同一方法估算，单台成本约 3.5 万元（区间 2.1–5.7 万元）。按 9.9 万元售价计算，毛利率约 64%，与宇树披露的 60% 主营毛利率相互印证〔D/B〕。这解释了</w:t>
      </w:r>
      <w:r>
        <w:rPr>
          <w:b/>
          <w:bCs/>
        </w:rPr>
        <w:t xml:space="preserve">为什么宇树能够盈利</w:t>
      </w:r>
      <w:r>
        <w:t xml:space="preserve">：它在一个价格不敏感、需求真实的利基市场里，以显著的成本优势定价。</w:t>
      </w:r>
    </w:p>
    <w:p>
      <w:pPr>
        <w:pStyle w:val="Heading3"/>
      </w:pPr>
      <w:r>
        <w:t xml:space="preserve">规模化降本：经验曲线加物理地板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7"/>
        <w:gridCol w:w="2301"/>
        <w:gridCol w:w="1150"/>
        <w:gridCol w:w="2301"/>
        <w:gridCol w:w="1009"/>
      </w:tblGrid>
      <w:tr>
        <w:trPr>
          <w:cantSplit w:val="false"/>
          <w:tblHeader/>
        </w:trPr>
        <w:tc>
          <w:tcPr>
            <w:tcW w:type="dxa" w:w="28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学习率（每翻倍降幅）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单一企业累计产量</w:t>
            </w:r>
          </w:p>
        </w:tc>
        <w:tc>
          <w:tcPr>
            <w:tcW w:type="dxa" w:w="11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翻倍次数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单台 BOM（万元）</w:t>
            </w:r>
          </w:p>
        </w:tc>
        <w:tc>
          <w:tcPr>
            <w:tcW w:type="dxa" w:w="10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≈千美元</w:t>
            </w:r>
          </w:p>
        </w:tc>
      </w:tr>
      <w:tr>
        <w:trPr>
          <w:cantSplit w:val="false"/>
          <w:tblHeader w:val="false"/>
        </w:trPr>
        <w:tc>
          <w:tcPr>
            <w:tcW w:type="dxa" w:w="28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10%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 万台</w:t>
            </w:r>
          </w:p>
        </w:tc>
        <w:tc>
          <w:tcPr>
            <w:tcW w:type="dxa" w:w="11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3.3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19.1</w:t>
            </w:r>
          </w:p>
        </w:tc>
        <w:tc>
          <w:tcPr>
            <w:tcW w:type="dxa" w:w="10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26.9</w:t>
            </w:r>
          </w:p>
        </w:tc>
      </w:tr>
      <w:tr>
        <w:trPr>
          <w:cantSplit w:val="false"/>
          <w:tblHeader w:val="false"/>
        </w:trPr>
        <w:tc>
          <w:tcPr>
            <w:tcW w:type="dxa" w:w="28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10%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 万台</w:t>
            </w:r>
          </w:p>
        </w:tc>
        <w:tc>
          <w:tcPr>
            <w:tcW w:type="dxa" w:w="11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5.3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15.5</w:t>
            </w:r>
          </w:p>
        </w:tc>
        <w:tc>
          <w:tcPr>
            <w:tcW w:type="dxa" w:w="10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21.8</w:t>
            </w:r>
          </w:p>
        </w:tc>
      </w:tr>
      <w:tr>
        <w:trPr>
          <w:cantSplit w:val="false"/>
          <w:tblHeader w:val="false"/>
        </w:trPr>
        <w:tc>
          <w:tcPr>
            <w:tcW w:type="dxa" w:w="28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10%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100 万台</w:t>
            </w:r>
          </w:p>
        </w:tc>
        <w:tc>
          <w:tcPr>
            <w:tcW w:type="dxa" w:w="11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7.6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12.1</w:t>
            </w:r>
          </w:p>
        </w:tc>
        <w:tc>
          <w:tcPr>
            <w:tcW w:type="dxa" w:w="10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17.1</w:t>
            </w:r>
          </w:p>
        </w:tc>
      </w:tr>
      <w:tr>
        <w:trPr>
          <w:cantSplit w:val="false"/>
          <w:tblHeader w:val="false"/>
        </w:trPr>
        <w:tc>
          <w:tcPr>
            <w:tcW w:type="dxa" w:w="28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15%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 万台</w:t>
            </w:r>
          </w:p>
        </w:tc>
        <w:tc>
          <w:tcPr>
            <w:tcW w:type="dxa" w:w="11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3.3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15.8</w:t>
            </w:r>
          </w:p>
        </w:tc>
        <w:tc>
          <w:tcPr>
            <w:tcW w:type="dxa" w:w="10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22.2</w:t>
            </w:r>
          </w:p>
        </w:tc>
      </w:tr>
      <w:tr>
        <w:trPr>
          <w:cantSplit w:val="false"/>
          <w:tblHeader w:val="false"/>
        </w:trPr>
        <w:tc>
          <w:tcPr>
            <w:tcW w:type="dxa" w:w="28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15%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 万台</w:t>
            </w:r>
          </w:p>
        </w:tc>
        <w:tc>
          <w:tcPr>
            <w:tcW w:type="dxa" w:w="11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5.3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11.4</w:t>
            </w:r>
          </w:p>
        </w:tc>
        <w:tc>
          <w:tcPr>
            <w:tcW w:type="dxa" w:w="10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16.1</w:t>
            </w:r>
          </w:p>
        </w:tc>
      </w:tr>
      <w:tr>
        <w:trPr>
          <w:cantSplit w:val="false"/>
          <w:tblHeader w:val="false"/>
        </w:trPr>
        <w:tc>
          <w:tcPr>
            <w:tcW w:type="dxa" w:w="28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15%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100 万台</w:t>
            </w:r>
          </w:p>
        </w:tc>
        <w:tc>
          <w:tcPr>
            <w:tcW w:type="dxa" w:w="11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7.6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7.8</w:t>
            </w:r>
          </w:p>
        </w:tc>
        <w:tc>
          <w:tcPr>
            <w:tcW w:type="dxa" w:w="10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11.0</w:t>
            </w:r>
          </w:p>
        </w:tc>
      </w:tr>
      <w:tr>
        <w:trPr>
          <w:cantSplit w:val="false"/>
          <w:tblHeader w:val="false"/>
        </w:trPr>
        <w:tc>
          <w:tcPr>
            <w:tcW w:type="dxa" w:w="28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20%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 万台</w:t>
            </w:r>
          </w:p>
        </w:tc>
        <w:tc>
          <w:tcPr>
            <w:tcW w:type="dxa" w:w="11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3.3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12.9</w:t>
            </w:r>
          </w:p>
        </w:tc>
        <w:tc>
          <w:tcPr>
            <w:tcW w:type="dxa" w:w="10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18.2</w:t>
            </w:r>
          </w:p>
        </w:tc>
      </w:tr>
      <w:tr>
        <w:trPr>
          <w:cantSplit w:val="false"/>
          <w:tblHeader w:val="false"/>
        </w:trPr>
        <w:tc>
          <w:tcPr>
            <w:tcW w:type="dxa" w:w="28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20%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 万台</w:t>
            </w:r>
          </w:p>
        </w:tc>
        <w:tc>
          <w:tcPr>
            <w:tcW w:type="dxa" w:w="11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5.3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8.3</w:t>
            </w:r>
          </w:p>
        </w:tc>
        <w:tc>
          <w:tcPr>
            <w:tcW w:type="dxa" w:w="10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11.6</w:t>
            </w:r>
          </w:p>
        </w:tc>
      </w:tr>
      <w:tr>
        <w:trPr>
          <w:cantSplit w:val="false"/>
          <w:tblHeader w:val="false"/>
        </w:trPr>
        <w:tc>
          <w:tcPr>
            <w:tcW w:type="dxa" w:w="287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20%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100 万台</w:t>
            </w:r>
          </w:p>
        </w:tc>
        <w:tc>
          <w:tcPr>
            <w:tcW w:type="dxa" w:w="11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7.6</w:t>
            </w:r>
          </w:p>
        </w:tc>
        <w:tc>
          <w:tcPr>
            <w:tcW w:type="dxa" w:w="23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7.6</w:t>
            </w:r>
          </w:p>
        </w:tc>
        <w:tc>
          <w:tcPr>
            <w:tcW w:type="dxa" w:w="10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10.7</w:t>
            </w:r>
          </w:p>
        </w:tc>
      </w:tr>
    </w:tbl>
    <w:p>
      <w:pPr>
        <w:spacing w:after="120"/>
      </w:pPr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模型设定：从单一企业累计 5,000 台出发，每当累计产量翻一倍，成本下降 10%/15%/20%（学习率），并设成本地板为当前成本的 28%，用来代表材料和精密加工的硬约束〔D〕。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解读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单一企业累计到 20 万台、学习率 15% 时，全尺寸人形的 BOM 可以降到约 </w:t>
      </w:r>
      <w:r>
        <w:rPr>
          <w:b/>
          <w:bCs/>
        </w:rPr>
        <w:t xml:space="preserve">11 万元（约 1.6 万美元）</w:t>
      </w:r>
      <w:r>
        <w:t xml:space="preserve">。这与市场常说的"规模化后 2 万美元售价"在量级上相容。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但前提是</w:t>
      </w:r>
      <w:r>
        <w:rPr>
          <w:b/>
          <w:bCs/>
        </w:rPr>
        <w:t xml:space="preserve">单一企业</w:t>
      </w:r>
      <w:r>
        <w:t xml:space="preserve">达到 20 万台的累计产量。2026 年全球全年出货预计只有约 5 万台，分散在数十家企业。所以 </w:t>
      </w:r>
      <w:r>
        <w:rPr>
          <w:b/>
          <w:bCs/>
        </w:rPr>
        <w:t xml:space="preserve">2028 年前，大多数企业实现不了这条曲线</w:t>
      </w:r>
      <w:r>
        <w:t xml:space="preserve">。成本优势会集中到出货最大的 3–5 家，这是集中度提高的经济学基础。</w:t>
      </w:r>
    </w:p>
    <w:p>
      <w:pPr>
        <w:pStyle w:val="Heading3"/>
      </w:pPr>
      <w:r>
        <w:t xml:space="preserve">哪些成本能靠规模下降，哪些不能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5"/>
        <w:gridCol w:w="2865"/>
        <w:gridCol w:w="3648"/>
      </w:tblGrid>
      <w:tr>
        <w:trPr>
          <w:cantSplit w:val="false"/>
          <w:tblHeader/>
        </w:trPr>
        <w:tc>
          <w:tcPr>
            <w:tcW w:type="dxa" w:w="31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成本项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可规模化下降</w:t>
            </w:r>
          </w:p>
        </w:tc>
        <w:tc>
          <w:tcPr>
            <w:tcW w:type="dxa" w:w="36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受限因素</w:t>
            </w:r>
          </w:p>
        </w:tc>
      </w:tr>
      <w:tr>
        <w:trPr>
          <w:cantSplit w:val="false"/>
          <w:tblHeader w:val="false"/>
        </w:trPr>
        <w:tc>
          <w:tcPr>
            <w:tcW w:type="dxa" w:w="31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电机、驱动、结构件、线束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</w:t>
            </w:r>
          </w:p>
        </w:tc>
        <w:tc>
          <w:tcPr>
            <w:tcW w:type="dxa" w:w="36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原材料（铜、稀土）</w:t>
            </w:r>
          </w:p>
        </w:tc>
      </w:tr>
      <w:tr>
        <w:trPr>
          <w:cantSplit w:val="false"/>
          <w:tblHeader w:val="false"/>
        </w:trPr>
        <w:tc>
          <w:tcPr>
            <w:tcW w:type="dxa" w:w="31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谐波和行星减速器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中高</w:t>
            </w:r>
          </w:p>
        </w:tc>
        <w:tc>
          <w:tcPr>
            <w:tcW w:type="dxa" w:w="36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精密加工设备、热处理</w:t>
            </w:r>
          </w:p>
        </w:tc>
      </w:tr>
      <w:tr>
        <w:trPr>
          <w:cantSplit w:val="false"/>
          <w:tblHeader w:val="false"/>
        </w:trPr>
        <w:tc>
          <w:tcPr>
            <w:tcW w:type="dxa" w:w="31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行星滚柱丝杠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36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磨床、良率、寿命测试</w:t>
            </w:r>
          </w:p>
        </w:tc>
      </w:tr>
      <w:tr>
        <w:trPr>
          <w:cantSplit w:val="false"/>
          <w:tblHeader w:val="false"/>
        </w:trPr>
        <w:tc>
          <w:tcPr>
            <w:tcW w:type="dxa" w:w="31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高自由度灵巧手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36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微型驱动与腱绳寿命、装配工时</w:t>
            </w:r>
          </w:p>
        </w:tc>
      </w:tr>
      <w:tr>
        <w:trPr>
          <w:cantSplit w:val="false"/>
          <w:tblHeader w:val="false"/>
        </w:trPr>
        <w:tc>
          <w:tcPr>
            <w:tcW w:type="dxa" w:w="31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端侧芯片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中（取决于供应商定价）</w:t>
            </w:r>
          </w:p>
        </w:tc>
        <w:tc>
          <w:tcPr>
            <w:tcW w:type="dxa" w:w="36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先进制程、出口管制</w:t>
            </w:r>
          </w:p>
        </w:tc>
      </w:tr>
      <w:tr>
        <w:trPr>
          <w:cantSplit w:val="false"/>
          <w:tblHeader w:val="false"/>
        </w:trPr>
        <w:tc>
          <w:tcPr>
            <w:tcW w:type="dxa" w:w="31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电池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36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电化学约束</w:t>
            </w:r>
          </w:p>
        </w:tc>
      </w:tr>
      <w:tr>
        <w:trPr>
          <w:cantSplit w:val="false"/>
          <w:tblHeader w:val="false"/>
        </w:trPr>
        <w:tc>
          <w:tcPr>
            <w:tcW w:type="dxa" w:w="31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装配、测试、良率损失</w:t>
            </w:r>
          </w:p>
        </w:tc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高（自动化产线）</w:t>
            </w:r>
          </w:p>
        </w:tc>
        <w:tc>
          <w:tcPr>
            <w:tcW w:type="dxa" w:w="36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前期资本开支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30" w:id="1030"/>
      <w:r>
        <w:t xml:space="preserve">3.6 价格、成本与全生命周期成本（TCO）</w:t>
      </w:r>
      <w:bookmarkEnd w:id="1030"/>
    </w:p>
    <w:p>
      <w:pPr>
        <w:spacing w:after="120" w:line="324" w:lineRule="auto"/>
        <w:jc w:val="both"/>
      </w:pPr>
      <w:r>
        <w:rPr>
          <w:b/>
          <w:bCs/>
        </w:rPr>
        <w:t xml:space="preserve">价格带（2026 年，公开报价与推算）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小尺寸人形：宇树 R1 起售价已从 3.99 万元降到 2.99 万元〔C，S71〕；宇树 G1 约 9.9 万元〔B〕。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全尺寸工业人形：价格常以"方案"形式出现。按优必选全尺寸收入与台数推算，2025 年约 76 万元/台，2026 年上半年约 64 万元/台，其中含数采中心等方案〔D，基于 S08/S09〕。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美国：1X NEO 售价 2 万美元或 499 美元/月〔C，S42〕；Agility 的示意性 RaaS 约 8,500 美元/月〔C，S36〕。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TCO 构成</w:t>
      </w:r>
      <w:r>
        <w:t xml:space="preserve">（对客户而言，整机价格只是一部分）：整机折旧、部署集成、维护与备件、看护与远程运维人员、软件订阅、能源、停机损失和资金成本。第六篇的模型表明，</w:t>
      </w:r>
      <w:r>
        <w:rPr>
          <w:b/>
          <w:bCs/>
        </w:rPr>
        <w:t xml:space="preserve">在 2026 年的参数下，看护人员与维护费用之和就超过了整机折旧</w:t>
      </w:r>
      <w:r>
        <w:t xml:space="preserve">。因此"整机降价"本身并不足以带来经济性，</w:t>
      </w:r>
      <w:r>
        <w:rPr>
          <w:b/>
          <w:bCs/>
        </w:rPr>
        <w:t xml:space="preserve">降低看护配比和提高可用率</w:t>
      </w:r>
      <w:r>
        <w:t xml:space="preserve">同样关键。</w:t>
      </w:r>
    </w:p>
    <w:p>
      <w:pPr>
        <w:pStyle w:val="Heading2"/>
      </w:pPr>
      <w:bookmarkStart w:name="bm31" w:id="1031"/>
      <w:r>
        <w:t xml:space="preserve">3.7 生产良率、可靠性与售后：被系统性低估的壁垒</w:t>
      </w:r>
      <w:bookmarkEnd w:id="1031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良率</w:t>
      </w:r>
      <w:r>
        <w:t xml:space="preserve">：精密部件（丝杠、高自由度手）的良率差异，直接决定成本和交付能力。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可靠性</w:t>
      </w:r>
      <w:r>
        <w:t xml:space="preserve">：几乎没有公司公开整机 MTBF。这既是信息缺口，也是</w:t>
      </w:r>
      <w:r>
        <w:rPr>
          <w:b/>
          <w:bCs/>
        </w:rPr>
        <w:t xml:space="preserve">尽调中最容易拉开认知差的地方</w:t>
      </w:r>
      <w:r>
        <w:t xml:space="preserve">（第十五篇 Q04）。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售后网络</w:t>
      </w:r>
      <w:r>
        <w:t xml:space="preserve">：工业客户采购的是"可用率"，不是"机器人"。售后响应时间、备件库存、远程诊断能力，会在 2027–2029 年成为整机企业的核心竞争力。轮式和四足企业（如云深处）在这方面积累更早。</w:t>
      </w:r>
    </w:p>
    <w:p>
      <w:pPr>
        <w:pStyle w:val="Heading2"/>
      </w:pPr>
      <w:bookmarkStart w:name="bm32" w:id="1032"/>
      <w:r>
        <w:t xml:space="preserve">3.8 本篇结论与投资含义</w:t>
      </w:r>
      <w:bookmarkEnd w:id="10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1349"/>
        <w:gridCol w:w="1927"/>
        <w:gridCol w:w="1542"/>
        <w:gridCol w:w="1927"/>
        <w:gridCol w:w="1351"/>
      </w:tblGrid>
      <w:tr>
        <w:trPr>
          <w:cantSplit w:val="false"/>
          <w:tblHeader/>
        </w:trPr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硬件环节</w:t>
            </w:r>
          </w:p>
        </w:tc>
        <w:tc>
          <w:tcPr>
            <w:tcW w:type="dxa" w:w="13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2026 年状态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指标是否仍在快速进步</w:t>
            </w:r>
          </w:p>
        </w:tc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是否接近物理约束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利润走向</w:t>
            </w:r>
          </w:p>
        </w:tc>
        <w:tc>
          <w:tcPr>
            <w:tcW w:type="dxa" w:w="13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独立投资价值</w:t>
            </w:r>
          </w:p>
        </w:tc>
      </w:tr>
      <w:tr>
        <w:trPr>
          <w:cantSplit w:val="false"/>
          <w:tblHeader w:val="false"/>
        </w:trPr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标准旋转关节</w:t>
            </w:r>
          </w:p>
        </w:tc>
        <w:tc>
          <w:tcPr>
            <w:tcW w:type="dxa" w:w="13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已成熟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部分（散热）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商品化</w:t>
            </w:r>
          </w:p>
        </w:tc>
        <w:tc>
          <w:tcPr>
            <w:tcW w:type="dxa" w:w="13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低到中</w:t>
            </w:r>
          </w:p>
        </w:tc>
      </w:tr>
      <w:tr>
        <w:trPr>
          <w:cantSplit w:val="false"/>
          <w:tblHeader w:val="false"/>
        </w:trPr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行星滚柱丝杠</w:t>
            </w:r>
          </w:p>
        </w:tc>
        <w:tc>
          <w:tcPr>
            <w:tcW w:type="dxa" w:w="13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量产导入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快（良率）</w:t>
            </w:r>
          </w:p>
        </w:tc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否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3–5 年内仍有超额利润</w:t>
            </w:r>
          </w:p>
        </w:tc>
        <w:tc>
          <w:tcPr>
            <w:tcW w:type="dxa" w:w="13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5"/>
                <w:szCs w:val="15"/>
              </w:rPr>
              <w:t xml:space="preserve">高</w:t>
            </w:r>
          </w:p>
        </w:tc>
      </w:tr>
      <w:tr>
        <w:trPr>
          <w:cantSplit w:val="false"/>
          <w:tblHeader w:val="false"/>
        </w:trPr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低自由度灵巧手</w:t>
            </w:r>
          </w:p>
        </w:tc>
        <w:tc>
          <w:tcPr>
            <w:tcW w:type="dxa" w:w="13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已成熟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快（降价）</w:t>
            </w:r>
          </w:p>
        </w:tc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否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价格战</w:t>
            </w:r>
          </w:p>
        </w:tc>
        <w:tc>
          <w:tcPr>
            <w:tcW w:type="dxa" w:w="13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低</w:t>
            </w:r>
          </w:p>
        </w:tc>
      </w:tr>
      <w:tr>
        <w:trPr>
          <w:cantSplit w:val="false"/>
          <w:tblHeader w:val="false"/>
        </w:trPr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高自由度手加触觉</w:t>
            </w:r>
          </w:p>
        </w:tc>
        <w:tc>
          <w:tcPr>
            <w:tcW w:type="dxa" w:w="13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工程化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快</w:t>
            </w:r>
          </w:p>
        </w:tc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部分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高价值</w:t>
            </w:r>
          </w:p>
        </w:tc>
        <w:tc>
          <w:tcPr>
            <w:tcW w:type="dxa" w:w="13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5"/>
                <w:szCs w:val="15"/>
              </w:rPr>
              <w:t xml:space="preserve">高（高风险）</w:t>
            </w:r>
          </w:p>
        </w:tc>
      </w:tr>
      <w:tr>
        <w:trPr>
          <w:cantSplit w:val="false"/>
          <w:tblHeader w:val="false"/>
        </w:trPr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六维力</w:t>
            </w:r>
          </w:p>
        </w:tc>
        <w:tc>
          <w:tcPr>
            <w:tcW w:type="dxa" w:w="13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成熟（海外）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否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国产替代</w:t>
            </w:r>
          </w:p>
        </w:tc>
        <w:tc>
          <w:tcPr>
            <w:tcW w:type="dxa" w:w="13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中高</w:t>
            </w:r>
          </w:p>
        </w:tc>
      </w:tr>
      <w:tr>
        <w:trPr>
          <w:cantSplit w:val="false"/>
          <w:tblHeader w:val="false"/>
        </w:trPr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端侧算力</w:t>
            </w:r>
          </w:p>
        </w:tc>
        <w:tc>
          <w:tcPr>
            <w:tcW w:type="dxa" w:w="13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成熟（NVIDIA）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快</w:t>
            </w:r>
          </w:p>
        </w:tc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否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寡头</w:t>
            </w:r>
          </w:p>
        </w:tc>
        <w:tc>
          <w:tcPr>
            <w:tcW w:type="dxa" w:w="13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中（国产平台）</w:t>
            </w:r>
          </w:p>
        </w:tc>
      </w:tr>
      <w:tr>
        <w:trPr>
          <w:cantSplit w:val="false"/>
          <w:tblHeader w:val="false"/>
        </w:trPr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电池</w:t>
            </w:r>
          </w:p>
        </w:tc>
        <w:tc>
          <w:tcPr>
            <w:tcW w:type="dxa" w:w="13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成熟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慢</w:t>
            </w:r>
          </w:p>
        </w:tc>
        <w:tc>
          <w:tcPr>
            <w:tcW w:type="dxa" w:w="15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5"/>
                <w:szCs w:val="15"/>
              </w:rPr>
              <w:t xml:space="preserve">是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商品化</w:t>
            </w:r>
          </w:p>
        </w:tc>
        <w:tc>
          <w:tcPr>
            <w:tcW w:type="dxa" w:w="13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低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反证检查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如果特斯拉在 2027 年实现周产 5,000 台以上，并全部自制执行器，那么独立零部件企业的海外增量会大幅缩水。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如果高自由度手的价格在 2028 年前降到 5,000 元以下且寿命达标，高端手的溢价就会消失。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我们最容易忽视的风险是：</w:t>
      </w:r>
      <w:r>
        <w:rPr>
          <w:b/>
          <w:bCs/>
        </w:rPr>
        <w:t xml:space="preserve">零部件"概念股"的估值，远远跑在人形相关收入前面</w:t>
      </w:r>
      <w:r>
        <w:t xml:space="preserve">。</w:t>
      </w:r>
    </w:p>
    <w:p>
      <w:pPr>
        <w:pStyle w:val="Heading1"/>
        <w:pageBreakBefore/>
      </w:pPr>
      <w:bookmarkStart w:name="bm33" w:id="1033"/>
      <w:r>
        <w:t xml:space="preserve">第四篇　机器人软件与智能系统的产业成熟度</w:t>
      </w:r>
      <w:bookmarkEnd w:id="1033"/>
    </w:p>
    <w:p>
      <w:pPr>
        <w:pStyle w:val="Heading2"/>
      </w:pPr>
      <w:bookmarkStart w:name="bm34" w:id="1034"/>
      <w:r>
        <w:t xml:space="preserve">4.1 从一台真实部署的机器人出发：完整软件栈</w:t>
      </w:r>
      <w:bookmarkEnd w:id="103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2080"/>
        <w:gridCol w:w="3050"/>
        <w:gridCol w:w="416"/>
        <w:gridCol w:w="970"/>
        <w:gridCol w:w="1250"/>
      </w:tblGrid>
      <w:tr>
        <w:trPr>
          <w:cantSplit w:val="false"/>
          <w:tblHeader/>
        </w:trPr>
        <w:tc>
          <w:tcPr>
            <w:tcW w:type="dxa" w:w="18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层级</w:t>
            </w:r>
          </w:p>
        </w:tc>
        <w:tc>
          <w:tcPr>
            <w:tcW w:type="dxa" w:w="20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功能</w:t>
            </w:r>
          </w:p>
        </w:tc>
        <w:tc>
          <w:tcPr>
            <w:tcW w:type="dxa" w:w="30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主流方案（2026）</w:t>
            </w:r>
          </w:p>
        </w:tc>
        <w:tc>
          <w:tcPr>
            <w:tcW w:type="dxa" w:w="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成熟度</w:t>
            </w:r>
          </w:p>
        </w:tc>
        <w:tc>
          <w:tcPr>
            <w:tcW w:type="dxa" w:w="9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谁在做</w:t>
            </w:r>
          </w:p>
        </w:tc>
        <w:tc>
          <w:tcPr>
            <w:tcW w:type="dxa" w:w="12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是否构成壁垒</w:t>
            </w:r>
          </w:p>
        </w:tc>
      </w:tr>
      <w:tr>
        <w:trPr>
          <w:cantSplit w:val="false"/>
          <w:tblHeader w:val="false"/>
        </w:trPr>
        <w:tc>
          <w:tcPr>
            <w:tcW w:type="dxa" w:w="18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感知</w:t>
            </w:r>
          </w:p>
        </w:tc>
        <w:tc>
          <w:tcPr>
            <w:tcW w:type="dxa" w:w="20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检测、分割、位姿估计、深度</w:t>
            </w:r>
          </w:p>
        </w:tc>
        <w:tc>
          <w:tcPr>
            <w:tcW w:type="dxa" w:w="30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视觉基础模型加 RGB-D</w:t>
            </w:r>
          </w:p>
        </w:tc>
        <w:tc>
          <w:tcPr>
            <w:tcW w:type="dxa" w:w="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L4–L5</w:t>
            </w:r>
          </w:p>
        </w:tc>
        <w:tc>
          <w:tcPr>
            <w:tcW w:type="dxa" w:w="9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开源、大厂</w:t>
            </w:r>
          </w:p>
        </w:tc>
        <w:tc>
          <w:tcPr>
            <w:tcW w:type="dxa" w:w="12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低</w:t>
            </w:r>
          </w:p>
        </w:tc>
      </w:tr>
      <w:tr>
        <w:trPr>
          <w:cantSplit w:val="false"/>
          <w:tblHeader w:val="false"/>
        </w:trPr>
        <w:tc>
          <w:tcPr>
            <w:tcW w:type="dxa" w:w="18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定位、建图与导航</w:t>
            </w:r>
          </w:p>
        </w:tc>
        <w:tc>
          <w:tcPr>
            <w:tcW w:type="dxa" w:w="20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SLAM、路径规划</w:t>
            </w:r>
          </w:p>
        </w:tc>
        <w:tc>
          <w:tcPr>
            <w:tcW w:type="dxa" w:w="30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AMR 成熟方案</w:t>
            </w:r>
          </w:p>
        </w:tc>
        <w:tc>
          <w:tcPr>
            <w:tcW w:type="dxa" w:w="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L5</w:t>
            </w:r>
          </w:p>
        </w:tc>
        <w:tc>
          <w:tcPr>
            <w:tcW w:type="dxa" w:w="9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大量供应商</w:t>
            </w:r>
          </w:p>
        </w:tc>
        <w:tc>
          <w:tcPr>
            <w:tcW w:type="dxa" w:w="12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低</w:t>
            </w:r>
          </w:p>
        </w:tc>
      </w:tr>
      <w:tr>
        <w:trPr>
          <w:cantSplit w:val="false"/>
          <w:tblHeader w:val="false"/>
        </w:trPr>
        <w:tc>
          <w:tcPr>
            <w:tcW w:type="dxa" w:w="18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具身推理（System 2）</w:t>
            </w:r>
          </w:p>
        </w:tc>
        <w:tc>
          <w:tcPr>
            <w:tcW w:type="dxa" w:w="20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任务理解、空间推理、子任务分解</w:t>
            </w:r>
          </w:p>
        </w:tc>
        <w:tc>
          <w:tcPr>
            <w:tcW w:type="dxa" w:w="30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具身 VLM（Gemini Robotics-ER、各家自研，Qwen-VL 底座常见）</w:t>
            </w:r>
          </w:p>
        </w:tc>
        <w:tc>
          <w:tcPr>
            <w:tcW w:type="dxa" w:w="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L2–L3</w:t>
            </w:r>
          </w:p>
        </w:tc>
        <w:tc>
          <w:tcPr>
            <w:tcW w:type="dxa" w:w="9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大厂、模型公司</w:t>
            </w:r>
          </w:p>
        </w:tc>
        <w:tc>
          <w:tcPr>
            <w:tcW w:type="dxa" w:w="12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中（被开源追赶）</w:t>
            </w:r>
          </w:p>
        </w:tc>
      </w:tr>
      <w:tr>
        <w:trPr>
          <w:cantSplit w:val="false"/>
          <w:tblHeader w:val="false"/>
        </w:trPr>
        <w:tc>
          <w:tcPr>
            <w:tcW w:type="dxa" w:w="18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动作生成（System 1）</w:t>
            </w:r>
          </w:p>
        </w:tc>
        <w:tc>
          <w:tcPr>
            <w:tcW w:type="dxa" w:w="20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视觉—语言—动作映射</w:t>
            </w:r>
          </w:p>
        </w:tc>
        <w:tc>
          <w:tcPr>
            <w:tcW w:type="dxa" w:w="30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VLA（VLM 加流匹配/扩散动作专家）、世界动作模型</w:t>
            </w:r>
          </w:p>
        </w:tc>
        <w:tc>
          <w:tcPr>
            <w:tcW w:type="dxa" w:w="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L2–L3</w:t>
            </w:r>
          </w:p>
        </w:tc>
        <w:tc>
          <w:tcPr>
            <w:tcW w:type="dxa" w:w="9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模型公司、整机</w:t>
            </w:r>
          </w:p>
        </w:tc>
        <w:tc>
          <w:tcPr>
            <w:tcW w:type="dxa" w:w="12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中（数据闭环决定）</w:t>
            </w:r>
          </w:p>
        </w:tc>
      </w:tr>
      <w:tr>
        <w:trPr>
          <w:cantSplit w:val="false"/>
          <w:tblHeader w:val="false"/>
        </w:trPr>
        <w:tc>
          <w:tcPr>
            <w:tcW w:type="dxa" w:w="18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全身控制（System 0）</w:t>
            </w:r>
          </w:p>
        </w:tc>
        <w:tc>
          <w:tcPr>
            <w:tcW w:type="dxa" w:w="20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平衡、运动追踪、安全反射</w:t>
            </w:r>
          </w:p>
        </w:tc>
        <w:tc>
          <w:tcPr>
            <w:tcW w:type="dxa" w:w="30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仿真 RL 加动作追踪，sim2real</w:t>
            </w:r>
          </w:p>
        </w:tc>
        <w:tc>
          <w:tcPr>
            <w:tcW w:type="dxa" w:w="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L4–L5</w:t>
            </w:r>
          </w:p>
        </w:tc>
        <w:tc>
          <w:tcPr>
            <w:tcW w:type="dxa" w:w="9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整机、开源</w:t>
            </w:r>
          </w:p>
        </w:tc>
        <w:tc>
          <w:tcPr>
            <w:tcW w:type="dxa" w:w="12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低（已商品化）</w:t>
            </w:r>
          </w:p>
        </w:tc>
      </w:tr>
      <w:tr>
        <w:trPr>
          <w:cantSplit w:val="false"/>
          <w:tblHeader w:val="false"/>
        </w:trPr>
        <w:tc>
          <w:tcPr>
            <w:tcW w:type="dxa" w:w="18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安全层</w:t>
            </w:r>
          </w:p>
        </w:tc>
        <w:tc>
          <w:tcPr>
            <w:tcW w:type="dxa" w:w="20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力与速度限制、碰撞检测、急停</w:t>
            </w:r>
          </w:p>
        </w:tc>
        <w:tc>
          <w:tcPr>
            <w:tcW w:type="dxa" w:w="30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规则加学习的混合方案</w:t>
            </w:r>
          </w:p>
        </w:tc>
        <w:tc>
          <w:tcPr>
            <w:tcW w:type="dxa" w:w="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L2–L3</w:t>
            </w:r>
          </w:p>
        </w:tc>
        <w:tc>
          <w:tcPr>
            <w:tcW w:type="dxa" w:w="9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整机</w:t>
            </w:r>
          </w:p>
        </w:tc>
        <w:tc>
          <w:tcPr>
            <w:tcW w:type="dxa" w:w="12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中（认证壁垒）</w:t>
            </w:r>
          </w:p>
        </w:tc>
      </w:tr>
      <w:tr>
        <w:trPr>
          <w:cantSplit w:val="false"/>
          <w:tblHeader w:val="false"/>
        </w:trPr>
        <w:tc>
          <w:tcPr>
            <w:tcW w:type="dxa" w:w="18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记忆与长时序编排</w:t>
            </w:r>
          </w:p>
        </w:tc>
        <w:tc>
          <w:tcPr>
            <w:tcW w:type="dxa" w:w="20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多步骤任务、中断恢复</w:t>
            </w:r>
          </w:p>
        </w:tc>
        <w:tc>
          <w:tcPr>
            <w:tcW w:type="dxa" w:w="30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智能体 OS、记忆模块</w:t>
            </w:r>
          </w:p>
        </w:tc>
        <w:tc>
          <w:tcPr>
            <w:tcW w:type="dxa" w:w="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L2</w:t>
            </w:r>
          </w:p>
        </w:tc>
        <w:tc>
          <w:tcPr>
            <w:tcW w:type="dxa" w:w="9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模型公司、大厂</w:t>
            </w:r>
          </w:p>
        </w:tc>
        <w:tc>
          <w:tcPr>
            <w:tcW w:type="dxa" w:w="12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18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机器人 OS、中间件与车队管理</w:t>
            </w:r>
          </w:p>
        </w:tc>
        <w:tc>
          <w:tcPr>
            <w:tcW w:type="dxa" w:w="20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调度、OTA、监控、数据回流</w:t>
            </w:r>
          </w:p>
        </w:tc>
        <w:tc>
          <w:tcPr>
            <w:tcW w:type="dxa" w:w="30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ROS 2 加自研</w:t>
            </w:r>
          </w:p>
        </w:tc>
        <w:tc>
          <w:tcPr>
            <w:tcW w:type="dxa" w:w="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L3</w:t>
            </w:r>
          </w:p>
        </w:tc>
        <w:tc>
          <w:tcPr>
            <w:tcW w:type="dxa" w:w="9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整机、平台</w:t>
            </w:r>
          </w:p>
        </w:tc>
        <w:tc>
          <w:tcPr>
            <w:tcW w:type="dxa" w:w="12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随部署规模上升</w:t>
            </w:r>
          </w:p>
        </w:tc>
      </w:tr>
      <w:tr>
        <w:trPr>
          <w:cantSplit w:val="false"/>
          <w:tblHeader w:val="false"/>
        </w:trPr>
        <w:tc>
          <w:tcPr>
            <w:tcW w:type="dxa" w:w="18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训练基础设施</w:t>
            </w:r>
          </w:p>
        </w:tc>
        <w:tc>
          <w:tcPr>
            <w:tcW w:type="dxa" w:w="20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数据管线、仿真、评测</w:t>
            </w:r>
          </w:p>
        </w:tc>
        <w:tc>
          <w:tcPr>
            <w:tcW w:type="dxa" w:w="30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Isaac、Genesis、自研</w:t>
            </w:r>
          </w:p>
        </w:tc>
        <w:tc>
          <w:tcPr>
            <w:tcW w:type="dxa" w:w="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L3–L4</w:t>
            </w:r>
          </w:p>
        </w:tc>
        <w:tc>
          <w:tcPr>
            <w:tcW w:type="dxa" w:w="9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NVIDIA、大厂</w:t>
            </w:r>
          </w:p>
        </w:tc>
        <w:tc>
          <w:tcPr>
            <w:tcW w:type="dxa" w:w="12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NVIDIA 强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一个反直觉的事实</w:t>
      </w:r>
      <w:r>
        <w:t xml:space="preserve">：投资人关注最多的 VLA 和世界模型，只是软件栈的一层。真实部署的失败，大量来自其余各层的</w:t>
      </w:r>
      <w:r>
        <w:rPr>
          <w:b/>
          <w:bCs/>
        </w:rPr>
        <w:t xml:space="preserve">集成问题</w:t>
      </w:r>
      <w:r>
        <w:t xml:space="preserve">，例如感知误差、标定漂移、通信延迟、安全层误触发和 OTA 回归。</w:t>
      </w:r>
    </w:p>
    <w:p>
      <w:pPr>
        <w:pStyle w:val="Heading2"/>
      </w:pPr>
      <w:bookmarkStart w:name="bm35" w:id="1035"/>
      <w:r>
        <w:t xml:space="preserve">4.2 2026 年各技术路线：从投资视角比较</w:t>
      </w:r>
      <w:bookmarkEnd w:id="103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300"/>
        <w:gridCol w:w="917"/>
        <w:gridCol w:w="1147"/>
        <w:gridCol w:w="994"/>
        <w:gridCol w:w="917"/>
        <w:gridCol w:w="764"/>
        <w:gridCol w:w="1300"/>
        <w:gridCol w:w="999"/>
      </w:tblGrid>
      <w:tr>
        <w:trPr>
          <w:cantSplit w:val="false"/>
          <w:tblHeader/>
        </w:trPr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路线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代表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解决的真实工程问题</w:t>
            </w:r>
          </w:p>
        </w:tc>
        <w:tc>
          <w:tcPr>
            <w:tcW w:type="dxa" w:w="11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依赖</w:t>
            </w:r>
          </w:p>
        </w:tc>
        <w:tc>
          <w:tcPr>
            <w:tcW w:type="dxa" w:w="9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优势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能力边界</w:t>
            </w:r>
          </w:p>
        </w:tc>
        <w:tc>
          <w:tcPr>
            <w:tcW w:type="dxa" w:w="7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规模化难点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与其他路线的关系</w:t>
            </w:r>
          </w:p>
        </w:tc>
        <w:tc>
          <w:tcPr>
            <w:tcW w:type="dxa" w:w="9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壁垒与投资价值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传统模块化（感知—规划—控制）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工业机器人、AMR、部分工业人形方案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确定性、可验证</w:t>
            </w:r>
          </w:p>
        </w:tc>
        <w:tc>
          <w:tcPr>
            <w:tcW w:type="dxa" w:w="11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工程师、场景建模</w:t>
            </w:r>
          </w:p>
        </w:tc>
        <w:tc>
          <w:tcPr>
            <w:tcW w:type="dxa" w:w="9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可靠、可认证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换任务要重新开发</w:t>
            </w:r>
          </w:p>
        </w:tc>
        <w:tc>
          <w:tcPr>
            <w:tcW w:type="dxa" w:w="7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每个场景都要定制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是 VLA 的"安全外壳"和兜底</w:t>
            </w:r>
          </w:p>
        </w:tc>
        <w:tc>
          <w:tcPr>
            <w:tcW w:type="dxa" w:w="9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低（但现金流好）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端到端 VLA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PI π 系列、Figure Helix、智元 GO、星海图 G0、GR00T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从示范到技能的通用映射</w:t>
            </w:r>
          </w:p>
        </w:tc>
        <w:tc>
          <w:tcPr>
            <w:tcW w:type="dxa" w:w="11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大规模多样数据、VLM 底座、算力</w:t>
            </w:r>
          </w:p>
        </w:tc>
        <w:tc>
          <w:tcPr>
            <w:tcW w:type="dxa" w:w="9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新任务边际成本低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长尾可靠性；精度依赖数据</w:t>
            </w:r>
          </w:p>
        </w:tc>
        <w:tc>
          <w:tcPr>
            <w:tcW w:type="dxa" w:w="7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数据成本；评测困难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主流；与分层规划互补</w:t>
            </w:r>
          </w:p>
        </w:tc>
        <w:tc>
          <w:tcPr>
            <w:tcW w:type="dxa" w:w="9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中：开源压缩溢价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分层（S2 推理 + S1 动作 + S0 控制）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Helix 02、逐际 COSA、DeepMind、银河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把频率、数据和安全解耦</w:t>
            </w:r>
          </w:p>
        </w:tc>
        <w:tc>
          <w:tcPr>
            <w:tcW w:type="dxa" w:w="11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各层独立数据</w:t>
            </w:r>
          </w:p>
        </w:tc>
        <w:tc>
          <w:tcPr>
            <w:tcW w:type="dxa" w:w="9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可解释、可单独升级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层间接口损失</w:t>
            </w:r>
          </w:p>
        </w:tc>
        <w:tc>
          <w:tcPr>
            <w:tcW w:type="dxa" w:w="7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系统集成复杂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2026 年的事实共识</w:t>
            </w:r>
          </w:p>
        </w:tc>
        <w:tc>
          <w:tcPr>
            <w:tcW w:type="dxa" w:w="9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中：系统集成能力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世界模型（视频/潜空间预测）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NVIDIA Cosmos/DreamZero、1X、Meta JEPA、极佳、智元 GE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数据生成、策略评估、规划</w:t>
            </w:r>
          </w:p>
        </w:tc>
        <w:tc>
          <w:tcPr>
            <w:tcW w:type="dxa" w:w="11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海量视频、算力</w:t>
            </w:r>
          </w:p>
        </w:tc>
        <w:tc>
          <w:tcPr>
            <w:tcW w:type="dxa" w:w="9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用视频先验降低真机数据需求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物理一致性；推理成本高</w:t>
            </w:r>
          </w:p>
        </w:tc>
        <w:tc>
          <w:tcPr>
            <w:tcW w:type="dxa" w:w="7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端侧算力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先作工具（造数据、做评估），再作策略</w:t>
            </w:r>
          </w:p>
        </w:tc>
        <w:tc>
          <w:tcPr>
            <w:tcW w:type="dxa" w:w="9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工具价值确定，策略价值未定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视频生成加逆动力学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1XWM、Vidar、DreamGen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利用视频模型的物理先验</w:t>
            </w:r>
          </w:p>
        </w:tc>
        <w:tc>
          <w:tcPr>
            <w:tcW w:type="dxa" w:w="11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视频模型</w:t>
            </w:r>
          </w:p>
        </w:tc>
        <w:tc>
          <w:tcPr>
            <w:tcW w:type="dxa" w:w="9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可用互联网视频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生成误差传递到动作</w:t>
            </w:r>
          </w:p>
        </w:tc>
        <w:tc>
          <w:tcPr>
            <w:tcW w:type="dxa" w:w="7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实时性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世界模型的一支</w:t>
            </w:r>
          </w:p>
        </w:tc>
        <w:tc>
          <w:tcPr>
            <w:tcW w:type="dxa" w:w="9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中低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强化学习（真机或模型内）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π*0.6 RECAP、GR-RL、HIL-SERL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超越模仿学习，提高成功率</w:t>
            </w:r>
          </w:p>
        </w:tc>
        <w:tc>
          <w:tcPr>
            <w:tcW w:type="dxa" w:w="11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奖励设计、安全探索</w:t>
            </w:r>
          </w:p>
        </w:tc>
        <w:tc>
          <w:tcPr>
            <w:tcW w:type="dxa" w:w="9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可把成功率推到 99% 级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每个任务都要单独设计</w:t>
            </w:r>
          </w:p>
        </w:tc>
        <w:tc>
          <w:tcPr>
            <w:tcW w:type="dxa" w:w="7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真机 RL 的成本与安全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部署后的"最后一公里"</w:t>
            </w:r>
          </w:p>
        </w:tc>
        <w:tc>
          <w:tcPr>
            <w:tcW w:type="dxa" w:w="9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3"/>
                <w:szCs w:val="13"/>
              </w:rPr>
              <w:t xml:space="preserve">高</w:t>
            </w:r>
            <w:r>
              <w:rPr>
                <w:sz w:val="13"/>
                <w:szCs w:val="13"/>
              </w:rPr>
              <w:t xml:space="preserve">：与部署闭环绑定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混合系统（规则安全层 + VLA + RL 后训练）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多数工业部署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兼顾泛化与可靠</w:t>
            </w:r>
          </w:p>
        </w:tc>
        <w:tc>
          <w:tcPr>
            <w:tcW w:type="dxa" w:w="11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全部</w:t>
            </w:r>
          </w:p>
        </w:tc>
        <w:tc>
          <w:tcPr>
            <w:tcW w:type="dxa" w:w="9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现实可行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工程复杂</w:t>
            </w:r>
          </w:p>
        </w:tc>
        <w:tc>
          <w:tcPr>
            <w:tcW w:type="dxa" w:w="7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团队能力</w:t>
            </w:r>
          </w:p>
        </w:tc>
        <w:tc>
          <w:tcPr>
            <w:tcW w:type="dxa" w:w="13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实际的赢家形态</w:t>
            </w:r>
          </w:p>
        </w:tc>
        <w:tc>
          <w:tcPr>
            <w:tcW w:type="dxa" w:w="9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高：工程化团队稀缺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36" w:id="1036"/>
      <w:r>
        <w:t xml:space="preserve">4.3 模型能力怎样变成任务表现：传导链</w:t>
      </w:r>
      <w:bookmarkEnd w:id="1036"/>
    </w:p>
    <w:p>
      <w:pPr>
        <w:shd w:fill="F4F4F2" w:color="auto" w:val="clear"/>
        <w:spacing w:after="0" w:before="8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模型能力（离线评测/仿真基准）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└─▶ 动作质量（精度、平滑度、频率）：受端侧算力与推理延迟约束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     └─▶ 控制执行（关节跟踪、力控）：受执行器带宽、摩擦、背隙约束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          └─▶ 任务成功率（单次）：受感知误差、标定、环境变化影响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               └─▶ 长期可靠性（MTBF、可用率）：受硬件寿命、热、软件回归影响</w:t>
      </w:r>
    </w:p>
    <w:p>
      <w:pPr>
        <w:shd w:fill="F4F4F2" w:color="auto" w:val="clear"/>
        <w:spacing w:after="16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                    └─▶ 经济性（吞吐 × 可用率 ÷ 看护人员）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每一级都有损耗</w:t>
      </w:r>
      <w:r>
        <w:t xml:space="preserve">。仿真基准（如 LIBERO）已普遍做到 98% 以上，几乎没有区分度。从"单次成功"到"长期可靠"的损耗最大，也最少被公开披露。</w:t>
      </w:r>
    </w:p>
    <w:p>
      <w:pPr>
        <w:pStyle w:val="Heading2"/>
      </w:pPr>
      <w:bookmarkStart w:name="bm37" w:id="1037"/>
      <w:r>
        <w:t xml:space="preserve">4.4 核心问题：机器人能力的主要约束到底在哪里，又怎样迁移</w:t>
      </w:r>
      <w:bookmarkEnd w:id="103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2"/>
        <w:gridCol w:w="2244"/>
        <w:gridCol w:w="2772"/>
        <w:gridCol w:w="2178"/>
        <w:gridCol w:w="1322"/>
      </w:tblGrid>
      <w:tr>
        <w:trPr>
          <w:cantSplit w:val="false"/>
          <w:tblHeader/>
        </w:trPr>
        <w:tc>
          <w:tcPr>
            <w:tcW w:type="dxa" w:w="11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时期</w:t>
            </w:r>
          </w:p>
        </w:tc>
        <w:tc>
          <w:tcPr>
            <w:tcW w:type="dxa" w:w="22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主要约束</w:t>
            </w:r>
          </w:p>
        </w:tc>
        <w:tc>
          <w:tcPr>
            <w:tcW w:type="dxa" w:w="27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证据</w:t>
            </w:r>
          </w:p>
        </w:tc>
        <w:tc>
          <w:tcPr>
            <w:tcW w:type="dxa" w:w="21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被什么突破</w:t>
            </w:r>
          </w:p>
        </w:tc>
        <w:tc>
          <w:tcPr>
            <w:tcW w:type="dxa" w:w="13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下一个约束</w:t>
            </w:r>
          </w:p>
        </w:tc>
      </w:tr>
      <w:tr>
        <w:trPr>
          <w:cantSplit w:val="false"/>
          <w:tblHeader w:val="false"/>
        </w:trPr>
        <w:tc>
          <w:tcPr>
            <w:tcW w:type="dxa" w:w="11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2022 年以前</w:t>
            </w:r>
          </w:p>
        </w:tc>
        <w:tc>
          <w:tcPr>
            <w:tcW w:type="dxa" w:w="22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运动控制与硬件成本</w:t>
            </w:r>
          </w:p>
        </w:tc>
        <w:tc>
          <w:tcPr>
            <w:tcW w:type="dxa" w:w="27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液压 Atlas 昂贵、难以量产</w:t>
            </w:r>
          </w:p>
        </w:tc>
        <w:tc>
          <w:tcPr>
            <w:tcW w:type="dxa" w:w="21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仿真 RL 加中国低成本电机关节</w:t>
            </w:r>
          </w:p>
        </w:tc>
        <w:tc>
          <w:tcPr>
            <w:tcW w:type="dxa" w:w="13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操作智能</w:t>
            </w:r>
          </w:p>
        </w:tc>
      </w:tr>
      <w:tr>
        <w:trPr>
          <w:cantSplit w:val="false"/>
          <w:tblHeader w:val="false"/>
        </w:trPr>
        <w:tc>
          <w:tcPr>
            <w:tcW w:type="dxa" w:w="11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2023–2024</w:t>
            </w:r>
          </w:p>
        </w:tc>
        <w:tc>
          <w:tcPr>
            <w:tcW w:type="dxa" w:w="22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操作智能的数据与动作表示</w:t>
            </w:r>
          </w:p>
        </w:tc>
        <w:tc>
          <w:tcPr>
            <w:tcW w:type="dxa" w:w="27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每个任务都要单独编程</w:t>
            </w:r>
          </w:p>
        </w:tc>
        <w:tc>
          <w:tcPr>
            <w:tcW w:type="dxa" w:w="21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ACT、扩散策略、VLA</w:t>
            </w:r>
          </w:p>
        </w:tc>
        <w:tc>
          <w:tcPr>
            <w:tcW w:type="dxa" w:w="13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数据规模</w:t>
            </w:r>
          </w:p>
        </w:tc>
      </w:tr>
      <w:tr>
        <w:trPr>
          <w:cantSplit w:val="false"/>
          <w:tblHeader w:val="false"/>
        </w:trPr>
        <w:tc>
          <w:tcPr>
            <w:tcW w:type="dxa" w:w="11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2025</w:t>
            </w:r>
          </w:p>
        </w:tc>
        <w:tc>
          <w:tcPr>
            <w:tcW w:type="dxa" w:w="22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数据规模与多样性</w:t>
            </w:r>
          </w:p>
        </w:tc>
        <w:tc>
          <w:tcPr>
            <w:tcW w:type="dxa" w:w="27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遥操作昂贵</w:t>
            </w:r>
          </w:p>
        </w:tc>
        <w:tc>
          <w:tcPr>
            <w:tcW w:type="dxa" w:w="21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人类视频、无本体采集、仿真</w:t>
            </w:r>
          </w:p>
        </w:tc>
        <w:tc>
          <w:tcPr>
            <w:tcW w:type="dxa" w:w="13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可靠性</w:t>
            </w:r>
          </w:p>
        </w:tc>
      </w:tr>
      <w:tr>
        <w:trPr>
          <w:cantSplit w:val="false"/>
          <w:tblHeader w:val="false"/>
        </w:trPr>
        <w:tc>
          <w:tcPr>
            <w:tcW w:type="dxa" w:w="11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5"/>
                <w:szCs w:val="15"/>
              </w:rPr>
              <w:t xml:space="preserve">2026（现在）</w:t>
            </w:r>
          </w:p>
        </w:tc>
        <w:tc>
          <w:tcPr>
            <w:tcW w:type="dxa" w:w="22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5"/>
                <w:szCs w:val="15"/>
              </w:rPr>
              <w:t xml:space="preserve">操作可靠性与系统集成</w:t>
            </w:r>
          </w:p>
        </w:tc>
        <w:tc>
          <w:tcPr>
            <w:tcW w:type="dxa" w:w="27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开放环境整任务成功率 10%–60%；试点吞吐不足</w:t>
            </w:r>
          </w:p>
        </w:tc>
        <w:tc>
          <w:tcPr>
            <w:tcW w:type="dxa" w:w="21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RL 后训练、世界模型评估、部署回流</w:t>
            </w:r>
          </w:p>
        </w:tc>
        <w:tc>
          <w:tcPr>
            <w:tcW w:type="dxa" w:w="13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5"/>
                <w:szCs w:val="15"/>
              </w:rPr>
              <w:t xml:space="preserve">运维成本与规模化交付</w:t>
            </w:r>
          </w:p>
        </w:tc>
      </w:tr>
      <w:tr>
        <w:trPr>
          <w:cantSplit w:val="false"/>
          <w:tblHeader w:val="false"/>
        </w:trPr>
        <w:tc>
          <w:tcPr>
            <w:tcW w:type="dxa" w:w="11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2027–2029（预测）</w:t>
            </w:r>
          </w:p>
        </w:tc>
        <w:tc>
          <w:tcPr>
            <w:tcW w:type="dxa" w:w="22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看护配比、MTBF、售后网络、单位成本</w:t>
            </w:r>
          </w:p>
        </w:tc>
        <w:tc>
          <w:tcPr>
            <w:tcW w:type="dxa" w:w="27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车队管理、可靠性工程、规模化</w:t>
            </w:r>
          </w:p>
        </w:tc>
        <w:tc>
          <w:tcPr>
            <w:tcW w:type="dxa" w:w="13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场景标准化与安全认证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结论</w:t>
      </w:r>
      <w:r>
        <w:t xml:space="preserve">〔D，高置信度〕：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约束已经从"智能模型本身"迁移到"</w:t>
      </w:r>
      <w:r>
        <w:rPr>
          <w:b/>
          <w:bCs/>
        </w:rPr>
        <w:t xml:space="preserve">模型、硬件、控制、运维的系统工程</w:t>
      </w:r>
      <w:r>
        <w:t xml:space="preserve">"。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未来两年，最稀缺的能力不是训练一个更大的 VLA，而是</w:t>
      </w:r>
      <w:r>
        <w:rPr>
          <w:b/>
          <w:bCs/>
        </w:rPr>
        <w:t xml:space="preserve">把接管率从每小时数次降到每天数次，把看护配比从 1:5 提到 1:20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这类能力更像汽车和工业自动化的工程体系，而不像互联网模型公司。</w:t>
      </w:r>
      <w:r>
        <w:rPr>
          <w:b/>
          <w:bCs/>
        </w:rPr>
        <w:t xml:space="preserve">中国在这一点上的工程师红利和场景密度，可能比模型层的差距更具决定性</w:t>
      </w:r>
      <w:r>
        <w:t xml:space="preserve">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替代观点</w:t>
      </w:r>
      <w:r>
        <w:t xml:space="preserve">：如果出现"GPT-4 时刻"——某个模型在泛化与可靠性上同时出现代际跃迁——约束会重新回到模型层，模型公司的议价能力将大幅提升。我们给这个情景约 20% 的概率（第十二篇乐观情景），领先指标是第三方大样本盲测成绩。</w:t>
      </w:r>
    </w:p>
    <w:p>
      <w:pPr>
        <w:pStyle w:val="Heading2"/>
      </w:pPr>
      <w:bookmarkStart w:name="bm38" w:id="1038"/>
      <w:r>
        <w:t xml:space="preserve">4.5 开源对模型层商业价值的冲击</w:t>
      </w:r>
      <w:bookmarkEnd w:id="1038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事实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Qwen-VL 系列已成为具身 VLM 最常用的开源底座之一；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NVIDIA GR00T N 系列、PI 的上一代模型，以及大量中国模型（智元、星海图、阿里、蚂蚁、小米等）都已开源〔B，S80〕。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：大厂通过开源争夺生态（销售芯片、云服务和终端），把模型层的价格压向零。整机厂获得了"足够好"的免费模型，自研加微调的成本下降，付费授权的意愿随之下降。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结论</w:t>
      </w:r>
      <w:r>
        <w:t xml:space="preserve">：独立模型公司的价值，必须来自开源追不上的部分，包括：</w:t>
      </w:r>
    </w:p>
    <w:p>
      <w:pPr>
        <w:spacing w:after="60" w:line="312" w:lineRule="auto"/>
        <w:ind w:left="840" w:hanging="300"/>
      </w:pPr>
      <w:r>
        <w:t xml:space="preserve">1. 前沿能力的时间差，约 6–12 个月；</w:t>
      </w:r>
    </w:p>
    <w:p>
      <w:pPr>
        <w:spacing w:after="60" w:line="312" w:lineRule="auto"/>
        <w:ind w:left="840" w:hanging="300"/>
      </w:pPr>
      <w:r>
        <w:t xml:space="preserve">2. 专有的部署回流数据；</w:t>
      </w:r>
    </w:p>
    <w:p>
      <w:pPr>
        <w:spacing w:after="60" w:line="312" w:lineRule="auto"/>
        <w:ind w:left="840" w:hanging="300"/>
      </w:pPr>
      <w:r>
        <w:t xml:space="preserve">3. 绑定的硬件或场景渠道；</w:t>
      </w:r>
    </w:p>
    <w:p>
      <w:pPr>
        <w:spacing w:after="60" w:line="312" w:lineRule="auto"/>
        <w:ind w:left="840" w:hanging="300"/>
      </w:pPr>
      <w:r>
        <w:t xml:space="preserve">4. 工程化交付能力。</w:t>
      </w:r>
    </w:p>
    <w:p>
      <w:pPr>
        <w:spacing w:after="120" w:line="324" w:lineRule="auto"/>
        <w:jc w:val="both"/>
      </w:pPr>
      <w:r>
        <w:t xml:space="preserve">单凭"论文与榜单领先"不足以支撑 100 亿元以上的估值（第十六篇 T07）。</w:t>
      </w:r>
    </w:p>
    <w:p>
      <w:pPr>
        <w:pStyle w:val="Heading2"/>
      </w:pPr>
      <w:bookmarkStart w:name="bm39" w:id="1039"/>
      <w:r>
        <w:t xml:space="preserve">4.6 反证检查</w:t>
      </w:r>
      <w:bookmarkEnd w:id="1039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"约束已经迁移到系统工程"的反面</w:t>
      </w:r>
      <w:r>
        <w:t xml:space="preserve">：如果某家纯模型公司（例如 PI）通过 API 实现可观收入，并且客户普遍在第三方硬件上取得可靠部署，那么模型层仍是主要价值环节。领先指标是：PI 或 Skild 的第三方付费客户数与收入。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最容易被忽视的约束</w:t>
      </w:r>
      <w:r>
        <w:t xml:space="preserve">：OTA 升级中的回归风险。模型更新可能让已经验收的任务退化，工业客户因此会要求"冻结版本"，从而削弱"持续学习"带来的复利。</w:t>
      </w:r>
    </w:p>
    <w:p>
      <w:pPr>
        <w:pStyle w:val="Heading1"/>
        <w:pageBreakBefore/>
      </w:pPr>
      <w:bookmarkStart w:name="bm40" w:id="1040"/>
      <w:r>
        <w:t xml:space="preserve">第五篇　机器人数据产业、训练范式与 Scaling Economics</w:t>
      </w:r>
      <w:bookmarkEnd w:id="1040"/>
    </w:p>
    <w:p>
      <w:pPr>
        <w:pStyle w:val="Heading2"/>
      </w:pPr>
      <w:bookmarkStart w:name="bm41" w:id="1041"/>
      <w:r>
        <w:t xml:space="preserve">5.1 数据为什么是具身智能的"燃料危机"</w:t>
      </w:r>
      <w:bookmarkEnd w:id="1041"/>
    </w:p>
    <w:p>
      <w:pPr>
        <w:spacing w:after="120" w:line="324" w:lineRule="auto"/>
        <w:jc w:val="both"/>
      </w:pPr>
      <w:r>
        <w:t xml:space="preserve">大语言模型可以用互联网上数万亿 token 的文本训练。机器人却没有一个"物理交互的互联网"。2026 年 7 月，贵州省大数据局公布的数据显示：国内真实物理交互场景的合规数据仅约 50 万小时，而机器人商业化落地需要数千万小时，缺口超过 99%〔C，S60〕。这个口径本身值得商榷，但方向没有争议：</w:t>
      </w:r>
      <w:r>
        <w:rPr>
          <w:b/>
          <w:bCs/>
        </w:rPr>
        <w:t xml:space="preserve">高质量、带动作标签的物理交互数据极度稀缺</w:t>
      </w:r>
      <w:r>
        <w:t xml:space="preserve">。</w:t>
      </w:r>
    </w:p>
    <w:p>
      <w:pPr>
        <w:pStyle w:val="Heading2"/>
      </w:pPr>
      <w:bookmarkStart w:name="bm42" w:id="1042"/>
      <w:r>
        <w:t xml:space="preserve">5.2 数据模态：成本、规模、可替代性</w:t>
      </w:r>
      <w:bookmarkEnd w:id="10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27"/>
        <w:gridCol w:w="1962"/>
        <w:gridCol w:w="807"/>
        <w:gridCol w:w="1154"/>
        <w:gridCol w:w="1154"/>
        <w:gridCol w:w="1269"/>
        <w:gridCol w:w="1965"/>
      </w:tblGrid>
      <w:tr>
        <w:trPr>
          <w:cantSplit w:val="false"/>
          <w:tblHeader/>
        </w:trPr>
        <w:tc>
          <w:tcPr>
            <w:tcW w:type="dxa" w:w="13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模态</w:t>
            </w:r>
          </w:p>
        </w:tc>
        <w:tc>
          <w:tcPr>
            <w:tcW w:type="dxa" w:w="19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单位成本（量级）</w:t>
            </w:r>
          </w:p>
        </w:tc>
        <w:tc>
          <w:tcPr>
            <w:tcW w:type="dxa" w:w="8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规模潜力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与目标本体的对齐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主要价值</w:t>
            </w:r>
          </w:p>
        </w:tc>
        <w:tc>
          <w:tcPr>
            <w:tcW w:type="dxa" w:w="126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可替代性</w:t>
            </w:r>
          </w:p>
        </w:tc>
        <w:tc>
          <w:tcPr>
            <w:tcW w:type="dxa" w:w="1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代表</w:t>
            </w:r>
          </w:p>
        </w:tc>
      </w:tr>
      <w:tr>
        <w:trPr>
          <w:cantSplit w:val="false"/>
          <w:tblHeader w:val="false"/>
        </w:trPr>
        <w:tc>
          <w:tcPr>
            <w:tcW w:type="dxa" w:w="13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真机遥操作</w:t>
            </w:r>
          </w:p>
        </w:tc>
        <w:tc>
          <w:tcPr>
            <w:tcW w:type="dxa" w:w="19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约千元/小时（二手口径，C，S60）；补贴标准 30 元/小时</w:t>
            </w:r>
          </w:p>
        </w:tc>
        <w:tc>
          <w:tcPr>
            <w:tcW w:type="dxa" w:w="8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低到中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完美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微调、精细技能</w:t>
            </w:r>
          </w:p>
        </w:tc>
        <w:tc>
          <w:tcPr>
            <w:tcW w:type="dxa" w:w="126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低（精细操作最难替代）</w:t>
            </w:r>
          </w:p>
        </w:tc>
        <w:tc>
          <w:tcPr>
            <w:tcW w:type="dxa" w:w="1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PI、智元 AgiBot World、各地数采中心</w:t>
            </w:r>
          </w:p>
        </w:tc>
      </w:tr>
      <w:tr>
        <w:trPr>
          <w:cantSplit w:val="false"/>
          <w:tblHeader w:val="false"/>
        </w:trPr>
        <w:tc>
          <w:tcPr>
            <w:tcW w:type="dxa" w:w="13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无本体采集（UMI、手套）</w:t>
            </w:r>
          </w:p>
        </w:tc>
        <w:tc>
          <w:tcPr>
            <w:tcW w:type="dxa" w:w="19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比遥操作低一个数量级（判断）</w:t>
            </w:r>
          </w:p>
        </w:tc>
        <w:tc>
          <w:tcPr>
            <w:tcW w:type="dxa" w:w="8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中到高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需要接口对齐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规模化预训练</w:t>
            </w:r>
          </w:p>
        </w:tc>
        <w:tc>
          <w:tcPr>
            <w:tcW w:type="dxa" w:w="126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</w:t>
            </w:r>
          </w:p>
        </w:tc>
        <w:tc>
          <w:tcPr>
            <w:tcW w:type="dxa" w:w="1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小米（10 万小时，C）、Sunday、RDT2</w:t>
            </w:r>
          </w:p>
        </w:tc>
      </w:tr>
      <w:tr>
        <w:trPr>
          <w:cantSplit w:val="false"/>
          <w:tblHeader w:val="false"/>
        </w:trPr>
        <w:tc>
          <w:tcPr>
            <w:tcW w:type="dxa" w:w="13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人类第一视角视频</w:t>
            </w:r>
          </w:p>
        </w:tc>
        <w:tc>
          <w:tcPr>
            <w:tcW w:type="dxa" w:w="19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补贴标准 3 元/小时（视频）；成本最低</w:t>
            </w:r>
          </w:p>
        </w:tc>
        <w:tc>
          <w:tcPr>
            <w:tcW w:type="dxa" w:w="8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极高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形态鸿沟大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语义与物理先验</w:t>
            </w:r>
          </w:p>
        </w:tc>
        <w:tc>
          <w:tcPr>
            <w:tcW w:type="dxa" w:w="126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高</w:t>
            </w:r>
          </w:p>
        </w:tc>
        <w:tc>
          <w:tcPr>
            <w:tcW w:type="dxa" w:w="1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Figure、特斯拉、它石（宣称百万小时）、Generalist（50 万小时以上，C）</w:t>
            </w:r>
          </w:p>
        </w:tc>
      </w:tr>
      <w:tr>
        <w:trPr>
          <w:cantSplit w:val="false"/>
          <w:tblHeader w:val="false"/>
        </w:trPr>
        <w:tc>
          <w:tcPr>
            <w:tcW w:type="dxa" w:w="13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仿真与合成</w:t>
            </w:r>
          </w:p>
        </w:tc>
        <w:tc>
          <w:tcPr>
            <w:tcW w:type="dxa" w:w="19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GPU 成本</w:t>
            </w:r>
          </w:p>
        </w:tc>
        <w:tc>
          <w:tcPr>
            <w:tcW w:type="dxa" w:w="8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极高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sim2real 鸿沟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运动控制、抓取、长尾</w:t>
            </w:r>
          </w:p>
        </w:tc>
        <w:tc>
          <w:tcPr>
            <w:tcW w:type="dxa" w:w="126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</w:t>
            </w:r>
          </w:p>
        </w:tc>
        <w:tc>
          <w:tcPr>
            <w:tcW w:type="dxa" w:w="1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NVIDIA、银河（十亿帧，C）、Genesis</w:t>
            </w:r>
          </w:p>
        </w:tc>
      </w:tr>
      <w:tr>
        <w:trPr>
          <w:cantSplit w:val="false"/>
          <w:tblHeader w:val="false"/>
        </w:trPr>
        <w:tc>
          <w:tcPr>
            <w:tcW w:type="dxa" w:w="13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世界模型生成</w:t>
            </w:r>
          </w:p>
        </w:tc>
        <w:tc>
          <w:tcPr>
            <w:tcW w:type="dxa" w:w="19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GPU 成本</w:t>
            </w:r>
          </w:p>
        </w:tc>
        <w:tc>
          <w:tcPr>
            <w:tcW w:type="dxa" w:w="8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高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物理一致性风险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数据增强、评估</w:t>
            </w:r>
          </w:p>
        </w:tc>
        <w:tc>
          <w:tcPr>
            <w:tcW w:type="dxa" w:w="126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</w:t>
            </w:r>
          </w:p>
        </w:tc>
        <w:tc>
          <w:tcPr>
            <w:tcW w:type="dxa" w:w="1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Cosmos、GigaWorld</w:t>
            </w:r>
          </w:p>
        </w:tc>
      </w:tr>
      <w:tr>
        <w:trPr>
          <w:cantSplit w:val="false"/>
          <w:tblHeader w:val="false"/>
        </w:trPr>
        <w:tc>
          <w:tcPr>
            <w:tcW w:type="dxa" w:w="13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部署回流</w:t>
            </w:r>
          </w:p>
        </w:tc>
        <w:tc>
          <w:tcPr>
            <w:tcW w:type="dxa" w:w="19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边际成本近零（硬件和运维已由客户买单）</w:t>
            </w:r>
          </w:p>
        </w:tc>
        <w:tc>
          <w:tcPr>
            <w:tcW w:type="dxa" w:w="8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随车队规模增长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完美，且就是目标分布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4"/>
                <w:szCs w:val="14"/>
              </w:rPr>
              <w:t xml:space="preserve">持续改进与可靠性</w:t>
            </w:r>
          </w:p>
        </w:tc>
        <w:tc>
          <w:tcPr>
            <w:tcW w:type="dxa" w:w="126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4"/>
                <w:szCs w:val="14"/>
              </w:rPr>
              <w:t xml:space="preserve">不可替代</w:t>
            </w:r>
          </w:p>
        </w:tc>
        <w:tc>
          <w:tcPr>
            <w:tcW w:type="dxa" w:w="1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智元、银河（宣称 8 万小时，C）、Figure（宝马）、PI RECAP</w:t>
            </w:r>
          </w:p>
        </w:tc>
      </w:tr>
      <w:tr>
        <w:trPr>
          <w:cantSplit w:val="false"/>
          <w:tblHeader w:val="false"/>
        </w:trPr>
        <w:tc>
          <w:tcPr>
            <w:tcW w:type="dxa" w:w="13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触觉与力觉</w:t>
            </w:r>
          </w:p>
        </w:tc>
        <w:tc>
          <w:tcPr>
            <w:tcW w:type="dxa" w:w="19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高（需专用传感器）</w:t>
            </w:r>
          </w:p>
        </w:tc>
        <w:tc>
          <w:tcPr>
            <w:tcW w:type="dxa" w:w="8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依赖硬件</w:t>
            </w:r>
          </w:p>
        </w:tc>
        <w:tc>
          <w:tcPr>
            <w:tcW w:type="dxa" w:w="11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接触丰富的操作</w:t>
            </w:r>
          </w:p>
        </w:tc>
        <w:tc>
          <w:tcPr>
            <w:tcW w:type="dxa" w:w="126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</w:t>
            </w:r>
          </w:p>
        </w:tc>
        <w:tc>
          <w:tcPr>
            <w:tcW w:type="dxa" w:w="19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它石、帕西尼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两个关键判断</w:t>
      </w:r>
      <w:r>
        <w:t xml:space="preserve">：</w:t>
      </w:r>
    </w:p>
    <w:p>
      <w:pPr>
        <w:spacing w:after="60" w:line="312" w:lineRule="auto"/>
        <w:ind w:left="420" w:hanging="300"/>
      </w:pPr>
      <w:r>
        <w:t xml:space="preserve">1. </w:t>
      </w:r>
      <w:r>
        <w:rPr>
          <w:b/>
          <w:bCs/>
        </w:rPr>
        <w:t xml:space="preserve">数据成本曲线在两年内下降了一到两个数量级</w:t>
      </w:r>
      <w:r>
        <w:t xml:space="preserve">，主因是无本体采集和人类视频的兴起。头部公司宣称的数据规模，从 2024 年的万小时级增长到 2026 年的十万到百万小时级（见原技术报告第一部分 4.2 节，C）。</w:t>
      </w:r>
    </w:p>
    <w:p>
      <w:pPr>
        <w:spacing w:after="60" w:line="312" w:lineRule="auto"/>
        <w:ind w:left="420" w:hanging="300"/>
      </w:pPr>
      <w:r>
        <w:t xml:space="preserve">2. </w:t>
      </w:r>
      <w:r>
        <w:rPr>
          <w:b/>
          <w:bCs/>
        </w:rPr>
        <w:t xml:space="preserve">规模增长几乎全部来自"便宜数据"，而"昂贵数据"（真机、失败与纠正）依然稀缺</w:t>
      </w:r>
      <w:r>
        <w:t xml:space="preserve">。决定部署可靠性的，恰恰是后者。</w:t>
      </w:r>
    </w:p>
    <w:p>
      <w:pPr>
        <w:pStyle w:val="Heading2"/>
      </w:pPr>
      <w:bookmarkStart w:name="bm43" w:id="1043"/>
      <w:r>
        <w:t xml:space="preserve">5.3 地方补贴标准透露出的价值判断</w:t>
      </w:r>
      <w:bookmarkEnd w:id="1043"/>
    </w:p>
    <w:p>
      <w:pPr>
        <w:spacing w:after="120" w:line="324" w:lineRule="auto"/>
        <w:jc w:val="both"/>
      </w:pPr>
      <w:r>
        <w:t xml:space="preserve">贵州 2026 年版数据采集专项指南按采集方式区分补贴：机器人遥操作每小时 30 元，无设备示教每小时 8 元，纯视频每小时 3 元〔C，S60〕。值得注意两点：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补贴标准</w:t>
      </w:r>
      <w:r>
        <w:rPr>
          <w:b/>
          <w:bCs/>
        </w:rPr>
        <w:t xml:space="preserve">远低于</w:t>
      </w:r>
      <w:r>
        <w:t xml:space="preserve">市场上的遥操作成本（约千元/小时）。说明补贴对象更可能是"规模化、低质量要求"的采集，而不是精细技能数据。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地方政府以财政资金扩大数据</w:t>
      </w:r>
      <w:r>
        <w:rPr>
          <w:b/>
          <w:bCs/>
        </w:rPr>
        <w:t xml:space="preserve">供给</w:t>
      </w:r>
      <w:r>
        <w:t xml:space="preserve">，会把纯数据采集服务的价格压向成本线。</w:t>
      </w:r>
      <w:r>
        <w:rPr>
          <w:b/>
          <w:bCs/>
        </w:rPr>
        <w:t xml:space="preserve">这对"数据采集外包"类创业公司是长期利空</w:t>
      </w:r>
      <w:r>
        <w:t xml:space="preserve">（第十六篇 T08）。</w:t>
      </w:r>
    </w:p>
    <w:p>
      <w:pPr>
        <w:pStyle w:val="Heading2"/>
      </w:pPr>
      <w:bookmarkStart w:name="bm44" w:id="1044"/>
      <w:r>
        <w:t xml:space="preserve">5.4 仿真到现实：能力边界</w:t>
      </w:r>
      <w:bookmarkEnd w:id="104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81"/>
        <w:gridCol w:w="1845"/>
        <w:gridCol w:w="4512"/>
      </w:tblGrid>
      <w:tr>
        <w:trPr>
          <w:cantSplit w:val="false"/>
          <w:tblHeader/>
        </w:trPr>
        <w:tc>
          <w:tcPr>
            <w:tcW w:type="dxa" w:w="32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能力</w:t>
            </w:r>
          </w:p>
        </w:tc>
        <w:tc>
          <w:tcPr>
            <w:tcW w:type="dxa" w:w="18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sim2real 状态</w:t>
            </w:r>
          </w:p>
        </w:tc>
        <w:tc>
          <w:tcPr>
            <w:tcW w:type="dxa" w:w="45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cantSplit w:val="false"/>
          <w:tblHeader w:val="false"/>
        </w:trPr>
        <w:tc>
          <w:tcPr>
            <w:tcW w:type="dxa" w:w="32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运动控制（行走、跑跳、全身追踪）</w:t>
            </w:r>
          </w:p>
        </w:tc>
        <w:tc>
          <w:tcPr>
            <w:tcW w:type="dxa" w:w="18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基本解决</w:t>
            </w:r>
          </w:p>
        </w:tc>
        <w:tc>
          <w:tcPr>
            <w:tcW w:type="dxa" w:w="45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大规模并行仿真 RL 加域随机化，零样本迁移已成标配</w:t>
            </w:r>
          </w:p>
        </w:tc>
      </w:tr>
      <w:tr>
        <w:trPr>
          <w:cantSplit w:val="false"/>
          <w:tblHeader w:val="false"/>
        </w:trPr>
        <w:tc>
          <w:tcPr>
            <w:tcW w:type="dxa" w:w="32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刚体抓取</w:t>
            </w:r>
          </w:p>
        </w:tc>
        <w:tc>
          <w:tcPr>
            <w:tcW w:type="dxa" w:w="18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较好</w:t>
            </w:r>
          </w:p>
        </w:tc>
        <w:tc>
          <w:tcPr>
            <w:tcW w:type="dxa" w:w="45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合成数据加真机微调</w:t>
            </w:r>
          </w:p>
        </w:tc>
      </w:tr>
      <w:tr>
        <w:trPr>
          <w:cantSplit w:val="false"/>
          <w:tblHeader w:val="false"/>
        </w:trPr>
        <w:tc>
          <w:tcPr>
            <w:tcW w:type="dxa" w:w="32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柔性物体（衣物、线缆）</w:t>
            </w:r>
          </w:p>
        </w:tc>
        <w:tc>
          <w:tcPr>
            <w:tcW w:type="dxa" w:w="18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差</w:t>
            </w:r>
          </w:p>
        </w:tc>
        <w:tc>
          <w:tcPr>
            <w:tcW w:type="dxa" w:w="45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仿真的物理精度不足</w:t>
            </w:r>
          </w:p>
        </w:tc>
      </w:tr>
      <w:tr>
        <w:trPr>
          <w:cantSplit w:val="false"/>
          <w:tblHeader w:val="false"/>
        </w:trPr>
        <w:tc>
          <w:tcPr>
            <w:tcW w:type="dxa" w:w="32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接触丰富的装配</w:t>
            </w:r>
          </w:p>
        </w:tc>
        <w:tc>
          <w:tcPr>
            <w:tcW w:type="dxa" w:w="18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差</w:t>
            </w:r>
          </w:p>
        </w:tc>
        <w:tc>
          <w:tcPr>
            <w:tcW w:type="dxa" w:w="45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摩擦、公差、接触动力学难以仿真</w:t>
            </w:r>
          </w:p>
        </w:tc>
      </w:tr>
      <w:tr>
        <w:trPr>
          <w:cantSplit w:val="false"/>
          <w:tblHeader w:val="false"/>
        </w:trPr>
        <w:tc>
          <w:tcPr>
            <w:tcW w:type="dxa" w:w="32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长时序家务</w:t>
            </w:r>
          </w:p>
        </w:tc>
        <w:tc>
          <w:tcPr>
            <w:tcW w:type="dxa" w:w="18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中（作为评测有用）</w:t>
            </w:r>
          </w:p>
        </w:tc>
        <w:tc>
          <w:tcPr>
            <w:tcW w:type="dxa" w:w="45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场景多样性仍不足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投资含义</w:t>
      </w:r>
      <w:r>
        <w:t xml:space="preserve">：仿真对运动控制的价值已经兑现，因此运动控制不再是壁垒。仿真对精细操作的价值仍有限。世界模型被寄望于弥补这一缺口，但目前更可靠的用途是</w:t>
      </w:r>
      <w:r>
        <w:rPr>
          <w:b/>
          <w:bCs/>
        </w:rPr>
        <w:t xml:space="preserve">造数据和做评估</w:t>
      </w:r>
      <w:r>
        <w:t xml:space="preserve">，而不是直接作为策略。</w:t>
      </w:r>
    </w:p>
    <w:p>
      <w:pPr>
        <w:pStyle w:val="Heading2"/>
      </w:pPr>
      <w:bookmarkStart w:name="bm45" w:id="1045"/>
      <w:r>
        <w:t xml:space="preserve">5.5 Scaling Law 在机器人领域是否成立</w:t>
      </w:r>
      <w:bookmarkEnd w:id="1045"/>
    </w:p>
    <w:p>
      <w:pPr>
        <w:spacing w:after="120" w:line="324" w:lineRule="auto"/>
        <w:jc w:val="both"/>
      </w:pPr>
      <w:r>
        <w:rPr>
          <w:b/>
          <w:bCs/>
        </w:rPr>
        <w:t xml:space="preserve">支持证据</w:t>
      </w:r>
      <w:r>
        <w:t xml:space="preserve">〔B/C〕：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清华《模仿学习数据缩放定律》：泛化能力与环境数、物体数之间呈幂律关系；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π0.5：训练家庭数量增加，陌生家庭表现持续上升；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GEN-0：预训练数据和算力增加，带来可预测的下游提升，而小模型会出现"僵化"；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SONIC：动捕数据和模型规模扩大，追踪能力随之提升。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反面与条件</w:t>
      </w:r>
      <w:r>
        <w:t xml:space="preserve">〔B/C〕：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π0.7：不加元数据时，混合质量的数据越多，效果可能越差；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TRI LBM 研究：多任务模型不微调，不一定优于单任务模型；小样本真机评测的方差远大于论文报告的提升幅度。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本报告的判断</w:t>
      </w:r>
      <w:r>
        <w:t xml:space="preserve">〔D，中置信度〕：Scaling Law 在机器人领域</w:t>
      </w:r>
      <w:r>
        <w:rPr>
          <w:b/>
          <w:bCs/>
        </w:rPr>
        <w:t xml:space="preserve">有条件成立</w:t>
      </w:r>
      <w:r>
        <w:t xml:space="preserve">，三个条件是：</w:t>
      </w:r>
    </w:p>
    <w:p>
      <w:pPr>
        <w:spacing w:after="60" w:line="312" w:lineRule="auto"/>
        <w:ind w:left="420" w:hanging="300"/>
      </w:pPr>
      <w:r>
        <w:t xml:space="preserve">1. 数据</w:t>
      </w:r>
      <w:r>
        <w:rPr>
          <w:b/>
          <w:bCs/>
        </w:rPr>
        <w:t xml:space="preserve">多样性</w:t>
      </w:r>
      <w:r>
        <w:t xml:space="preserve">（环境、物体、本体）比单纯的小时数重要；</w:t>
      </w:r>
    </w:p>
    <w:p>
      <w:pPr>
        <w:spacing w:after="60" w:line="312" w:lineRule="auto"/>
        <w:ind w:left="420" w:hanging="300"/>
      </w:pPr>
      <w:r>
        <w:t xml:space="preserve">2. 数据</w:t>
      </w:r>
      <w:r>
        <w:rPr>
          <w:b/>
          <w:bCs/>
        </w:rPr>
        <w:t xml:space="preserve">质量与元数据</w:t>
      </w:r>
      <w:r>
        <w:t xml:space="preserve">决定能不能"越多越好"；</w:t>
      </w:r>
    </w:p>
    <w:p>
      <w:pPr>
        <w:spacing w:after="60" w:line="312" w:lineRule="auto"/>
        <w:ind w:left="420" w:hanging="300"/>
      </w:pPr>
      <w:r>
        <w:t xml:space="preserve">3. 真机能力的边际改进成本曲线比大语言模型更陡，因为评测噪声大、本体差异大，而决定可靠性的长尾数据最贵。</w:t>
      </w:r>
    </w:p>
    <w:p>
      <w:pPr>
        <w:spacing w:after="120" w:line="324" w:lineRule="auto"/>
        <w:jc w:val="both"/>
      </w:pPr>
      <w:r>
        <w:t xml:space="preserve">因此，</w:t>
      </w:r>
      <w:r>
        <w:rPr>
          <w:b/>
          <w:bCs/>
        </w:rPr>
        <w:t xml:space="preserve">为"宣称的数据小时数"支付估值溢价是危险的</w:t>
      </w:r>
      <w:r>
        <w:t xml:space="preserve">。尽调时应该要求企业给出</w:t>
      </w:r>
      <w:r>
        <w:rPr>
          <w:b/>
          <w:bCs/>
        </w:rPr>
        <w:t xml:space="preserve">可复现的规模—性能曲线</w:t>
      </w:r>
      <w:r>
        <w:t xml:space="preserve">（第十五篇 Q19）。</w:t>
      </w:r>
    </w:p>
    <w:p>
      <w:pPr>
        <w:pStyle w:val="Heading2"/>
      </w:pPr>
      <w:bookmarkStart w:name="bm46" w:id="1046"/>
      <w:r>
        <w:t xml:space="preserve">5.6 数据飞轮能否形成长期壁垒：一个简单的经济学测算</w:t>
      </w:r>
      <w:bookmarkEnd w:id="1046"/>
    </w:p>
    <w:p>
      <w:pPr>
        <w:spacing w:after="120" w:line="324" w:lineRule="auto"/>
        <w:jc w:val="both"/>
      </w:pPr>
      <w:r>
        <w:t xml:space="preserve">假设一家企业部署 1,000 台机器人，每台每天有效运行 6 小时，每年 300 天，那么每年产生约 </w:t>
      </w:r>
      <w:r>
        <w:rPr>
          <w:b/>
          <w:bCs/>
        </w:rPr>
        <w:t xml:space="preserve">180 万小时</w:t>
      </w:r>
      <w:r>
        <w:t xml:space="preserve">的部署数据〔D〕。这个规模已经超过大多数公司宣称的全部采集量，而且：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它就是目标场景的分布，没有分布偏移；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包含真实的失败与纠正；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边际成本几乎为零，因为客户为硬件和运维付了费。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结论</w:t>
      </w:r>
      <w:r>
        <w:t xml:space="preserve">：数据飞轮真正的门槛不是"采集能力"，而是"</w:t>
      </w:r>
      <w:r>
        <w:rPr>
          <w:b/>
          <w:bCs/>
        </w:rPr>
        <w:t xml:space="preserve">有没有足够多的机器人在客户现场真实工作</w:t>
      </w:r>
      <w:r>
        <w:t xml:space="preserve">"。这又回到商业化能力本身。因此，</w:t>
      </w:r>
      <w:r>
        <w:rPr>
          <w:b/>
          <w:bCs/>
        </w:rPr>
        <w:t xml:space="preserve">数据壁垒是商业化领先的结果，而不是原因</w:t>
      </w:r>
      <w:r>
        <w:t xml:space="preserve">：先有部署，才有飞轮。有两种企业会形成长期数据壁垒：</w:t>
      </w:r>
    </w:p>
    <w:p>
      <w:pPr>
        <w:spacing w:after="60" w:line="312" w:lineRule="auto"/>
        <w:ind w:left="420" w:hanging="300"/>
      </w:pPr>
      <w:r>
        <w:t xml:space="preserve">1. 出货规模最大的整机企业（智元、宇树），但需要证明数据能够回流、并有合同授权；</w:t>
      </w:r>
    </w:p>
    <w:p>
      <w:pPr>
        <w:spacing w:after="60" w:line="312" w:lineRule="auto"/>
        <w:ind w:left="420" w:hanging="300"/>
      </w:pPr>
      <w:r>
        <w:t xml:space="preserve">2. 在单一场景形成高密度部署的场景公司（例如一个物流客户的数百台车队）。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反面</w:t>
      </w:r>
      <w:r>
        <w:t xml:space="preserve">：不同场景的数据迁移效率可能很低，例如工厂数据对家庭场景的帮助有限。这会让"规模最大"不等于"数据最有用"。此外，客户（尤其是车厂和 3C 大厂）越来越重视数据主权，可能不允许回流。</w:t>
      </w:r>
    </w:p>
    <w:p>
      <w:pPr>
        <w:pStyle w:val="Heading2"/>
      </w:pPr>
      <w:bookmarkStart w:name="bm47" w:id="1047"/>
      <w:r>
        <w:t xml:space="preserve">5.7 价值分配：数据提供商、采集平台与模型公司</w:t>
      </w:r>
      <w:bookmarkEnd w:id="104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8"/>
        <w:gridCol w:w="2431"/>
        <w:gridCol w:w="2083"/>
        <w:gridCol w:w="2606"/>
      </w:tblGrid>
      <w:tr>
        <w:trPr>
          <w:cantSplit w:val="false"/>
          <w:tblHeader/>
        </w:trPr>
        <w:tc>
          <w:tcPr>
            <w:tcW w:type="dxa" w:w="25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参与者</w:t>
            </w:r>
          </w:p>
        </w:tc>
        <w:tc>
          <w:tcPr>
            <w:tcW w:type="dxa" w:w="24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当前收入模式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议价能力</w:t>
            </w:r>
          </w:p>
        </w:tc>
        <w:tc>
          <w:tcPr>
            <w:tcW w:type="dxa" w:w="260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趋势</w:t>
            </w:r>
          </w:p>
        </w:tc>
      </w:tr>
      <w:tr>
        <w:trPr>
          <w:cantSplit w:val="false"/>
          <w:tblHeader w:val="false"/>
        </w:trPr>
        <w:tc>
          <w:tcPr>
            <w:tcW w:type="dxa" w:w="25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数据采集外包或数据工厂</w:t>
            </w:r>
          </w:p>
        </w:tc>
        <w:tc>
          <w:tcPr>
            <w:tcW w:type="dxa" w:w="24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按小时或项目计费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低（供给扩张、补贴压价）</w:t>
            </w:r>
          </w:p>
        </w:tc>
        <w:tc>
          <w:tcPr>
            <w:tcW w:type="dxa" w:w="260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商品化</w:t>
            </w:r>
          </w:p>
        </w:tc>
      </w:tr>
      <w:tr>
        <w:trPr>
          <w:cantSplit w:val="false"/>
          <w:tblHeader w:val="false"/>
        </w:trPr>
        <w:tc>
          <w:tcPr>
            <w:tcW w:type="dxa" w:w="25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政府数采中心</w:t>
            </w:r>
          </w:p>
        </w:tc>
        <w:tc>
          <w:tcPr>
            <w:tcW w:type="dxa" w:w="24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财政投入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60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既是整机大客户，也是数据供给方</w:t>
            </w:r>
          </w:p>
        </w:tc>
      </w:tr>
      <w:tr>
        <w:trPr>
          <w:cantSplit w:val="false"/>
          <w:tblHeader w:val="false"/>
        </w:trPr>
        <w:tc>
          <w:tcPr>
            <w:tcW w:type="dxa" w:w="25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采集设备（遥操作、手套、UMI）</w:t>
            </w:r>
          </w:p>
        </w:tc>
        <w:tc>
          <w:tcPr>
            <w:tcW w:type="dxa" w:w="24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卖设备与软件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260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设备标准化之后走向商品化</w:t>
            </w:r>
          </w:p>
        </w:tc>
      </w:tr>
      <w:tr>
        <w:trPr>
          <w:cantSplit w:val="false"/>
          <w:tblHeader w:val="false"/>
        </w:trPr>
        <w:tc>
          <w:tcPr>
            <w:tcW w:type="dxa" w:w="25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数据管理、清洗与评测工具</w:t>
            </w:r>
          </w:p>
        </w:tc>
        <w:tc>
          <w:tcPr>
            <w:tcW w:type="dxa" w:w="24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软件订阅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260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有机会形成软件毛利</w:t>
            </w:r>
          </w:p>
        </w:tc>
      </w:tr>
      <w:tr>
        <w:trPr>
          <w:cantSplit w:val="false"/>
          <w:tblHeader w:val="false"/>
        </w:trPr>
        <w:tc>
          <w:tcPr>
            <w:tcW w:type="dxa" w:w="25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模型公司</w:t>
            </w:r>
          </w:p>
        </w:tc>
        <w:tc>
          <w:tcPr>
            <w:tcW w:type="dxa" w:w="24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融资驱动，暂无稳定收入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取决于能力领先程度</w:t>
            </w:r>
          </w:p>
        </w:tc>
        <w:tc>
          <w:tcPr>
            <w:tcW w:type="dxa" w:w="260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与本体或场景绑定</w:t>
            </w:r>
          </w:p>
        </w:tc>
      </w:tr>
      <w:tr>
        <w:trPr>
          <w:cantSplit w:val="false"/>
          <w:tblHeader w:val="false"/>
        </w:trPr>
        <w:tc>
          <w:tcPr>
            <w:tcW w:type="dxa" w:w="25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部署车队的所有者</w:t>
            </w:r>
          </w:p>
        </w:tc>
        <w:tc>
          <w:tcPr>
            <w:tcW w:type="dxa" w:w="24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设备与服务收入，数据是副产品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最高</w:t>
            </w:r>
          </w:p>
        </w:tc>
        <w:tc>
          <w:tcPr>
            <w:tcW w:type="dxa" w:w="260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数据护城河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48" w:id="1048"/>
      <w:r>
        <w:t xml:space="preserve">5.8 代表性企业数据与训练规模：统计口径警示</w:t>
      </w:r>
      <w:bookmarkEnd w:id="1048"/>
    </w:p>
    <w:p>
      <w:pPr>
        <w:spacing w:after="120" w:line="324" w:lineRule="auto"/>
        <w:jc w:val="both"/>
      </w:pPr>
      <w:r>
        <w:t xml:space="preserve">各家披露的数据规模在口径上几乎不可比：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"小时"有的指机器人运行时长，有的指人类视频时长，有的指采集员工时；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"轨迹"或"条"的长度从数秒到数分钟不等；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"帧"在 10Hz 和 30Hz 下相差 3 倍；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有的含仿真数据，有的不含；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有的含重复使用的增强数据。</w:t>
      </w:r>
    </w:p>
    <w:p>
      <w:pPr>
        <w:spacing w:after="120" w:line="324" w:lineRule="auto"/>
        <w:jc w:val="both"/>
      </w:pPr>
      <w:r>
        <w:t xml:space="preserve">本报告的数据底表只列公司口径，并标注 C 级，</w:t>
      </w:r>
      <w:r>
        <w:rPr>
          <w:b/>
          <w:bCs/>
        </w:rPr>
        <w:t xml:space="preserve">不做横向排名</w:t>
      </w:r>
      <w:r>
        <w:t xml:space="preserve">。尽调时应当要求企业提供</w:t>
      </w:r>
      <w:r>
        <w:rPr>
          <w:b/>
          <w:bCs/>
        </w:rPr>
        <w:t xml:space="preserve">按模态、按场景、按是否带动作标签</w:t>
      </w:r>
      <w:r>
        <w:t xml:space="preserve">拆分的数据目录（第十五篇 Q17）。</w:t>
      </w:r>
    </w:p>
    <w:p>
      <w:pPr>
        <w:pStyle w:val="Heading2"/>
      </w:pPr>
      <w:bookmarkStart w:name="bm49" w:id="1049"/>
      <w:r>
        <w:t xml:space="preserve">5.9 大规模真实世界学习的经济可行性</w:t>
      </w:r>
      <w:bookmarkEnd w:id="1049"/>
    </w:p>
    <w:p>
      <w:pPr>
        <w:spacing w:after="120" w:line="324" w:lineRule="auto"/>
        <w:jc w:val="both"/>
      </w:pPr>
      <w:r>
        <w:t xml:space="preserve">用最简单的算术看〔D〕：如果要用真机遥操作获得 1,000 万小时数据，按 300–1,000 元/小时计算，需要 30–100 亿元，相当于行业 2026 年上半年融资额的 3%–11%。换一个角度：如果部署 1 万台机器人，每台每年回流 1,800 小时，一年就能获得 1,800 万小时数据，</w:t>
      </w:r>
      <w:r>
        <w:rPr>
          <w:b/>
          <w:bCs/>
        </w:rPr>
        <w:t xml:space="preserve">而且由客户买单</w:t>
      </w:r>
      <w:r>
        <w:t xml:space="preserve">。</w:t>
      </w:r>
    </w:p>
    <w:p>
      <w:pPr>
        <w:spacing w:after="120" w:line="324" w:lineRule="auto"/>
        <w:jc w:val="both"/>
      </w:pPr>
      <w:r>
        <w:t xml:space="preserve">所以经济上可行的路线只有两条：</w:t>
      </w:r>
      <w:r>
        <w:rPr>
          <w:b/>
          <w:bCs/>
        </w:rPr>
        <w:t xml:space="preserve">"便宜数据预训练加部署回流精调"</w:t>
      </w:r>
      <w:r>
        <w:t xml:space="preserve">，或者</w:t>
      </w:r>
      <w:r>
        <w:rPr>
          <w:b/>
          <w:bCs/>
        </w:rPr>
        <w:t xml:space="preserve">"在模型内或仿真中做 RL"</w:t>
      </w:r>
      <w:r>
        <w:t xml:space="preserve">。纯靠付费采集来堆数据，是一条资本效率很低的路径。</w:t>
      </w:r>
    </w:p>
    <w:p>
      <w:pPr>
        <w:pStyle w:val="Heading2"/>
      </w:pPr>
      <w:bookmarkStart w:name="bm50" w:id="1050"/>
      <w:r>
        <w:t xml:space="preserve">5.10 反证检查</w:t>
      </w:r>
      <w:bookmarkEnd w:id="1050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如果某家公司证明，纯人类视频预训练（不需要真机数据）就能达到工业级可靠性，那么部署车队的数据优势会被削弱，人类数据平台的价值会大幅上升。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如果地方数采中心的数据开放共享，并真正提升了行业平均模型能力，那么"数据是壁垒"的判断需要下调，模型能力会加速同质化。</w:t>
      </w:r>
    </w:p>
    <w:p>
      <w:pPr>
        <w:pStyle w:val="Heading1"/>
        <w:pageBreakBefore/>
      </w:pPr>
      <w:bookmarkStart w:name="bm51" w:id="1051"/>
      <w:r>
        <w:t xml:space="preserve">第六篇　下游应用场景、真实客户需求和商业模式</w:t>
      </w:r>
      <w:bookmarkEnd w:id="1051"/>
    </w:p>
    <w:p>
      <w:pPr>
        <w:pStyle w:val="Heading2"/>
      </w:pPr>
      <w:bookmarkStart w:name="bm52" w:id="1052"/>
      <w:r>
        <w:t xml:space="preserve">6.1 方法：从"场景想象力"改为"岗位、预算、替代方案"</w:t>
      </w:r>
      <w:bookmarkEnd w:id="1052"/>
    </w:p>
    <w:p>
      <w:pPr>
        <w:spacing w:after="120" w:line="324" w:lineRule="auto"/>
        <w:jc w:val="both"/>
      </w:pPr>
      <w:r>
        <w:t xml:space="preserve">评价一个场景，我们只问一个问题：</w:t>
      </w:r>
      <w:r>
        <w:rPr>
          <w:b/>
          <w:bCs/>
        </w:rPr>
        <w:t xml:space="preserve">谁，会为哪项任务，用哪笔预算，在什么价格和性能下付费，而且会再买第二次？</w:t>
      </w:r>
    </w:p>
    <w:p>
      <w:pPr>
        <w:spacing w:after="120" w:line="324" w:lineRule="auto"/>
        <w:jc w:val="both"/>
      </w:pPr>
      <w:r>
        <w:t xml:space="preserve">当前人形采购的结构说明，绝大多数购买并不是基于这个问题做出的：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2026 年上半年，国内公开中标中教育科研占 55.5%，政府及国资平台占 20.6%，工业企业只占 21.1%〔C，S56〕；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另一份基于 302 份招标书的分析称，企业订单仅占采购金额的约 7%〔C，S58〕。</w:t>
      </w:r>
    </w:p>
    <w:p>
      <w:pPr>
        <w:spacing w:after="40" w:before="120"/>
        <w:jc w:val="center"/>
      </w:pPr>
      <w:r>
        <w:drawing>
          <wp:inline distT="0" distB="0" distL="0" distR="0">
            <wp:extent cx="6000750" cy="2552700"/>
            <wp:effectExtent t="0" r="0" b="0" l="0"/>
            <wp:docPr id="1" name="谁在买人形机器人" descr="谁在买人形机器人" title="谁在买人形机器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14E"/>
          <w:sz w:val="18"/>
          <w:szCs w:val="18"/>
        </w:rPr>
        <w:t xml:space="preserve">图 3　谁在买人形机器人</w:t>
      </w:r>
    </w:p>
    <w:p>
      <w:pPr>
        <w:pStyle w:val="Heading2"/>
      </w:pPr>
      <w:bookmarkStart w:name="bm53" w:id="1053"/>
      <w:r>
        <w:t xml:space="preserve">6.2 场景总览</w:t>
      </w:r>
      <w:bookmarkEnd w:id="105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3"/>
        <w:gridCol w:w="1103"/>
        <w:gridCol w:w="1316"/>
        <w:gridCol w:w="891"/>
        <w:gridCol w:w="1358"/>
        <w:gridCol w:w="849"/>
        <w:gridCol w:w="1443"/>
        <w:gridCol w:w="594"/>
        <w:gridCol w:w="981"/>
      </w:tblGrid>
      <w:tr>
        <w:trPr>
          <w:cantSplit w:val="false"/>
          <w:tblHeader/>
        </w:trPr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场景</w:t>
            </w:r>
          </w:p>
        </w:tc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典型任务</w:t>
            </w:r>
          </w:p>
        </w:tc>
        <w:tc>
          <w:tcPr>
            <w:tcW w:type="dxa" w:w="13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现有方案</w:t>
            </w:r>
          </w:p>
        </w:tc>
        <w:tc>
          <w:tcPr>
            <w:tcW w:type="dxa" w:w="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人形必要性</w:t>
            </w:r>
          </w:p>
        </w:tc>
        <w:tc>
          <w:tcPr>
            <w:tcW w:type="dxa" w:w="13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商业化门槛</w:t>
            </w:r>
          </w:p>
        </w:tc>
        <w:tc>
          <w:tcPr>
            <w:tcW w:type="dxa" w:w="8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2026 阶段</w:t>
            </w:r>
          </w:p>
        </w:tc>
        <w:tc>
          <w:tcPr>
            <w:tcW w:type="dxa" w:w="14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回本周期</w:t>
            </w:r>
          </w:p>
        </w:tc>
        <w:tc>
          <w:tcPr>
            <w:tcW w:type="dxa" w:w="5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决策方</w:t>
            </w:r>
          </w:p>
        </w:tc>
        <w:tc>
          <w:tcPr>
            <w:tcW w:type="dxa" w:w="9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优先级</w:t>
            </w:r>
          </w:p>
        </w:tc>
      </w:tr>
      <w:tr>
        <w:trPr>
          <w:cantSplit w:val="false"/>
          <w:tblHeader w:val="false"/>
        </w:trPr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特种巡检（电力/化工/隧道）</w:t>
            </w:r>
          </w:p>
        </w:tc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巡检、读表、红外测温</w:t>
            </w:r>
          </w:p>
        </w:tc>
        <w:tc>
          <w:tcPr>
            <w:tcW w:type="dxa" w:w="13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人工+固定传感器</w:t>
            </w:r>
          </w:p>
        </w:tc>
        <w:tc>
          <w:tcPr>
            <w:tcW w:type="dxa" w:w="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低（四足/轮式更优）</w:t>
            </w:r>
          </w:p>
        </w:tc>
        <w:tc>
          <w:tcPr>
            <w:tcW w:type="dxa" w:w="13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危险替代价值高，可用率 ≥95%</w:t>
            </w:r>
          </w:p>
        </w:tc>
        <w:tc>
          <w:tcPr>
            <w:tcW w:type="dxa" w:w="8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L4（四足已盈利）</w:t>
            </w:r>
          </w:p>
        </w:tc>
        <w:tc>
          <w:tcPr>
            <w:tcW w:type="dxa" w:w="14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1–3 年（四足）</w:t>
            </w:r>
          </w:p>
        </w:tc>
        <w:tc>
          <w:tcPr>
            <w:tcW w:type="dxa" w:w="5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安全/运维部门</w:t>
            </w:r>
          </w:p>
        </w:tc>
        <w:tc>
          <w:tcPr>
            <w:tcW w:type="dxa" w:w="9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A</w:t>
            </w:r>
          </w:p>
        </w:tc>
      </w:tr>
      <w:tr>
        <w:trPr>
          <w:cantSplit w:val="false"/>
          <w:tblHeader w:val="false"/>
        </w:trPr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仓储物流搬箱/料箱</w:t>
            </w:r>
          </w:p>
        </w:tc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料箱搬运、拆码垛、上下货架</w:t>
            </w:r>
          </w:p>
        </w:tc>
        <w:tc>
          <w:tcPr>
            <w:tcW w:type="dxa" w:w="13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人工、AMR、输送线、拆码垛机器人</w:t>
            </w:r>
          </w:p>
        </w:tc>
        <w:tc>
          <w:tcPr>
            <w:tcW w:type="dxa" w:w="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中低（轮式/专用更优）</w:t>
            </w:r>
          </w:p>
        </w:tc>
        <w:tc>
          <w:tcPr>
            <w:tcW w:type="dxa" w:w="13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吞吐 ≥60% 人工、24 小时运行</w:t>
            </w:r>
          </w:p>
        </w:tc>
        <w:tc>
          <w:tcPr>
            <w:tcW w:type="dxa" w:w="8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L3（付费试点）</w:t>
            </w:r>
          </w:p>
        </w:tc>
        <w:tc>
          <w:tcPr>
            <w:tcW w:type="dxa" w:w="14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不回本→3–5 年（人形）；1–3 年（专用）</w:t>
            </w:r>
          </w:p>
        </w:tc>
        <w:tc>
          <w:tcPr>
            <w:tcW w:type="dxa" w:w="5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运营 VP + 财务</w:t>
            </w:r>
          </w:p>
        </w:tc>
        <w:tc>
          <w:tcPr>
            <w:tcW w:type="dxa" w:w="9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A-（形态中立公司）</w:t>
            </w:r>
          </w:p>
        </w:tc>
      </w:tr>
      <w:tr>
        <w:trPr>
          <w:cantSplit w:val="false"/>
          <w:tblHeader w:val="false"/>
        </w:trPr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3C/电子柔性上下料</w:t>
            </w:r>
          </w:p>
        </w:tc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上下料、检测、物料配送</w:t>
            </w:r>
          </w:p>
        </w:tc>
        <w:tc>
          <w:tcPr>
            <w:tcW w:type="dxa" w:w="13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人工、协作臂</w:t>
            </w:r>
          </w:p>
        </w:tc>
        <w:tc>
          <w:tcPr>
            <w:tcW w:type="dxa" w:w="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中（多品种短周期）</w:t>
            </w:r>
          </w:p>
        </w:tc>
        <w:tc>
          <w:tcPr>
            <w:tcW w:type="dxa" w:w="13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成功率 ≥99.5%、换型快</w:t>
            </w:r>
          </w:p>
        </w:tc>
        <w:tc>
          <w:tcPr>
            <w:tcW w:type="dxa" w:w="8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L3</w:t>
            </w:r>
          </w:p>
        </w:tc>
        <w:tc>
          <w:tcPr>
            <w:tcW w:type="dxa" w:w="14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不回本→3–5 年</w:t>
            </w:r>
          </w:p>
        </w:tc>
        <w:tc>
          <w:tcPr>
            <w:tcW w:type="dxa" w:w="5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制造工程部</w:t>
            </w:r>
          </w:p>
        </w:tc>
        <w:tc>
          <w:tcPr>
            <w:tcW w:type="dxa" w:w="9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B+</w:t>
            </w:r>
          </w:p>
        </w:tc>
      </w:tr>
      <w:tr>
        <w:trPr>
          <w:cantSplit w:val="false"/>
          <w:tblHeader w:val="false"/>
        </w:trPr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汽车总装/零部件</w:t>
            </w:r>
          </w:p>
        </w:tc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上下料、物料配送、装配辅助</w:t>
            </w:r>
          </w:p>
        </w:tc>
        <w:tc>
          <w:tcPr>
            <w:tcW w:type="dxa" w:w="13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人工、AGV、固定自动化</w:t>
            </w:r>
          </w:p>
        </w:tc>
        <w:tc>
          <w:tcPr>
            <w:tcW w:type="dxa" w:w="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中（旧产线为人设计）</w:t>
            </w:r>
          </w:p>
        </w:tc>
        <w:tc>
          <w:tcPr>
            <w:tcW w:type="dxa" w:w="13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满足节拍（数十秒级）、质量零缺陷</w:t>
            </w:r>
          </w:p>
        </w:tc>
        <w:tc>
          <w:tcPr>
            <w:tcW w:type="dxa" w:w="8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L3（试点多）</w:t>
            </w:r>
          </w:p>
        </w:tc>
        <w:tc>
          <w:tcPr>
            <w:tcW w:type="dxa" w:w="14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不回本→4–6 年</w:t>
            </w:r>
          </w:p>
        </w:tc>
        <w:tc>
          <w:tcPr>
            <w:tcW w:type="dxa" w:w="5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集团战略+工厂</w:t>
            </w:r>
          </w:p>
        </w:tc>
        <w:tc>
          <w:tcPr>
            <w:tcW w:type="dxa" w:w="9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实验室/医药自动化</w:t>
            </w:r>
          </w:p>
        </w:tc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样品转移、仪器操作</w:t>
            </w:r>
          </w:p>
        </w:tc>
        <w:tc>
          <w:tcPr>
            <w:tcW w:type="dxa" w:w="13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人工、专用工作站</w:t>
            </w:r>
          </w:p>
        </w:tc>
        <w:tc>
          <w:tcPr>
            <w:tcW w:type="dxa" w:w="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3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精度、合规</w:t>
            </w:r>
          </w:p>
        </w:tc>
        <w:tc>
          <w:tcPr>
            <w:tcW w:type="dxa" w:w="8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L3</w:t>
            </w:r>
          </w:p>
        </w:tc>
        <w:tc>
          <w:tcPr>
            <w:tcW w:type="dxa" w:w="14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2–4 年（移动操作）</w:t>
            </w:r>
          </w:p>
        </w:tc>
        <w:tc>
          <w:tcPr>
            <w:tcW w:type="dxa" w:w="5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研发/QA</w:t>
            </w:r>
          </w:p>
        </w:tc>
        <w:tc>
          <w:tcPr>
            <w:tcW w:type="dxa" w:w="9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B+</w:t>
            </w:r>
          </w:p>
        </w:tc>
      </w:tr>
      <w:tr>
        <w:trPr>
          <w:cantSplit w:val="false"/>
          <w:tblHeader w:val="false"/>
        </w:trPr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商业服务/零售</w:t>
            </w:r>
          </w:p>
        </w:tc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导览、售卖、配送</w:t>
            </w:r>
          </w:p>
        </w:tc>
        <w:tc>
          <w:tcPr>
            <w:tcW w:type="dxa" w:w="13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人工、自助终端、配送机器人</w:t>
            </w:r>
          </w:p>
        </w:tc>
        <w:tc>
          <w:tcPr>
            <w:tcW w:type="dxa" w:w="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13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体验与成本</w:t>
            </w:r>
          </w:p>
        </w:tc>
        <w:tc>
          <w:tcPr>
            <w:tcW w:type="dxa" w:w="8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L3–L4（展示为主）</w:t>
            </w:r>
          </w:p>
        </w:tc>
        <w:tc>
          <w:tcPr>
            <w:tcW w:type="dxa" w:w="14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难（与自助终端比）</w:t>
            </w:r>
          </w:p>
        </w:tc>
        <w:tc>
          <w:tcPr>
            <w:tcW w:type="dxa" w:w="5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市场部</w:t>
            </w:r>
          </w:p>
        </w:tc>
        <w:tc>
          <w:tcPr>
            <w:tcW w:type="dxa" w:w="9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科研教育</w:t>
            </w:r>
          </w:p>
        </w:tc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教学、科研平台</w:t>
            </w:r>
          </w:p>
        </w:tc>
        <w:tc>
          <w:tcPr>
            <w:tcW w:type="dxa" w:w="13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高（研究对象本身）</w:t>
            </w:r>
          </w:p>
        </w:tc>
        <w:tc>
          <w:tcPr>
            <w:tcW w:type="dxa" w:w="13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价格与开放性</w:t>
            </w:r>
          </w:p>
        </w:tc>
        <w:tc>
          <w:tcPr>
            <w:tcW w:type="dxa" w:w="8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L5</w:t>
            </w:r>
          </w:p>
        </w:tc>
        <w:tc>
          <w:tcPr>
            <w:tcW w:type="dxa" w:w="14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非 ROI 预算</w:t>
            </w:r>
          </w:p>
        </w:tc>
        <w:tc>
          <w:tcPr>
            <w:tcW w:type="dxa" w:w="5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院校</w:t>
            </w:r>
          </w:p>
        </w:tc>
        <w:tc>
          <w:tcPr>
            <w:tcW w:type="dxa" w:w="9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B（存量市场，增速放缓）</w:t>
            </w:r>
          </w:p>
        </w:tc>
      </w:tr>
      <w:tr>
        <w:trPr>
          <w:cantSplit w:val="false"/>
          <w:tblHeader w:val="false"/>
        </w:trPr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政府数采中心/训练场</w:t>
            </w:r>
          </w:p>
        </w:tc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数据采集、实训</w:t>
            </w:r>
          </w:p>
        </w:tc>
        <w:tc>
          <w:tcPr>
            <w:tcW w:type="dxa" w:w="13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3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财政预算</w:t>
            </w:r>
          </w:p>
        </w:tc>
        <w:tc>
          <w:tcPr>
            <w:tcW w:type="dxa" w:w="8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L4（一次性）</w:t>
            </w:r>
          </w:p>
        </w:tc>
        <w:tc>
          <w:tcPr>
            <w:tcW w:type="dxa" w:w="14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非 ROI 预算</w:t>
            </w:r>
          </w:p>
        </w:tc>
        <w:tc>
          <w:tcPr>
            <w:tcW w:type="dxa" w:w="5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地方政府/国资</w:t>
            </w:r>
          </w:p>
        </w:tc>
        <w:tc>
          <w:tcPr>
            <w:tcW w:type="dxa" w:w="9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C（一次性）</w:t>
            </w:r>
          </w:p>
        </w:tc>
      </w:tr>
      <w:tr>
        <w:trPr>
          <w:cantSplit w:val="false"/>
          <w:tblHeader w:val="false"/>
        </w:trPr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文娱商演/租赁</w:t>
            </w:r>
          </w:p>
        </w:tc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表演、展示</w:t>
            </w:r>
          </w:p>
        </w:tc>
        <w:tc>
          <w:tcPr>
            <w:tcW w:type="dxa" w:w="13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高（展示价值）</w:t>
            </w:r>
          </w:p>
        </w:tc>
        <w:tc>
          <w:tcPr>
            <w:tcW w:type="dxa" w:w="13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价格</w:t>
            </w:r>
          </w:p>
        </w:tc>
        <w:tc>
          <w:tcPr>
            <w:tcW w:type="dxa" w:w="8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L4（价格崩塌）</w:t>
            </w:r>
          </w:p>
        </w:tc>
        <w:tc>
          <w:tcPr>
            <w:tcW w:type="dxa" w:w="14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日租由万元级降至千元级</w:t>
            </w:r>
          </w:p>
        </w:tc>
        <w:tc>
          <w:tcPr>
            <w:tcW w:type="dxa" w:w="5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活动方</w:t>
            </w:r>
          </w:p>
        </w:tc>
        <w:tc>
          <w:tcPr>
            <w:tcW w:type="dxa" w:w="9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D</w:t>
            </w:r>
          </w:p>
        </w:tc>
      </w:tr>
      <w:tr>
        <w:trPr>
          <w:cantSplit w:val="false"/>
          <w:tblHeader w:val="false"/>
        </w:trPr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医疗康养</w:t>
            </w:r>
          </w:p>
        </w:tc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辅助移动、陪护、康复</w:t>
            </w:r>
          </w:p>
        </w:tc>
        <w:tc>
          <w:tcPr>
            <w:tcW w:type="dxa" w:w="13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护工、康复器械</w:t>
            </w:r>
          </w:p>
        </w:tc>
        <w:tc>
          <w:tcPr>
            <w:tcW w:type="dxa" w:w="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3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安全与医疗认证</w:t>
            </w:r>
          </w:p>
        </w:tc>
        <w:tc>
          <w:tcPr>
            <w:tcW w:type="dxa" w:w="8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L2–L3（康复器械 L4）</w:t>
            </w:r>
          </w:p>
        </w:tc>
        <w:tc>
          <w:tcPr>
            <w:tcW w:type="dxa" w:w="14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长周期</w:t>
            </w:r>
          </w:p>
        </w:tc>
        <w:tc>
          <w:tcPr>
            <w:tcW w:type="dxa" w:w="5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医院/家庭</w:t>
            </w:r>
          </w:p>
        </w:tc>
        <w:tc>
          <w:tcPr>
            <w:tcW w:type="dxa" w:w="9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C+</w:t>
            </w:r>
          </w:p>
        </w:tc>
      </w:tr>
      <w:tr>
        <w:trPr>
          <w:cantSplit w:val="false"/>
          <w:tblHeader w:val="false"/>
        </w:trPr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家庭服务</w:t>
            </w:r>
          </w:p>
        </w:tc>
        <w:tc>
          <w:tcPr>
            <w:tcW w:type="dxa" w:w="11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整理、清洁、洗衣</w:t>
            </w:r>
          </w:p>
        </w:tc>
        <w:tc>
          <w:tcPr>
            <w:tcW w:type="dxa" w:w="13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家政、家电</w:t>
            </w:r>
          </w:p>
        </w:tc>
        <w:tc>
          <w:tcPr>
            <w:tcW w:type="dxa" w:w="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中（家居为人设计）</w:t>
            </w:r>
          </w:p>
        </w:tc>
        <w:tc>
          <w:tcPr>
            <w:tcW w:type="dxa" w:w="13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安全、隐私、成功率家电级</w:t>
            </w:r>
          </w:p>
        </w:tc>
        <w:tc>
          <w:tcPr>
            <w:tcW w:type="dxa" w:w="8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L2</w:t>
            </w:r>
          </w:p>
        </w:tc>
        <w:tc>
          <w:tcPr>
            <w:tcW w:type="dxa" w:w="144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年费难覆盖价值（见模型）</w:t>
            </w:r>
          </w:p>
        </w:tc>
        <w:tc>
          <w:tcPr>
            <w:tcW w:type="dxa" w:w="5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家庭</w:t>
            </w:r>
          </w:p>
        </w:tc>
        <w:tc>
          <w:tcPr>
            <w:tcW w:type="dxa" w:w="9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D（2030 前）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54" w:id="1054"/>
      <w:r>
        <w:t xml:space="preserve">6.3 四个关键场景的"十问"</w:t>
      </w:r>
      <w:bookmarkEnd w:id="105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98"/>
        <w:gridCol w:w="2109"/>
        <w:gridCol w:w="2109"/>
        <w:gridCol w:w="2109"/>
        <w:gridCol w:w="2113"/>
      </w:tblGrid>
      <w:tr>
        <w:trPr>
          <w:cantSplit w:val="false"/>
          <w:tblHeader/>
        </w:trPr>
        <w:tc>
          <w:tcPr>
            <w:tcW w:type="dxa" w:w="11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十问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汽车/3C 制造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仓储物流（搬箱/料箱）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特种巡检</w:t>
            </w:r>
          </w:p>
        </w:tc>
        <w:tc>
          <w:tcPr>
            <w:tcW w:type="dxa" w:w="21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家庭服务</w:t>
            </w:r>
          </w:p>
        </w:tc>
      </w:tr>
      <w:tr>
        <w:trPr>
          <w:cantSplit w:val="false"/>
          <w:tblHeader w:val="false"/>
        </w:trPr>
        <w:tc>
          <w:tcPr>
            <w:tcW w:type="dxa" w:w="11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 具体做什么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上下料、物料配送（kitting）、简单装配辅助、质检搬运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料箱搬运、货架补货、拆码垛、装卸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读表、测温、气体检测、异常巡查</w:t>
            </w:r>
          </w:p>
        </w:tc>
        <w:tc>
          <w:tcPr>
            <w:tcW w:type="dxa" w:w="21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整理、清洁、洗衣、取放物品</w:t>
            </w:r>
          </w:p>
        </w:tc>
      </w:tr>
      <w:tr>
        <w:trPr>
          <w:cantSplit w:val="false"/>
          <w:tblHeader w:val="false"/>
        </w:trPr>
        <w:tc>
          <w:tcPr>
            <w:tcW w:type="dxa" w:w="11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2. 现在由谁做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一线工人；部分已由 AGV 和固定自动化完成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拣货工人；AMR、输送线、拆码垛机器人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巡检工；固定传感器、轨道巡检机器人</w:t>
            </w:r>
          </w:p>
        </w:tc>
        <w:tc>
          <w:tcPr>
            <w:tcW w:type="dxa" w:w="21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家庭成员、家政服务</w:t>
            </w:r>
          </w:p>
        </w:tc>
      </w:tr>
      <w:tr>
        <w:trPr>
          <w:cantSplit w:val="false"/>
          <w:tblHeader w:val="false"/>
        </w:trPr>
        <w:tc>
          <w:tcPr>
            <w:tcW w:type="dxa" w:w="11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3. 现方案的成本与痛点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一线工人全口径成本约 8–12 万元/人·年〔D，以统计局数据为锚，S67〕；招工难、流动率高、夜班难排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美国全口径人工约 30 美元/小时（Agility CEO 引用的基准）；旺季招工难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高危、夜间、偏远地区；人员安全风险</w:t>
            </w:r>
          </w:p>
        </w:tc>
        <w:tc>
          <w:tcPr>
            <w:tcW w:type="dxa" w:w="21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时间成本；美国家政约 25–40 美元/小时〔D〕</w:t>
            </w:r>
          </w:p>
        </w:tc>
      </w:tr>
      <w:tr>
        <w:trPr>
          <w:cantSplit w:val="false"/>
          <w:tblHeader w:val="false"/>
        </w:trPr>
        <w:tc>
          <w:tcPr>
            <w:tcW w:type="dxa" w:w="11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4. 机器人为何可能更优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可连续运行、不流失；旧产线不必改造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24 小时运行；可沿用人用料箱和货架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替代高危作业；数据可追溯</w:t>
            </w:r>
          </w:p>
        </w:tc>
        <w:tc>
          <w:tcPr>
            <w:tcW w:type="dxa" w:w="21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全天候在家</w:t>
            </w:r>
          </w:p>
        </w:tc>
      </w:tr>
      <w:tr>
        <w:trPr>
          <w:cantSplit w:val="false"/>
          <w:tblHeader w:val="false"/>
        </w:trPr>
        <w:tc>
          <w:tcPr>
            <w:tcW w:type="dxa" w:w="11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5. 为何可能更差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慢于节拍、需要看护；固定自动化更快更便宜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专用 AMR 和拆码垛已很成熟；人形吞吐不足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四足和轮式更便宜可靠，不需要人形</w:t>
            </w:r>
          </w:p>
        </w:tc>
        <w:tc>
          <w:tcPr>
            <w:tcW w:type="dxa" w:w="21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长尾最多，安全隐私要求最高</w:t>
            </w:r>
          </w:p>
        </w:tc>
      </w:tr>
      <w:tr>
        <w:trPr>
          <w:cantSplit w:val="false"/>
          <w:tblHeader w:val="false"/>
        </w:trPr>
        <w:tc>
          <w:tcPr>
            <w:tcW w:type="dxa" w:w="11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6. 商业化门槛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成功率 ≥99.5%；满足节拍（数十秒级）；1 人看护 ≥10 台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吞吐 ≥60% 人工；可用率 ≥90%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可用率 ≥95%；防爆等认证</w:t>
            </w:r>
          </w:p>
        </w:tc>
        <w:tc>
          <w:tcPr>
            <w:tcW w:type="dxa" w:w="21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安全达到家电级；日均有效工作 ≥2 小时</w:t>
            </w:r>
          </w:p>
        </w:tc>
      </w:tr>
      <w:tr>
        <w:trPr>
          <w:cantSplit w:val="false"/>
          <w:tblHeader w:val="false"/>
        </w:trPr>
        <w:tc>
          <w:tcPr>
            <w:tcW w:type="dxa" w:w="11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7. 采购方、使用方、决策方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集团战略部门发起，工厂使用，财务审批；试点多由"创新预算"支付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运营 VP 发起，现场使用，财务按 ROI 审批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安全与运维部门；国企采购流程</w:t>
            </w:r>
          </w:p>
        </w:tc>
        <w:tc>
          <w:tcPr>
            <w:tcW w:type="dxa" w:w="21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家庭本人</w:t>
            </w:r>
          </w:p>
        </w:tc>
      </w:tr>
      <w:tr>
        <w:trPr>
          <w:cantSplit w:val="false"/>
          <w:tblHeader w:val="false"/>
        </w:trPr>
        <w:tc>
          <w:tcPr>
            <w:tcW w:type="dxa" w:w="11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8. 付费模式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一次性采购为主；RaaS 起步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RaaS 为主（Agility 示意约 8,500 美元/月，C，S36）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设备采购加服务</w:t>
            </w:r>
          </w:p>
        </w:tc>
        <w:tc>
          <w:tcPr>
            <w:tcW w:type="dxa" w:w="21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购买或订阅（1X：2 万美元或 499 美元/月，C，S42）</w:t>
            </w:r>
          </w:p>
        </w:tc>
      </w:tr>
      <w:tr>
        <w:trPr>
          <w:cantSplit w:val="false"/>
          <w:tblHeader w:val="false"/>
        </w:trPr>
        <w:tc>
          <w:tcPr>
            <w:tcW w:type="dxa" w:w="11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9. TCO 与回本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2026 年不回本；约 2028 年 4–5 年回本；约 2030 年 1.5 年（模型）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客户要在宣称替代量的约 51% 以上才获益（模型）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四足 1–3 年（判断）</w:t>
            </w:r>
          </w:p>
        </w:tc>
        <w:tc>
          <w:tcPr>
            <w:tcW w:type="dxa" w:w="21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订阅费难以覆盖价值（模型）</w:t>
            </w:r>
          </w:p>
        </w:tc>
      </w:tr>
      <w:tr>
        <w:trPr>
          <w:cantSplit w:val="false"/>
          <w:tblHeader w:val="false"/>
        </w:trPr>
        <w:tc>
          <w:tcPr>
            <w:tcW w:type="dxa" w:w="11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10. 是否有预算与复购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有创新预算，复购少；现代 2.5 万台以上属集团内部规划（B，S41）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GXO 在扩大试点，但称尚未实现 ROI（B，S36）</w:t>
            </w:r>
          </w:p>
        </w:tc>
        <w:tc>
          <w:tcPr>
            <w:tcW w:type="dxa" w:w="21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5"/>
                <w:szCs w:val="15"/>
              </w:rPr>
              <w:t xml:space="preserve">有</w:t>
            </w:r>
            <w:r>
              <w:rPr>
                <w:sz w:val="15"/>
                <w:szCs w:val="15"/>
              </w:rPr>
              <w:t xml:space="preserve">：云深处 2025 年营收 3.37 亿元、已盈利（A/B，S53）</w:t>
            </w:r>
          </w:p>
        </w:tc>
        <w:tc>
          <w:tcPr>
            <w:tcW w:type="dxa" w:w="21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预订有，交付和复购数据缺失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其余场景简评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3C 柔性产线</w:t>
      </w:r>
      <w:r>
        <w:t xml:space="preserve">：节拍要求比汽车总装宽松，换型频繁，这正是固定自动化的痛点，所以是人形和移动操作在工业里</w:t>
      </w:r>
      <w:r>
        <w:rPr>
          <w:b/>
          <w:bCs/>
        </w:rPr>
        <w:t xml:space="preserve">较早可能闭环</w:t>
      </w:r>
      <w:r>
        <w:t xml:space="preserve">的子场景。不过客户（代工大厂）的议价能力极强，会持续压低价格。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科研教育</w:t>
      </w:r>
      <w:r>
        <w:t xml:space="preserve">：这是当前最真实、最大的市场，宇树以约 60% 的毛利率在其中盈利。它的天花板取决于高校、职校和科研机构的设备预算，增速正在放缓（宇树 2026 年上半年增速为 +48.5%）。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政府数采中心与训练场</w:t>
      </w:r>
      <w:r>
        <w:t xml:space="preserve">：属于一次性资本开支，与"实景实训"专项行动和地方财政节奏绑定（第十篇）。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商业服务与零售</w:t>
      </w:r>
      <w:r>
        <w:t xml:space="preserve">：例如银河"太空舱"已进入 20 多个城市、百余家门店（公司口径，C）。它的竞争对手是</w:t>
      </w:r>
      <w:r>
        <w:rPr>
          <w:b/>
          <w:bCs/>
        </w:rPr>
        <w:t xml:space="preserve">自助售货机和普通服务机器人</w:t>
      </w:r>
      <w:r>
        <w:t xml:space="preserve">，后者成本低一个数量级。人形主要提供体验与展示价值，难以形成独立的 ROI 逻辑。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医疗康养</w:t>
      </w:r>
      <w:r>
        <w:t xml:space="preserve">：康复器械已经商业化（例如傅利叶的康复业务）。人形陪护受医疗认证和安全约束，周期很长。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文娱商演与租赁</w:t>
      </w:r>
      <w:r>
        <w:t xml:space="preserve">：日租从 2025 年初的约 1 万元，跌到 2026 年 10 月的 2,000–3,000 元，最低挂牌价仅 289 元/天〔B，S59〕。这是一个</w:t>
      </w:r>
      <w:r>
        <w:rPr>
          <w:b/>
          <w:bCs/>
        </w:rPr>
        <w:t xml:space="preserve">已经出清的价格泡沫</w:t>
      </w:r>
      <w:r>
        <w:t xml:space="preserve">。</w:t>
      </w:r>
    </w:p>
    <w:p>
      <w:pPr>
        <w:pStyle w:val="Heading2"/>
      </w:pPr>
      <w:bookmarkStart w:name="bm55" w:id="1055"/>
      <w:r>
        <w:t xml:space="preserve">6.4 单位经济模型：工厂物料搬运与上下料（双班）</w:t>
      </w:r>
      <w:bookmarkEnd w:id="1055"/>
    </w:p>
    <w:p>
      <w:pPr>
        <w:spacing w:after="120" w:line="324" w:lineRule="auto"/>
        <w:jc w:val="both"/>
      </w:pPr>
      <w:r>
        <w:rPr>
          <w:b/>
          <w:bCs/>
        </w:rPr>
        <w:t xml:space="preserve">模型设定</w:t>
      </w:r>
      <w:r>
        <w:t xml:space="preserve">〔D，示例性假设〕：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运行时间：双班、每天 16 小时、每年 300 天，即 4,800 小时；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用工成本：一线工人全口径 10 万元/人·年，以统计局 2025 年规模以上企业平均工资 10.6 万元为锚〔A，S67〕；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资本成本：8%；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替代的人力当量 = 2 班 × 吞吐率（相对熟练工）× 可用率；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看护人员成本：25 万元/人·年，按看护配比分摊到每台；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计入项目：整机价格、部署集成、维护（占整机价格的比例）、能源、软件订阅。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3"/>
        <w:gridCol w:w="982"/>
        <w:gridCol w:w="1104"/>
        <w:gridCol w:w="1166"/>
        <w:gridCol w:w="1104"/>
        <w:gridCol w:w="1104"/>
        <w:gridCol w:w="859"/>
        <w:gridCol w:w="1416"/>
      </w:tblGrid>
      <w:tr>
        <w:trPr>
          <w:cantSplit w:val="false"/>
          <w:tblHeader/>
        </w:trPr>
        <w:tc>
          <w:tcPr>
            <w:tcW w:type="dxa" w:w="19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方案</w:t>
            </w:r>
          </w:p>
        </w:tc>
        <w:tc>
          <w:tcPr>
            <w:tcW w:type="dxa" w:w="9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初始投入（万元）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年运营成本（万元）</w:t>
            </w:r>
          </w:p>
        </w:tc>
        <w:tc>
          <w:tcPr>
            <w:tcW w:type="dxa" w:w="11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替代人力当量（FTE）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年节省人工（万元）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年净现金流（万元）</w:t>
            </w:r>
          </w:p>
        </w:tc>
        <w:tc>
          <w:tcPr>
            <w:tcW w:type="dxa" w:w="85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静态回本（年）</w:t>
            </w:r>
          </w:p>
        </w:tc>
        <w:tc>
          <w:tcPr>
            <w:tcW w:type="dxa" w:w="1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每 FTE 年化成本（万元）</w:t>
            </w:r>
          </w:p>
        </w:tc>
      </w:tr>
      <w:tr>
        <w:trPr>
          <w:cantSplit w:val="false"/>
          <w:tblHeader w:val="false"/>
        </w:trPr>
        <w:tc>
          <w:tcPr>
            <w:tcW w:type="dxa" w:w="19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人形·2026 现状（自主+远程兜底）</w:t>
            </w:r>
          </w:p>
        </w:tc>
        <w:tc>
          <w:tcPr>
            <w:tcW w:type="dxa" w:w="9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48.0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10.2</w:t>
            </w:r>
          </w:p>
        </w:tc>
        <w:tc>
          <w:tcPr>
            <w:tcW w:type="dxa" w:w="11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0.80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8.0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-2.2</w:t>
            </w:r>
          </w:p>
        </w:tc>
        <w:tc>
          <w:tcPr>
            <w:tcW w:type="dxa" w:w="85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不回本</w:t>
            </w:r>
          </w:p>
        </w:tc>
        <w:tc>
          <w:tcPr>
            <w:tcW w:type="dxa" w:w="1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27.8</w:t>
            </w:r>
          </w:p>
        </w:tc>
      </w:tr>
      <w:tr>
        <w:trPr>
          <w:cantSplit w:val="false"/>
          <w:tblHeader w:val="false"/>
        </w:trPr>
        <w:tc>
          <w:tcPr>
            <w:tcW w:type="dxa" w:w="19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人形·2028 改进</w:t>
            </w:r>
          </w:p>
        </w:tc>
        <w:tc>
          <w:tcPr>
            <w:tcW w:type="dxa" w:w="9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30.0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5.7</w:t>
            </w:r>
          </w:p>
        </w:tc>
        <w:tc>
          <w:tcPr>
            <w:tcW w:type="dxa" w:w="11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1.23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12.3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6.6</w:t>
            </w:r>
          </w:p>
        </w:tc>
        <w:tc>
          <w:tcPr>
            <w:tcW w:type="dxa" w:w="85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4.6</w:t>
            </w:r>
          </w:p>
        </w:tc>
        <w:tc>
          <w:tcPr>
            <w:tcW w:type="dxa" w:w="1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10.8</w:t>
            </w:r>
          </w:p>
        </w:tc>
      </w:tr>
      <w:tr>
        <w:trPr>
          <w:cantSplit w:val="false"/>
          <w:tblHeader w:val="false"/>
        </w:trPr>
        <w:tc>
          <w:tcPr>
            <w:tcW w:type="dxa" w:w="19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人形·2030 规模化</w:t>
            </w:r>
          </w:p>
        </w:tc>
        <w:tc>
          <w:tcPr>
            <w:tcW w:type="dxa" w:w="9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18.0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3.3</w:t>
            </w:r>
          </w:p>
        </w:tc>
        <w:tc>
          <w:tcPr>
            <w:tcW w:type="dxa" w:w="11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1.56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15.6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12.3</w:t>
            </w:r>
          </w:p>
        </w:tc>
        <w:tc>
          <w:tcPr>
            <w:tcW w:type="dxa" w:w="85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1.5</w:t>
            </w:r>
          </w:p>
        </w:tc>
        <w:tc>
          <w:tcPr>
            <w:tcW w:type="dxa" w:w="1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4.6</w:t>
            </w:r>
          </w:p>
        </w:tc>
      </w:tr>
      <w:tr>
        <w:trPr>
          <w:cantSplit w:val="false"/>
          <w:tblHeader w:val="false"/>
        </w:trPr>
        <w:tc>
          <w:tcPr>
            <w:tcW w:type="dxa" w:w="19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轮式移动操作（复合机器人）·2026</w:t>
            </w:r>
          </w:p>
        </w:tc>
        <w:tc>
          <w:tcPr>
            <w:tcW w:type="dxa" w:w="9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30.0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3.7</w:t>
            </w:r>
          </w:p>
        </w:tc>
        <w:tc>
          <w:tcPr>
            <w:tcW w:type="dxa" w:w="11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1.47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14.7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11.0</w:t>
            </w:r>
          </w:p>
        </w:tc>
        <w:tc>
          <w:tcPr>
            <w:tcW w:type="dxa" w:w="85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2.7</w:t>
            </w:r>
          </w:p>
        </w:tc>
        <w:tc>
          <w:tcPr>
            <w:tcW w:type="dxa" w:w="1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6.9</w:t>
            </w:r>
          </w:p>
        </w:tc>
      </w:tr>
      <w:tr>
        <w:trPr>
          <w:cantSplit w:val="false"/>
          <w:tblHeader w:val="false"/>
        </w:trPr>
        <w:tc>
          <w:tcPr>
            <w:tcW w:type="dxa" w:w="19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固定式机械臂+工装/输送·2026</w:t>
            </w:r>
          </w:p>
        </w:tc>
        <w:tc>
          <w:tcPr>
            <w:tcW w:type="dxa" w:w="9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30.0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2.4</w:t>
            </w:r>
          </w:p>
        </w:tc>
        <w:tc>
          <w:tcPr>
            <w:tcW w:type="dxa" w:w="11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2.11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21.1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18.7</w:t>
            </w:r>
          </w:p>
        </w:tc>
        <w:tc>
          <w:tcPr>
            <w:tcW w:type="dxa" w:w="85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1.6</w:t>
            </w:r>
          </w:p>
        </w:tc>
        <w:tc>
          <w:tcPr>
            <w:tcW w:type="dxa" w:w="1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3.6</w:t>
            </w:r>
          </w:p>
        </w:tc>
      </w:tr>
      <w:tr>
        <w:trPr>
          <w:cantSplit w:val="false"/>
          <w:tblHeader w:val="false"/>
        </w:trPr>
        <w:tc>
          <w:tcPr>
            <w:tcW w:type="dxa" w:w="190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人工（双班 2 人）</w:t>
            </w:r>
          </w:p>
        </w:tc>
        <w:tc>
          <w:tcPr>
            <w:tcW w:type="dxa" w:w="9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20.0</w:t>
            </w:r>
          </w:p>
        </w:tc>
        <w:tc>
          <w:tcPr>
            <w:tcW w:type="dxa" w:w="11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2.00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1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85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41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10.0</w:t>
            </w:r>
          </w:p>
        </w:tc>
      </w:tr>
    </w:tbl>
    <w:p>
      <w:pPr>
        <w:spacing w:after="120"/>
      </w:pPr>
    </w:p>
    <w:p>
      <w:pPr>
        <w:spacing w:after="40" w:before="120"/>
        <w:jc w:val="center"/>
      </w:pPr>
      <w:r>
        <w:drawing>
          <wp:inline distT="0" distB="0" distL="0" distR="0">
            <wp:extent cx="6000750" cy="3000375"/>
            <wp:effectExtent t="0" r="0" b="0" l="0"/>
            <wp:docPr id="1" name="工厂物料搬运 TCO" descr="工厂物料搬运 TCO" title="工厂物料搬运 T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14E"/>
          <w:sz w:val="18"/>
          <w:szCs w:val="18"/>
        </w:rPr>
        <w:t xml:space="preserve">图 4　工厂物料搬运 TCO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解读</w:t>
      </w:r>
      <w:r>
        <w:t xml:space="preserve">：</w:t>
      </w:r>
    </w:p>
    <w:p>
      <w:pPr>
        <w:spacing w:after="60" w:line="312" w:lineRule="auto"/>
        <w:ind w:left="420" w:hanging="300"/>
      </w:pPr>
      <w:r>
        <w:t xml:space="preserve">1. </w:t>
      </w:r>
      <w:r>
        <w:rPr>
          <w:b/>
          <w:bCs/>
        </w:rPr>
        <w:t xml:space="preserve">2026 年的人形在双班搬运中不回本</w:t>
      </w:r>
      <w:r>
        <w:t xml:space="preserve">：看护（1 人看护 5 台）加维护的年运营成本约 10.2 万元，已经超过它替代的人工（0.8 个人力当量，约 8 万元）。</w:t>
      </w:r>
    </w:p>
    <w:p>
      <w:pPr>
        <w:spacing w:after="60" w:line="312" w:lineRule="auto"/>
        <w:ind w:left="420" w:hanging="300"/>
      </w:pPr>
      <w:r>
        <w:t xml:space="preserve">2. </w:t>
      </w:r>
      <w:r>
        <w:rPr>
          <w:b/>
          <w:bCs/>
        </w:rPr>
        <w:t xml:space="preserve">到 2028 年</w:t>
      </w:r>
      <w:r>
        <w:t xml:space="preserve">，只要价格降到约 25 万元、吞吐达到约 70%、看护配比达到 1:10，静态回本期就能缩短到约 4.6 年，接近工业客户 3 年的心理门槛。</w:t>
      </w:r>
    </w:p>
    <w:p>
      <w:pPr>
        <w:spacing w:after="60" w:line="312" w:lineRule="auto"/>
        <w:ind w:left="420" w:hanging="300"/>
      </w:pPr>
      <w:r>
        <w:t xml:space="preserve">3. </w:t>
      </w:r>
      <w:r>
        <w:rPr>
          <w:b/>
          <w:bCs/>
        </w:rPr>
        <w:t xml:space="preserve">今天就能回本的是非人形方案</w:t>
      </w:r>
      <w:r>
        <w:t xml:space="preserve">：轮式移动操作约 2.7 年，固定自动化约 1.6 年。人形需要在</w:t>
      </w:r>
      <w:r>
        <w:rPr>
          <w:b/>
          <w:bCs/>
        </w:rPr>
        <w:t xml:space="preserve">换型频繁、空间受限、改造成本高</w:t>
      </w:r>
      <w:r>
        <w:t xml:space="preserve">的岗位上，才能证明自己的溢价。</w:t>
      </w:r>
    </w:p>
    <w:p>
      <w:pPr>
        <w:pStyle w:val="Heading3"/>
      </w:pPr>
      <w:r>
        <w:t xml:space="preserve">敏感性一：整机价格 × 吞吐率 → 静态回本年数（2028 年其他参数）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59"/>
        <w:gridCol w:w="863"/>
        <w:gridCol w:w="863"/>
        <w:gridCol w:w="863"/>
        <w:gridCol w:w="863"/>
        <w:gridCol w:w="863"/>
        <w:gridCol w:w="864"/>
      </w:tblGrid>
      <w:tr>
        <w:trPr>
          <w:cantSplit w:val="false"/>
          <w:tblHeader/>
        </w:trPr>
        <w:tc>
          <w:tcPr>
            <w:tcW w:type="dxa" w:w="445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整机价格 \ 吞吐率（相对熟练工）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40%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50%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60%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70%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85%</w:t>
            </w:r>
          </w:p>
        </w:tc>
        <w:tc>
          <w:tcPr>
            <w:tcW w:type="dxa" w:w="8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100%</w:t>
            </w:r>
          </w:p>
        </w:tc>
      </w:tr>
      <w:tr>
        <w:trPr>
          <w:cantSplit w:val="false"/>
          <w:tblHeader w:val="false"/>
        </w:trPr>
        <w:tc>
          <w:tcPr>
            <w:tcW w:type="dxa" w:w="445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50 万元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×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×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×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×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×</w:t>
            </w:r>
          </w:p>
        </w:tc>
        <w:tc>
          <w:tcPr>
            <w:tcW w:type="dxa" w:w="8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6.1</w:t>
            </w:r>
          </w:p>
        </w:tc>
      </w:tr>
      <w:tr>
        <w:trPr>
          <w:cantSplit w:val="false"/>
          <w:tblHeader w:val="false"/>
        </w:trPr>
        <w:tc>
          <w:tcPr>
            <w:tcW w:type="dxa" w:w="445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40 万元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×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×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×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×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6.0</w:t>
            </w:r>
          </w:p>
        </w:tc>
        <w:tc>
          <w:tcPr>
            <w:tcW w:type="dxa" w:w="8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4.5</w:t>
            </w:r>
          </w:p>
        </w:tc>
      </w:tr>
      <w:tr>
        <w:trPr>
          <w:cantSplit w:val="false"/>
          <w:tblHeader w:val="false"/>
        </w:trPr>
        <w:tc>
          <w:tcPr>
            <w:tcW w:type="dxa" w:w="445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30 万元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×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×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×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5.8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4.1</w:t>
            </w:r>
          </w:p>
        </w:tc>
        <w:tc>
          <w:tcPr>
            <w:tcW w:type="dxa" w:w="8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3.1</w:t>
            </w:r>
          </w:p>
        </w:tc>
      </w:tr>
      <w:tr>
        <w:trPr>
          <w:cantSplit w:val="false"/>
          <w:tblHeader w:val="false"/>
        </w:trPr>
        <w:tc>
          <w:tcPr>
            <w:tcW w:type="dxa" w:w="445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 万元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×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6.9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4.6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3.4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2.5</w:t>
            </w:r>
          </w:p>
        </w:tc>
        <w:tc>
          <w:tcPr>
            <w:tcW w:type="dxa" w:w="8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2.0</w:t>
            </w:r>
          </w:p>
        </w:tc>
      </w:tr>
      <w:tr>
        <w:trPr>
          <w:cantSplit w:val="false"/>
          <w:tblHeader w:val="false"/>
        </w:trPr>
        <w:tc>
          <w:tcPr>
            <w:tcW w:type="dxa" w:w="445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15 万元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×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4.7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3.2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2.4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1.8</w:t>
            </w:r>
          </w:p>
        </w:tc>
        <w:tc>
          <w:tcPr>
            <w:tcW w:type="dxa" w:w="8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1.4</w:t>
            </w:r>
          </w:p>
        </w:tc>
      </w:tr>
      <w:tr>
        <w:trPr>
          <w:cantSplit w:val="false"/>
          <w:tblHeader w:val="false"/>
        </w:trPr>
        <w:tc>
          <w:tcPr>
            <w:tcW w:type="dxa" w:w="445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 万元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5.2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3.0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2.2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1.7</w:t>
            </w:r>
          </w:p>
        </w:tc>
        <w:tc>
          <w:tcPr>
            <w:tcW w:type="dxa" w:w="8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1.2</w:t>
            </w:r>
          </w:p>
        </w:tc>
        <w:tc>
          <w:tcPr>
            <w:tcW w:type="dxa" w:w="8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1.0</w:t>
            </w:r>
          </w:p>
        </w:tc>
      </w:tr>
    </w:tbl>
    <w:p>
      <w:pPr>
        <w:spacing w:after="120"/>
      </w:pPr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× 表示不回本或回本期超过 8 年。</w:t>
      </w:r>
    </w:p>
    <w:p>
      <w:pPr>
        <w:pStyle w:val="Heading3"/>
      </w:pPr>
      <w:r>
        <w:t xml:space="preserve">敏感性二：看护配比 × 可用率 → 静态回本年数（整机 25 万元、吞吐 70%）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96"/>
        <w:gridCol w:w="1410"/>
        <w:gridCol w:w="1410"/>
        <w:gridCol w:w="1410"/>
        <w:gridCol w:w="1412"/>
      </w:tblGrid>
      <w:tr>
        <w:trPr>
          <w:cantSplit w:val="false"/>
          <w:tblHeader/>
        </w:trPr>
        <w:tc>
          <w:tcPr>
            <w:tcW w:type="dxa" w:w="39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人员配比 \ 可用率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70%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80%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88%</w:t>
            </w:r>
          </w:p>
        </w:tc>
        <w:tc>
          <w:tcPr>
            <w:tcW w:type="dxa" w:w="14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95%</w:t>
            </w:r>
          </w:p>
        </w:tc>
      </w:tr>
      <w:tr>
        <w:trPr>
          <w:cantSplit w:val="false"/>
          <w:tblHeader w:val="false"/>
        </w:trPr>
        <w:tc>
          <w:tcPr>
            <w:tcW w:type="dxa" w:w="39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 人看护 3 台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×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×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×</w:t>
            </w:r>
          </w:p>
        </w:tc>
        <w:tc>
          <w:tcPr>
            <w:tcW w:type="dxa" w:w="14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×</w:t>
            </w:r>
          </w:p>
        </w:tc>
      </w:tr>
      <w:tr>
        <w:trPr>
          <w:cantSplit w:val="false"/>
          <w:tblHeader w:val="false"/>
        </w:trPr>
        <w:tc>
          <w:tcPr>
            <w:tcW w:type="dxa" w:w="39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 人看护 5 台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×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×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7.3</w:t>
            </w:r>
          </w:p>
        </w:tc>
        <w:tc>
          <w:tcPr>
            <w:tcW w:type="dxa" w:w="14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5.9</w:t>
            </w:r>
          </w:p>
        </w:tc>
      </w:tr>
      <w:tr>
        <w:trPr>
          <w:cantSplit w:val="false"/>
          <w:tblHeader w:val="false"/>
        </w:trPr>
        <w:tc>
          <w:tcPr>
            <w:tcW w:type="dxa" w:w="39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 人看护 10 台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7.4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5.5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4.6</w:t>
            </w:r>
          </w:p>
        </w:tc>
        <w:tc>
          <w:tcPr>
            <w:tcW w:type="dxa" w:w="14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4.0</w:t>
            </w:r>
          </w:p>
        </w:tc>
      </w:tr>
      <w:tr>
        <w:trPr>
          <w:cantSplit w:val="false"/>
          <w:tblHeader w:val="false"/>
        </w:trPr>
        <w:tc>
          <w:tcPr>
            <w:tcW w:type="dxa" w:w="39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 人看护 20 台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5.6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4.5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3.8</w:t>
            </w:r>
          </w:p>
        </w:tc>
        <w:tc>
          <w:tcPr>
            <w:tcW w:type="dxa" w:w="14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3.4</w:t>
            </w:r>
          </w:p>
        </w:tc>
      </w:tr>
      <w:tr>
        <w:trPr>
          <w:cantSplit w:val="false"/>
          <w:tblHeader w:val="false"/>
        </w:trPr>
        <w:tc>
          <w:tcPr>
            <w:tcW w:type="dxa" w:w="39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 人看护 50 台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4.9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4.0</w:t>
            </w:r>
          </w:p>
        </w:tc>
        <w:tc>
          <w:tcPr>
            <w:tcW w:type="dxa" w:w="14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3.5</w:t>
            </w:r>
          </w:p>
        </w:tc>
        <w:tc>
          <w:tcPr>
            <w:tcW w:type="dxa" w:w="14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3.1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两张敏感性表的投资含义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吞吐率和看护配比对回本的影响，大于整机价格</w:t>
      </w:r>
      <w:r>
        <w:t xml:space="preserve">。吞吐率从 50% 提到 85%，效果相当于整机价格从 40 万元降到 15 万元。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看护配比在 1:3 时，任何可用率下都不回本；提到 1:10 以后，经济性才开始成立。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所以尽调里的</w:t>
      </w:r>
      <w:r>
        <w:rPr>
          <w:b/>
          <w:bCs/>
        </w:rPr>
        <w:t xml:space="preserve">"每小时接管次数"和"1 人看护台数"，比 BOM 更能决定商业化的距离</w:t>
      </w:r>
      <w:r>
        <w:t xml:space="preserve">（第十五篇 Q02）。</w:t>
      </w:r>
    </w:p>
    <w:p>
      <w:pPr>
        <w:pStyle w:val="Heading2"/>
      </w:pPr>
      <w:bookmarkStart w:name="bm56" w:id="1056"/>
      <w:r>
        <w:t xml:space="preserve">6.5 仓储 RaaS：客户与供应商的两本账</w:t>
      </w:r>
      <w:bookmarkEnd w:id="1056"/>
    </w:p>
    <w:p>
      <w:pPr>
        <w:spacing w:after="120" w:line="324" w:lineRule="auto"/>
        <w:jc w:val="both"/>
      </w:pPr>
      <w:r>
        <w:rPr>
          <w:b/>
          <w:bCs/>
        </w:rPr>
        <w:t xml:space="preserve">客户的账</w:t>
      </w:r>
      <w:r>
        <w:t xml:space="preserve">：以 Agility 在 SEC 文件中的示意数字为锚，RaaS 约 8,500 美元/月（约 10.2 万美元/年），对应宣称替代约 20 万美元/年的全口径人工〔C，S36〕。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7"/>
        <w:gridCol w:w="2384"/>
        <w:gridCol w:w="1887"/>
        <w:gridCol w:w="2185"/>
        <w:gridCol w:w="1195"/>
      </w:tblGrid>
      <w:tr>
        <w:trPr>
          <w:cantSplit w:val="false"/>
          <w:tblHeader/>
        </w:trPr>
        <w:tc>
          <w:tcPr>
            <w:tcW w:type="dxa" w:w="19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实际达成的宣称替代量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客户年节省人工（千美元）</w:t>
            </w:r>
          </w:p>
        </w:tc>
        <w:tc>
          <w:tcPr>
            <w:tcW w:type="dxa" w:w="18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RaaS 年费（千美元）</w:t>
            </w:r>
          </w:p>
        </w:tc>
        <w:tc>
          <w:tcPr>
            <w:tcW w:type="dxa" w:w="21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客户年净收益（千美元）</w:t>
            </w:r>
          </w:p>
        </w:tc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客户是否获益</w:t>
            </w:r>
          </w:p>
        </w:tc>
      </w:tr>
      <w:tr>
        <w:trPr>
          <w:cantSplit w:val="false"/>
          <w:tblHeader w:val="false"/>
        </w:trPr>
        <w:tc>
          <w:tcPr>
            <w:tcW w:type="dxa" w:w="19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30%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8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102</w:t>
            </w:r>
          </w:p>
        </w:tc>
        <w:tc>
          <w:tcPr>
            <w:tcW w:type="dxa" w:w="21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-42</w:t>
            </w:r>
          </w:p>
        </w:tc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否</w:t>
            </w:r>
          </w:p>
        </w:tc>
      </w:tr>
      <w:tr>
        <w:trPr>
          <w:cantSplit w:val="false"/>
          <w:tblHeader w:val="false"/>
        </w:trPr>
        <w:tc>
          <w:tcPr>
            <w:tcW w:type="dxa" w:w="19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40%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80</w:t>
            </w:r>
          </w:p>
        </w:tc>
        <w:tc>
          <w:tcPr>
            <w:tcW w:type="dxa" w:w="18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102</w:t>
            </w:r>
          </w:p>
        </w:tc>
        <w:tc>
          <w:tcPr>
            <w:tcW w:type="dxa" w:w="21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-22</w:t>
            </w:r>
          </w:p>
        </w:tc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否</w:t>
            </w:r>
          </w:p>
        </w:tc>
      </w:tr>
      <w:tr>
        <w:trPr>
          <w:cantSplit w:val="false"/>
          <w:tblHeader w:val="false"/>
        </w:trPr>
        <w:tc>
          <w:tcPr>
            <w:tcW w:type="dxa" w:w="19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50%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100</w:t>
            </w:r>
          </w:p>
        </w:tc>
        <w:tc>
          <w:tcPr>
            <w:tcW w:type="dxa" w:w="18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102</w:t>
            </w:r>
          </w:p>
        </w:tc>
        <w:tc>
          <w:tcPr>
            <w:tcW w:type="dxa" w:w="21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-2</w:t>
            </w:r>
          </w:p>
        </w:tc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否</w:t>
            </w:r>
          </w:p>
        </w:tc>
      </w:tr>
      <w:tr>
        <w:trPr>
          <w:cantSplit w:val="false"/>
          <w:tblHeader w:val="false"/>
        </w:trPr>
        <w:tc>
          <w:tcPr>
            <w:tcW w:type="dxa" w:w="19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60%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120</w:t>
            </w:r>
          </w:p>
        </w:tc>
        <w:tc>
          <w:tcPr>
            <w:tcW w:type="dxa" w:w="18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102</w:t>
            </w:r>
          </w:p>
        </w:tc>
        <w:tc>
          <w:tcPr>
            <w:tcW w:type="dxa" w:w="21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+18</w:t>
            </w:r>
          </w:p>
        </w:tc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是</w:t>
            </w:r>
          </w:p>
        </w:tc>
      </w:tr>
      <w:tr>
        <w:trPr>
          <w:cantSplit w:val="false"/>
          <w:tblHeader w:val="false"/>
        </w:trPr>
        <w:tc>
          <w:tcPr>
            <w:tcW w:type="dxa" w:w="19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80%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160</w:t>
            </w:r>
          </w:p>
        </w:tc>
        <w:tc>
          <w:tcPr>
            <w:tcW w:type="dxa" w:w="18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102</w:t>
            </w:r>
          </w:p>
        </w:tc>
        <w:tc>
          <w:tcPr>
            <w:tcW w:type="dxa" w:w="21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+58</w:t>
            </w:r>
          </w:p>
        </w:tc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是</w:t>
            </w:r>
          </w:p>
        </w:tc>
      </w:tr>
      <w:tr>
        <w:trPr>
          <w:cantSplit w:val="false"/>
          <w:tblHeader w:val="false"/>
        </w:trPr>
        <w:tc>
          <w:tcPr>
            <w:tcW w:type="dxa" w:w="19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100%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200</w:t>
            </w:r>
          </w:p>
        </w:tc>
        <w:tc>
          <w:tcPr>
            <w:tcW w:type="dxa" w:w="18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102</w:t>
            </w:r>
          </w:p>
        </w:tc>
        <w:tc>
          <w:tcPr>
            <w:tcW w:type="dxa" w:w="21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+98</w:t>
            </w:r>
          </w:p>
        </w:tc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是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t xml:space="preserve">客户获益的盈亏平衡点，是实际达成宣称替代量的 </w:t>
      </w:r>
      <w:r>
        <w:rPr>
          <w:b/>
          <w:bCs/>
        </w:rPr>
        <w:t xml:space="preserve">约 51%</w:t>
      </w:r>
      <w:r>
        <w:t xml:space="preserve">。GXO 在 45 次试点后仍称"尚未实现 ROI"〔B，S36〕，说明真实的达成率很可能低于这个阈值，或者部署、看护等隐性成本没有被计入。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供应商的账</w:t>
      </w:r>
      <w:r>
        <w:t xml:space="preserve">〔D〕：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65"/>
        <w:gridCol w:w="2083"/>
        <w:gridCol w:w="2604"/>
        <w:gridCol w:w="2086"/>
      </w:tblGrid>
      <w:tr>
        <w:trPr>
          <w:cantSplit w:val="false"/>
          <w:tblHeader/>
        </w:trPr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单台硬件成本（千美元）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服务与运维占收入</w:t>
            </w:r>
          </w:p>
        </w:tc>
        <w:tc>
          <w:tcPr>
            <w:tcW w:type="dxa" w:w="26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单台年毛利（千美元）</w:t>
            </w:r>
          </w:p>
        </w:tc>
        <w:tc>
          <w:tcPr>
            <w:tcW w:type="dxa" w:w="20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硬件回收期（年）</w:t>
            </w:r>
          </w:p>
        </w:tc>
      </w:tr>
      <w:tr>
        <w:trPr>
          <w:cantSplit w:val="false"/>
          <w:tblHeader w:val="false"/>
        </w:trPr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150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25%</w:t>
            </w:r>
          </w:p>
        </w:tc>
        <w:tc>
          <w:tcPr>
            <w:tcW w:type="dxa" w:w="26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type="dxa" w:w="20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2.0</w:t>
            </w:r>
          </w:p>
        </w:tc>
      </w:tr>
      <w:tr>
        <w:trPr>
          <w:cantSplit w:val="false"/>
          <w:tblHeader w:val="false"/>
        </w:trPr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150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15%</w:t>
            </w:r>
          </w:p>
        </w:tc>
        <w:tc>
          <w:tcPr>
            <w:tcW w:type="dxa" w:w="26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87</w:t>
            </w:r>
          </w:p>
        </w:tc>
        <w:tc>
          <w:tcPr>
            <w:tcW w:type="dxa" w:w="20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1.7</w:t>
            </w:r>
          </w:p>
        </w:tc>
      </w:tr>
      <w:tr>
        <w:trPr>
          <w:cantSplit w:val="false"/>
          <w:tblHeader w:val="false"/>
        </w:trPr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25%</w:t>
            </w:r>
          </w:p>
        </w:tc>
        <w:tc>
          <w:tcPr>
            <w:tcW w:type="dxa" w:w="26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type="dxa" w:w="20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1.3</w:t>
            </w:r>
          </w:p>
        </w:tc>
      </w:tr>
      <w:tr>
        <w:trPr>
          <w:cantSplit w:val="false"/>
          <w:tblHeader w:val="false"/>
        </w:trPr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15%</w:t>
            </w:r>
          </w:p>
        </w:tc>
        <w:tc>
          <w:tcPr>
            <w:tcW w:type="dxa" w:w="26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87</w:t>
            </w:r>
          </w:p>
        </w:tc>
        <w:tc>
          <w:tcPr>
            <w:tcW w:type="dxa" w:w="20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1.2</w:t>
            </w:r>
          </w:p>
        </w:tc>
      </w:tr>
      <w:tr>
        <w:trPr>
          <w:cantSplit w:val="false"/>
          <w:tblHeader w:val="false"/>
        </w:trPr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60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25%</w:t>
            </w:r>
          </w:p>
        </w:tc>
        <w:tc>
          <w:tcPr>
            <w:tcW w:type="dxa" w:w="26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type="dxa" w:w="20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0.8</w:t>
            </w:r>
          </w:p>
        </w:tc>
      </w:tr>
      <w:tr>
        <w:trPr>
          <w:cantSplit w:val="false"/>
          <w:tblHeader w:val="false"/>
        </w:trPr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60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15%</w:t>
            </w:r>
          </w:p>
        </w:tc>
        <w:tc>
          <w:tcPr>
            <w:tcW w:type="dxa" w:w="26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87</w:t>
            </w:r>
          </w:p>
        </w:tc>
        <w:tc>
          <w:tcPr>
            <w:tcW w:type="dxa" w:w="20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0.7</w:t>
            </w:r>
          </w:p>
        </w:tc>
      </w:tr>
      <w:tr>
        <w:trPr>
          <w:cantSplit w:val="false"/>
          <w:tblHeader w:val="false"/>
        </w:trPr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25%</w:t>
            </w:r>
          </w:p>
        </w:tc>
        <w:tc>
          <w:tcPr>
            <w:tcW w:type="dxa" w:w="26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type="dxa" w:w="20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0.5</w:t>
            </w:r>
          </w:p>
        </w:tc>
      </w:tr>
      <w:tr>
        <w:trPr>
          <w:cantSplit w:val="false"/>
          <w:tblHeader w:val="false"/>
        </w:trPr>
        <w:tc>
          <w:tcPr>
            <w:tcW w:type="dxa" w:w="2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20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15%</w:t>
            </w:r>
          </w:p>
        </w:tc>
        <w:tc>
          <w:tcPr>
            <w:tcW w:type="dxa" w:w="26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87</w:t>
            </w:r>
          </w:p>
        </w:tc>
        <w:tc>
          <w:tcPr>
            <w:tcW w:type="dxa" w:w="20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0.4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t xml:space="preserve">如果单台硬件成本在 10–15 万美元，RaaS 供应商在满负荷续约的前提下也需要约 </w:t>
      </w:r>
      <w:r>
        <w:rPr>
          <w:b/>
          <w:bCs/>
        </w:rPr>
        <w:t xml:space="preserve">1.2–2.0 年</w:t>
      </w:r>
      <w:r>
        <w:t xml:space="preserve">才能收回硬件，这还没有计入部署、看护和资金成本。在利用率不足、客户试点后不续约的情况下，RaaS 实际上是</w:t>
      </w:r>
      <w:r>
        <w:rPr>
          <w:b/>
          <w:bCs/>
        </w:rPr>
        <w:t xml:space="preserve">用机器人公司的资产负债表为客户承担风险</w:t>
      </w:r>
      <w:r>
        <w:t xml:space="preserve">（第十六篇 T21）。Agility 2025 年收入 180 万美元、经营亏损 1.4 亿美元〔B，S35〕，正是这一模式在早期的财务体现。</w:t>
      </w:r>
    </w:p>
    <w:p>
      <w:pPr>
        <w:pStyle w:val="Heading2"/>
      </w:pPr>
      <w:bookmarkStart w:name="bm57" w:id="1057"/>
      <w:r>
        <w:t xml:space="preserve">6.6 家庭场景：订阅经济是否成立</w:t>
      </w:r>
      <w:bookmarkEnd w:id="1057"/>
    </w:p>
    <w:p>
      <w:pPr>
        <w:spacing w:after="120" w:line="324" w:lineRule="auto"/>
        <w:jc w:val="both"/>
      </w:pPr>
      <w:r>
        <w:t xml:space="preserve">以 1X NEO 每月 499 美元为锚，用"有效工作小时 × 家政时薪 25 美元 × 质量折算"估算家庭获得的价值〔D〕：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1"/>
        <w:gridCol w:w="2245"/>
        <w:gridCol w:w="3087"/>
        <w:gridCol w:w="1497"/>
        <w:gridCol w:w="938"/>
      </w:tblGrid>
      <w:tr>
        <w:trPr>
          <w:cantSplit w:val="false"/>
          <w:tblHeader/>
        </w:trPr>
        <w:tc>
          <w:tcPr>
            <w:tcW w:type="dxa" w:w="18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日均有效工作（小时）</w:t>
            </w:r>
          </w:p>
        </w:tc>
        <w:tc>
          <w:tcPr>
            <w:tcW w:type="dxa" w:w="2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质量折算（相对家政服务）</w:t>
            </w:r>
          </w:p>
        </w:tc>
        <w:tc>
          <w:tcPr>
            <w:tcW w:type="dxa" w:w="30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年化价值（美元，按 25 美元/小时）</w:t>
            </w:r>
          </w:p>
        </w:tc>
        <w:tc>
          <w:tcPr>
            <w:tcW w:type="dxa" w:w="14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订阅年费（美元）</w:t>
            </w:r>
          </w:p>
        </w:tc>
        <w:tc>
          <w:tcPr>
            <w:tcW w:type="dxa" w:w="9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经济上成立</w:t>
            </w:r>
          </w:p>
        </w:tc>
      </w:tr>
      <w:tr>
        <w:trPr>
          <w:cantSplit w:val="false"/>
          <w:tblHeader w:val="false"/>
        </w:trPr>
        <w:tc>
          <w:tcPr>
            <w:tcW w:type="dxa" w:w="18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0.5</w:t>
            </w:r>
          </w:p>
        </w:tc>
        <w:tc>
          <w:tcPr>
            <w:tcW w:type="dxa" w:w="2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50%</w:t>
            </w:r>
          </w:p>
        </w:tc>
        <w:tc>
          <w:tcPr>
            <w:tcW w:type="dxa" w:w="30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2,281</w:t>
            </w:r>
          </w:p>
        </w:tc>
        <w:tc>
          <w:tcPr>
            <w:tcW w:type="dxa" w:w="14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5,988</w:t>
            </w:r>
          </w:p>
        </w:tc>
        <w:tc>
          <w:tcPr>
            <w:tcW w:type="dxa" w:w="9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否</w:t>
            </w:r>
          </w:p>
        </w:tc>
      </w:tr>
      <w:tr>
        <w:trPr>
          <w:cantSplit w:val="false"/>
          <w:tblHeader w:val="false"/>
        </w:trPr>
        <w:tc>
          <w:tcPr>
            <w:tcW w:type="dxa" w:w="18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0.5</w:t>
            </w:r>
          </w:p>
        </w:tc>
        <w:tc>
          <w:tcPr>
            <w:tcW w:type="dxa" w:w="2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80%</w:t>
            </w:r>
          </w:p>
        </w:tc>
        <w:tc>
          <w:tcPr>
            <w:tcW w:type="dxa" w:w="30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3,650</w:t>
            </w:r>
          </w:p>
        </w:tc>
        <w:tc>
          <w:tcPr>
            <w:tcW w:type="dxa" w:w="14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5,988</w:t>
            </w:r>
          </w:p>
        </w:tc>
        <w:tc>
          <w:tcPr>
            <w:tcW w:type="dxa" w:w="9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否</w:t>
            </w:r>
          </w:p>
        </w:tc>
      </w:tr>
      <w:tr>
        <w:trPr>
          <w:cantSplit w:val="false"/>
          <w:tblHeader w:val="false"/>
        </w:trPr>
        <w:tc>
          <w:tcPr>
            <w:tcW w:type="dxa" w:w="18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50%</w:t>
            </w:r>
          </w:p>
        </w:tc>
        <w:tc>
          <w:tcPr>
            <w:tcW w:type="dxa" w:w="30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4,562</w:t>
            </w:r>
          </w:p>
        </w:tc>
        <w:tc>
          <w:tcPr>
            <w:tcW w:type="dxa" w:w="14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5,988</w:t>
            </w:r>
          </w:p>
        </w:tc>
        <w:tc>
          <w:tcPr>
            <w:tcW w:type="dxa" w:w="9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否</w:t>
            </w:r>
          </w:p>
        </w:tc>
      </w:tr>
      <w:tr>
        <w:trPr>
          <w:cantSplit w:val="false"/>
          <w:tblHeader w:val="false"/>
        </w:trPr>
        <w:tc>
          <w:tcPr>
            <w:tcW w:type="dxa" w:w="18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2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80%</w:t>
            </w:r>
          </w:p>
        </w:tc>
        <w:tc>
          <w:tcPr>
            <w:tcW w:type="dxa" w:w="30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7,300</w:t>
            </w:r>
          </w:p>
        </w:tc>
        <w:tc>
          <w:tcPr>
            <w:tcW w:type="dxa" w:w="14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5,988</w:t>
            </w:r>
          </w:p>
        </w:tc>
        <w:tc>
          <w:tcPr>
            <w:tcW w:type="dxa" w:w="9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是</w:t>
            </w:r>
          </w:p>
        </w:tc>
      </w:tr>
      <w:tr>
        <w:trPr>
          <w:cantSplit w:val="false"/>
          <w:tblHeader w:val="false"/>
        </w:trPr>
        <w:tc>
          <w:tcPr>
            <w:tcW w:type="dxa" w:w="18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50%</w:t>
            </w:r>
          </w:p>
        </w:tc>
        <w:tc>
          <w:tcPr>
            <w:tcW w:type="dxa" w:w="30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9,125</w:t>
            </w:r>
          </w:p>
        </w:tc>
        <w:tc>
          <w:tcPr>
            <w:tcW w:type="dxa" w:w="14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5,988</w:t>
            </w:r>
          </w:p>
        </w:tc>
        <w:tc>
          <w:tcPr>
            <w:tcW w:type="dxa" w:w="9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是</w:t>
            </w:r>
          </w:p>
        </w:tc>
      </w:tr>
      <w:tr>
        <w:trPr>
          <w:cantSplit w:val="false"/>
          <w:tblHeader w:val="false"/>
        </w:trPr>
        <w:tc>
          <w:tcPr>
            <w:tcW w:type="dxa" w:w="18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2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80%</w:t>
            </w:r>
          </w:p>
        </w:tc>
        <w:tc>
          <w:tcPr>
            <w:tcW w:type="dxa" w:w="30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14,600</w:t>
            </w:r>
          </w:p>
        </w:tc>
        <w:tc>
          <w:tcPr>
            <w:tcW w:type="dxa" w:w="14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5,988</w:t>
            </w:r>
          </w:p>
        </w:tc>
        <w:tc>
          <w:tcPr>
            <w:tcW w:type="dxa" w:w="9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是</w:t>
            </w:r>
          </w:p>
        </w:tc>
      </w:tr>
      <w:tr>
        <w:trPr>
          <w:cantSplit w:val="false"/>
          <w:tblHeader w:val="false"/>
        </w:trPr>
        <w:tc>
          <w:tcPr>
            <w:tcW w:type="dxa" w:w="18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50%</w:t>
            </w:r>
          </w:p>
        </w:tc>
        <w:tc>
          <w:tcPr>
            <w:tcW w:type="dxa" w:w="30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13,688</w:t>
            </w:r>
          </w:p>
        </w:tc>
        <w:tc>
          <w:tcPr>
            <w:tcW w:type="dxa" w:w="14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5,988</w:t>
            </w:r>
          </w:p>
        </w:tc>
        <w:tc>
          <w:tcPr>
            <w:tcW w:type="dxa" w:w="9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是</w:t>
            </w:r>
          </w:p>
        </w:tc>
      </w:tr>
      <w:tr>
        <w:trPr>
          <w:cantSplit w:val="false"/>
          <w:tblHeader w:val="false"/>
        </w:trPr>
        <w:tc>
          <w:tcPr>
            <w:tcW w:type="dxa" w:w="18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2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80%</w:t>
            </w:r>
          </w:p>
        </w:tc>
        <w:tc>
          <w:tcPr>
            <w:tcW w:type="dxa" w:w="30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21,900</w:t>
            </w:r>
          </w:p>
        </w:tc>
        <w:tc>
          <w:tcPr>
            <w:tcW w:type="dxa" w:w="14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5,988</w:t>
            </w:r>
          </w:p>
        </w:tc>
        <w:tc>
          <w:tcPr>
            <w:tcW w:type="dxa" w:w="9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是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t xml:space="preserve">只有当机器人每天有效工作约 </w:t>
      </w:r>
      <w:r>
        <w:rPr>
          <w:b/>
          <w:bCs/>
        </w:rPr>
        <w:t xml:space="preserve">2 小时以上，且质量达到家政服务的 80% 左右</w:t>
      </w:r>
      <w:r>
        <w:t xml:space="preserve">时，年化价值才能覆盖订阅费。按 Figure 自评的陌生家庭整任务成功率约 56%〔C〕，并考虑到家庭对安全和隐私的高要求，</w:t>
      </w:r>
      <w:r>
        <w:rPr>
          <w:b/>
          <w:bCs/>
        </w:rPr>
        <w:t xml:space="preserve">2030 年前家庭通用人形难以形成规模化付费市场</w:t>
      </w:r>
      <w:r>
        <w:t xml:space="preserve">（第十六篇 T16）。</w:t>
      </w:r>
    </w:p>
    <w:p>
      <w:pPr>
        <w:spacing w:after="120" w:line="324" w:lineRule="auto"/>
        <w:jc w:val="both"/>
      </w:pPr>
      <w:r>
        <w:t xml:space="preserve">还有一个关键问题：靠遥操作兜底的"专家模式"，成本会随用户数线性增长，因此无法形成软件式的规模经济。</w:t>
      </w:r>
    </w:p>
    <w:p>
      <w:pPr>
        <w:pStyle w:val="Heading2"/>
      </w:pPr>
      <w:bookmarkStart w:name="bm58" w:id="1058"/>
      <w:r>
        <w:t xml:space="preserve">6.7 人形形态真的必要吗？</w:t>
      </w:r>
      <w:bookmarkEnd w:id="105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8"/>
        <w:gridCol w:w="3368"/>
        <w:gridCol w:w="3462"/>
        <w:gridCol w:w="2060"/>
      </w:tblGrid>
      <w:tr>
        <w:trPr>
          <w:cantSplit w:val="false"/>
          <w:tblHeader/>
        </w:trPr>
        <w:tc>
          <w:tcPr>
            <w:tcW w:type="dxa" w:w="7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条件</w:t>
            </w:r>
          </w:p>
        </w:tc>
        <w:tc>
          <w:tcPr>
            <w:tcW w:type="dxa" w:w="33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人形更优</w:t>
            </w:r>
          </w:p>
        </w:tc>
        <w:tc>
          <w:tcPr>
            <w:tcW w:type="dxa" w:w="34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轮式移动操作更优</w:t>
            </w:r>
          </w:p>
        </w:tc>
        <w:tc>
          <w:tcPr>
            <w:tcW w:type="dxa" w:w="20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固定臂或专用自动化更优</w:t>
            </w:r>
          </w:p>
        </w:tc>
      </w:tr>
      <w:tr>
        <w:trPr>
          <w:cantSplit w:val="false"/>
          <w:tblHeader w:val="false"/>
        </w:trPr>
        <w:tc>
          <w:tcPr>
            <w:tcW w:type="dxa" w:w="7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环境</w:t>
            </w:r>
          </w:p>
        </w:tc>
        <w:tc>
          <w:tcPr>
            <w:tcW w:type="dxa" w:w="33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有台阶、狭窄通道、为人设计且不能改造</w:t>
            </w:r>
          </w:p>
        </w:tc>
        <w:tc>
          <w:tcPr>
            <w:tcW w:type="dxa" w:w="34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平地、可规划通道</w:t>
            </w:r>
          </w:p>
        </w:tc>
        <w:tc>
          <w:tcPr>
            <w:tcW w:type="dxa" w:w="20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固定工位</w:t>
            </w:r>
          </w:p>
        </w:tc>
      </w:tr>
      <w:tr>
        <w:trPr>
          <w:cantSplit w:val="false"/>
          <w:tblHeader w:val="false"/>
        </w:trPr>
        <w:tc>
          <w:tcPr>
            <w:tcW w:type="dxa" w:w="7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任务变化</w:t>
            </w:r>
          </w:p>
        </w:tc>
        <w:tc>
          <w:tcPr>
            <w:tcW w:type="dxa" w:w="33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多任务、频繁切换</w:t>
            </w:r>
          </w:p>
        </w:tc>
        <w:tc>
          <w:tcPr>
            <w:tcW w:type="dxa" w:w="34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中等变化</w:t>
            </w:r>
          </w:p>
        </w:tc>
        <w:tc>
          <w:tcPr>
            <w:tcW w:type="dxa" w:w="20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单一、重复、高节拍</w:t>
            </w:r>
          </w:p>
        </w:tc>
      </w:tr>
      <w:tr>
        <w:trPr>
          <w:cantSplit w:val="false"/>
          <w:tblHeader w:val="false"/>
        </w:trPr>
        <w:tc>
          <w:tcPr>
            <w:tcW w:type="dxa" w:w="7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改造成本</w:t>
            </w:r>
          </w:p>
        </w:tc>
        <w:tc>
          <w:tcPr>
            <w:tcW w:type="dxa" w:w="33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改造极贵（老旧产线、跨楼层）</w:t>
            </w:r>
          </w:p>
        </w:tc>
        <w:tc>
          <w:tcPr>
            <w:tcW w:type="dxa" w:w="34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20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改造可接受</w:t>
            </w:r>
          </w:p>
        </w:tc>
      </w:tr>
      <w:tr>
        <w:trPr>
          <w:cantSplit w:val="false"/>
          <w:tblHeader w:val="false"/>
        </w:trPr>
        <w:tc>
          <w:tcPr>
            <w:tcW w:type="dxa" w:w="7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节拍要求</w:t>
            </w:r>
          </w:p>
        </w:tc>
        <w:tc>
          <w:tcPr>
            <w:tcW w:type="dxa" w:w="33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低到中</w:t>
            </w:r>
          </w:p>
        </w:tc>
        <w:tc>
          <w:tcPr>
            <w:tcW w:type="dxa" w:w="34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20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</w:t>
            </w:r>
          </w:p>
        </w:tc>
      </w:tr>
      <w:tr>
        <w:trPr>
          <w:cantSplit w:val="false"/>
          <w:tblHeader w:val="false"/>
        </w:trPr>
        <w:tc>
          <w:tcPr>
            <w:tcW w:type="dxa" w:w="7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安全</w:t>
            </w:r>
          </w:p>
        </w:tc>
        <w:tc>
          <w:tcPr>
            <w:tcW w:type="dxa" w:w="33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有专门区域</w:t>
            </w:r>
          </w:p>
        </w:tc>
        <w:tc>
          <w:tcPr>
            <w:tcW w:type="dxa" w:w="34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人机共融较容易</w:t>
            </w:r>
          </w:p>
        </w:tc>
        <w:tc>
          <w:tcPr>
            <w:tcW w:type="dxa" w:w="20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隔离</w:t>
            </w:r>
          </w:p>
        </w:tc>
      </w:tr>
      <w:tr>
        <w:trPr>
          <w:cantSplit w:val="false"/>
          <w:tblHeader w:val="false"/>
        </w:trPr>
        <w:tc>
          <w:tcPr>
            <w:tcW w:type="dxa" w:w="7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典型例子</w:t>
            </w:r>
          </w:p>
        </w:tc>
        <w:tc>
          <w:tcPr>
            <w:tcW w:type="dxa" w:w="33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跨楼层物料配送、旧车间多工位辅助</w:t>
            </w:r>
          </w:p>
        </w:tc>
        <w:tc>
          <w:tcPr>
            <w:tcW w:type="dxa" w:w="34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实验室样品转移、3C 物料配送、零售补货</w:t>
            </w:r>
          </w:p>
        </w:tc>
        <w:tc>
          <w:tcPr>
            <w:tcW w:type="dxa" w:w="20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焊装、冲压、码垛、分拣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判断</w:t>
      </w:r>
      <w:r>
        <w:t xml:space="preserve">〔D，中高置信度〕：2030 年前，工业具身需求的大部分会由</w:t>
      </w:r>
      <w:r>
        <w:rPr>
          <w:b/>
          <w:bCs/>
        </w:rPr>
        <w:t xml:space="preserve">轮式移动操作和专用自动化</w:t>
      </w:r>
      <w:r>
        <w:t xml:space="preserve">承接。人形有两个结构性机会：</w:t>
      </w:r>
    </w:p>
    <w:p>
      <w:pPr>
        <w:spacing w:after="60" w:line="312" w:lineRule="auto"/>
        <w:ind w:left="420" w:hanging="300"/>
      </w:pPr>
      <w:r>
        <w:t xml:space="preserve">1. </w:t>
      </w:r>
      <w:r>
        <w:rPr>
          <w:b/>
          <w:bCs/>
        </w:rPr>
        <w:t xml:space="preserve">不能改造的人用环境</w:t>
      </w:r>
      <w:r>
        <w:t xml:space="preserve">；</w:t>
      </w:r>
    </w:p>
    <w:p>
      <w:pPr>
        <w:spacing w:after="60" w:line="312" w:lineRule="auto"/>
        <w:ind w:left="420" w:hanging="300"/>
      </w:pPr>
      <w:r>
        <w:t xml:space="preserve">2. </w:t>
      </w:r>
      <w:r>
        <w:rPr>
          <w:b/>
          <w:bCs/>
        </w:rPr>
        <w:t xml:space="preserve">规模经济外溢</w:t>
      </w:r>
      <w:r>
        <w:t xml:space="preserve">——如果人形出货量远超其他形态，它可能凭成本成为通用平台。</w:t>
      </w:r>
    </w:p>
    <w:p>
      <w:pPr>
        <w:spacing w:after="120" w:line="324" w:lineRule="auto"/>
        <w:jc w:val="both"/>
      </w:pPr>
      <w:r>
        <w:t xml:space="preserve">第二条是乐观情景的关键假设，领先指标是</w:t>
      </w:r>
      <w:r>
        <w:rPr>
          <w:b/>
          <w:bCs/>
        </w:rPr>
        <w:t xml:space="preserve">双足与轮式的 BOM 差价</w:t>
      </w:r>
      <w:r>
        <w:t xml:space="preserve">。客户侧已经给出了初步答案：GXO 2026 年部署的 2 万台机器人里没有一台人形〔B，S37〕；亚马逊部署了超过 100 万台机器人，主力都不是人形〔C〕。</w:t>
      </w:r>
    </w:p>
    <w:p>
      <w:pPr>
        <w:pStyle w:val="Heading2"/>
      </w:pPr>
      <w:bookmarkStart w:name="bm59" w:id="1059"/>
      <w:r>
        <w:t xml:space="preserve">6.8 自下而上的市场空间：中国制造业</w:t>
      </w:r>
      <w:bookmarkEnd w:id="105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1927"/>
        <w:gridCol w:w="3856"/>
      </w:tblGrid>
      <w:tr>
        <w:trPr>
          <w:cantSplit w:val="false"/>
          <w:tblHeader/>
        </w:trPr>
        <w:tc>
          <w:tcPr>
            <w:tcW w:type="dxa" w:w="3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推导步骤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数值区间</w:t>
            </w:r>
          </w:p>
        </w:tc>
        <w:tc>
          <w:tcPr>
            <w:tcW w:type="dxa" w:w="3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依据/说明</w:t>
            </w:r>
          </w:p>
        </w:tc>
      </w:tr>
      <w:tr>
        <w:trPr>
          <w:cantSplit w:val="false"/>
          <w:tblHeader w:val="false"/>
        </w:trPr>
        <w:tc>
          <w:tcPr>
            <w:tcW w:type="dxa" w:w="3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制造业一线操作岗位（人）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6,000–8,000 万</w:t>
            </w:r>
          </w:p>
        </w:tc>
        <w:tc>
          <w:tcPr>
            <w:tcW w:type="dxa" w:w="3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统计口径推断：制造业城镇就业约 1 亿量级，其中一线操作约六至八成</w:t>
            </w:r>
          </w:p>
        </w:tc>
      </w:tr>
      <w:tr>
        <w:trPr>
          <w:cantSplit w:val="false"/>
          <w:tblHeader w:val="false"/>
        </w:trPr>
        <w:tc>
          <w:tcPr>
            <w:tcW w:type="dxa" w:w="3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其中物料搬运、上下料、分拣、包装、巡检类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15%–20% → 900–1,600 万</w:t>
            </w:r>
          </w:p>
        </w:tc>
        <w:tc>
          <w:tcPr>
            <w:tcW w:type="dxa" w:w="3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按典型工厂岗位结构假设</w:t>
            </w:r>
          </w:p>
        </w:tc>
      </w:tr>
      <w:tr>
        <w:trPr>
          <w:cantSplit w:val="false"/>
          <w:tblHeader w:val="false"/>
        </w:trPr>
        <w:tc>
          <w:tcPr>
            <w:tcW w:type="dxa" w:w="3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其中难以被固定自动化/AGV 经济替代的（多品种、短周期、空间受限）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25%–35% → 220–560 万</w:t>
            </w:r>
          </w:p>
        </w:tc>
        <w:tc>
          <w:tcPr>
            <w:tcW w:type="dxa" w:w="3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核心假设：这是人形/移动操作的真正可服务空间</w:t>
            </w:r>
          </w:p>
        </w:tc>
      </w:tr>
      <w:tr>
        <w:trPr>
          <w:cantSplit w:val="false"/>
          <w:tblHeader w:val="false"/>
        </w:trPr>
        <w:tc>
          <w:tcPr>
            <w:tcW w:type="dxa" w:w="3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每个双班岗位所需机器人台数（成熟期）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0.6–0.8 台</w:t>
            </w:r>
          </w:p>
        </w:tc>
        <w:tc>
          <w:tcPr>
            <w:tcW w:type="dxa" w:w="3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取决于吞吐率与可用率（见 TCO 模型 2030 列）</w:t>
            </w:r>
          </w:p>
        </w:tc>
      </w:tr>
      <w:tr>
        <w:trPr>
          <w:cantSplit w:val="false"/>
          <w:tblHeader w:val="false"/>
        </w:trPr>
        <w:tc>
          <w:tcPr>
            <w:tcW w:type="dxa" w:w="3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长期可服务存量（台）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130–450 万台</w:t>
            </w:r>
          </w:p>
        </w:tc>
        <w:tc>
          <w:tcPr>
            <w:tcW w:type="dxa" w:w="3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= 岗位 × 台数</w:t>
            </w:r>
          </w:p>
        </w:tc>
      </w:tr>
      <w:tr>
        <w:trPr>
          <w:cantSplit w:val="false"/>
          <w:tblHeader w:val="false"/>
        </w:trPr>
        <w:tc>
          <w:tcPr>
            <w:tcW w:type="dxa" w:w="3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其中人形形态占比（相对轮式移动操作）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30%–60%</w:t>
            </w:r>
          </w:p>
        </w:tc>
        <w:tc>
          <w:tcPr>
            <w:tcW w:type="dxa" w:w="3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取决于台阶/狭窄空间与双臂作业需求</w:t>
            </w:r>
          </w:p>
        </w:tc>
      </w:tr>
      <w:tr>
        <w:trPr>
          <w:cantSplit w:val="false"/>
          <w:tblHeader w:val="false"/>
        </w:trPr>
        <w:tc>
          <w:tcPr>
            <w:tcW w:type="dxa" w:w="3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中国制造业人形长期存量空间（台）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40–270 万台</w:t>
            </w:r>
          </w:p>
        </w:tc>
        <w:tc>
          <w:tcPr>
            <w:tcW w:type="dxa" w:w="3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约 10 年渗透期 → 年需求 4–27 万台（成熟期）</w:t>
            </w:r>
          </w:p>
        </w:tc>
      </w:tr>
      <w:tr>
        <w:trPr>
          <w:cantSplit w:val="false"/>
          <w:tblHeader w:val="false"/>
        </w:trPr>
        <w:tc>
          <w:tcPr>
            <w:tcW w:type="dxa" w:w="3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对应年市场规模（按 10–15 万元/台）</w:t>
            </w:r>
          </w:p>
        </w:tc>
        <w:tc>
          <w:tcPr>
            <w:tcW w:type="dxa" w:w="19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约 40–400 亿元/年</w:t>
            </w:r>
          </w:p>
        </w:tc>
        <w:tc>
          <w:tcPr>
            <w:tcW w:type="dxa" w:w="3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对比：2025 全球人形销售额约 4.4 亿美元（IDC）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与自上而下预测的对照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高盛 2024 年预测 2035 年全球人形市场约 380 亿美元〔A，S68〕，2026 年又把 2035 年出货预测上调到约 650 万台〔C，S69〕；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摩根士丹利对 2050 年的预测达到"5 万亿美元"级（转引，C）。</w:t>
      </w:r>
    </w:p>
    <w:p>
      <w:pPr>
        <w:spacing w:after="120" w:line="324" w:lineRule="auto"/>
        <w:jc w:val="both"/>
      </w:pPr>
      <w:r>
        <w:t xml:space="preserve">本报告自下而上的中国制造业空间，是</w:t>
      </w:r>
      <w:r>
        <w:rPr>
          <w:b/>
          <w:bCs/>
        </w:rPr>
        <w:t xml:space="preserve">成熟期每年约 40–400 亿元</w:t>
      </w:r>
      <w:r>
        <w:t xml:space="preserve">。区间这么宽，正说明市场空间对"可替代岗位比例"和"人形相对轮式的占比"两个假设极度敏感。</w:t>
      </w:r>
      <w:r>
        <w:rPr>
          <w:b/>
          <w:bCs/>
        </w:rPr>
        <w:t xml:space="preserve">投资决策不应以 2050 年的万亿美元叙事为基础，而应以 2028–2030 年可验证的场景回本为基础</w:t>
      </w:r>
      <w:r>
        <w:t xml:space="preserve">。</w:t>
      </w:r>
    </w:p>
    <w:p>
      <w:pPr>
        <w:pStyle w:val="Heading2"/>
      </w:pPr>
      <w:bookmarkStart w:name="bm60" w:id="1060"/>
      <w:r>
        <w:t xml:space="preserve">6.9 哪些场景先闭环，哪些长期停留在试点</w:t>
      </w:r>
      <w:bookmarkEnd w:id="106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66"/>
        <w:gridCol w:w="4609"/>
        <w:gridCol w:w="3563"/>
      </w:tblGrid>
      <w:tr>
        <w:trPr>
          <w:cantSplit w:val="false"/>
          <w:tblHeader/>
        </w:trPr>
        <w:tc>
          <w:tcPr>
            <w:tcW w:type="dxa" w:w="14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时间</w:t>
            </w:r>
          </w:p>
        </w:tc>
        <w:tc>
          <w:tcPr>
            <w:tcW w:type="dxa" w:w="46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可能实现经济闭环的场景</w:t>
            </w:r>
          </w:p>
        </w:tc>
        <w:tc>
          <w:tcPr>
            <w:tcW w:type="dxa" w:w="3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长期停留在政策试点或概念展示的场景</w:t>
            </w:r>
          </w:p>
        </w:tc>
      </w:tr>
      <w:tr>
        <w:trPr>
          <w:cantSplit w:val="false"/>
          <w:tblHeader w:val="false"/>
        </w:trPr>
        <w:tc>
          <w:tcPr>
            <w:tcW w:type="dxa" w:w="14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已闭环（2026）</w:t>
            </w:r>
          </w:p>
        </w:tc>
        <w:tc>
          <w:tcPr>
            <w:tcW w:type="dxa" w:w="46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科研教育（非 ROI 预算）、四足巡检、仓储 AMR（非人形）</w:t>
            </w:r>
          </w:p>
        </w:tc>
        <w:tc>
          <w:tcPr>
            <w:tcW w:type="dxa" w:w="3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文娱租赁（已崩盘）、商业导览</w:t>
            </w:r>
          </w:p>
        </w:tc>
      </w:tr>
      <w:tr>
        <w:trPr>
          <w:cantSplit w:val="false"/>
          <w:tblHeader w:val="false"/>
        </w:trPr>
        <w:tc>
          <w:tcPr>
            <w:tcW w:type="dxa" w:w="14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2027–2028</w:t>
            </w:r>
          </w:p>
        </w:tc>
        <w:tc>
          <w:tcPr>
            <w:tcW w:type="dxa" w:w="46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物流搬箱（轮式或人形，看可用率）、3C 柔性上下料、实验室自动化、危化与电力特种作业</w:t>
            </w:r>
          </w:p>
        </w:tc>
        <w:tc>
          <w:tcPr>
            <w:tcW w:type="dxa" w:w="3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政府数采中心（一次性）</w:t>
            </w:r>
          </w:p>
        </w:tc>
      </w:tr>
      <w:tr>
        <w:trPr>
          <w:cantSplit w:val="false"/>
          <w:tblHeader w:val="false"/>
        </w:trPr>
        <w:tc>
          <w:tcPr>
            <w:tcW w:type="dxa" w:w="14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2029–2031</w:t>
            </w:r>
          </w:p>
        </w:tc>
        <w:tc>
          <w:tcPr>
            <w:tcW w:type="dxa" w:w="46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汽车总装辅助、跨楼层配送、部分康养</w:t>
            </w:r>
          </w:p>
        </w:tc>
        <w:tc>
          <w:tcPr>
            <w:tcW w:type="dxa" w:w="3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家庭通用人形（仍偏早）</w:t>
            </w:r>
          </w:p>
        </w:tc>
      </w:tr>
      <w:tr>
        <w:trPr>
          <w:cantSplit w:val="false"/>
          <w:tblHeader w:val="false"/>
        </w:trPr>
        <w:tc>
          <w:tcPr>
            <w:tcW w:type="dxa" w:w="14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2031 以后</w:t>
            </w:r>
          </w:p>
        </w:tc>
        <w:tc>
          <w:tcPr>
            <w:tcW w:type="dxa" w:w="46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家庭窄域任务、通用服务</w:t>
            </w:r>
          </w:p>
        </w:tc>
        <w:tc>
          <w:tcPr>
            <w:tcW w:type="dxa" w:w="3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61" w:id="1061"/>
      <w:r>
        <w:t xml:space="preserve">6.10 反证检查</w:t>
      </w:r>
      <w:bookmarkEnd w:id="1061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推翻"工业不回本"的证据</w:t>
      </w:r>
      <w:r>
        <w:t xml:space="preserve">：某工业客户公开披露，在正式工位部署 100 台以上人形，看护配比达到 1:20 以上，回本期在 3 年以内。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被忽视的替代方案</w:t>
      </w:r>
      <w:r>
        <w:t xml:space="preserve">：中国制造业还有一个选项是</w:t>
      </w:r>
      <w:r>
        <w:rPr>
          <w:b/>
          <w:bCs/>
        </w:rPr>
        <w:t xml:space="preserve">把产能转移到人工更便宜的地区</w:t>
      </w:r>
      <w:r>
        <w:t xml:space="preserve">，这会削弱国内的劳动替代需求。另外，2025 年中国工业机器人安装量达到 35.4 万台、占全球 59%〔B，S65〕，说明传统自动化的渗透仍在快速推进，也在"吃掉"人形的潜在岗位。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发展不及预期时损失最大的</w:t>
      </w:r>
      <w:r>
        <w:t xml:space="preserve">：收入依赖政府数采中心和文娱的整机企业，以及按"劳动替代万亿市场"定价的后期项目。</w:t>
      </w:r>
    </w:p>
    <w:p>
      <w:pPr>
        <w:pStyle w:val="Heading1"/>
        <w:pageBreakBefore/>
      </w:pPr>
      <w:bookmarkStart w:name="bm62" w:id="1062"/>
      <w:r>
        <w:t xml:space="preserve">第七篇　产业链价值分配与长期竞争壁垒</w:t>
      </w:r>
      <w:bookmarkEnd w:id="1062"/>
    </w:p>
    <w:p>
      <w:pPr>
        <w:pStyle w:val="Heading2"/>
      </w:pPr>
      <w:bookmarkStart w:name="bm63" w:id="1063"/>
      <w:r>
        <w:t xml:space="preserve">7.1 今天谁在赚钱：2026 年的利润池</w:t>
      </w:r>
      <w:bookmarkEnd w:id="106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2884"/>
        <w:gridCol w:w="2163"/>
        <w:gridCol w:w="2231"/>
      </w:tblGrid>
      <w:tr>
        <w:trPr>
          <w:cantSplit w:val="false"/>
          <w:tblHeader/>
        </w:trPr>
        <w:tc>
          <w:tcPr>
            <w:tcW w:type="dxa" w:w="2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参与者</w:t>
            </w:r>
          </w:p>
        </w:tc>
        <w:tc>
          <w:tcPr>
            <w:tcW w:type="dxa" w:w="28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2026 年利润状况</w:t>
            </w:r>
          </w:p>
        </w:tc>
        <w:tc>
          <w:tcPr>
            <w:tcW w:type="dxa" w:w="21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利润来源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可持续性</w:t>
            </w:r>
          </w:p>
        </w:tc>
      </w:tr>
      <w:tr>
        <w:trPr>
          <w:cantSplit w:val="false"/>
          <w:tblHeader w:val="false"/>
        </w:trPr>
        <w:tc>
          <w:tcPr>
            <w:tcW w:type="dxa" w:w="2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科研教育与文娱人形整机（宇树为代表）</w:t>
            </w:r>
          </w:p>
        </w:tc>
        <w:tc>
          <w:tcPr>
            <w:tcW w:type="dxa" w:w="28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盈利</w:t>
            </w:r>
            <w:r>
              <w:rPr>
                <w:sz w:val="16"/>
                <w:szCs w:val="16"/>
              </w:rPr>
              <w:t xml:space="preserve">：2025 年主营毛利率约 60%；2026 年上半年归母净利 2.74 亿元〔B，S01/S07〕</w:t>
            </w:r>
          </w:p>
        </w:tc>
        <w:tc>
          <w:tcPr>
            <w:tcW w:type="dxa" w:w="21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成本领先加品牌，卖给非 ROI 型预算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中：增速放缓、价格战、对美出口受限</w:t>
            </w:r>
          </w:p>
        </w:tc>
      </w:tr>
      <w:tr>
        <w:trPr>
          <w:cantSplit w:val="false"/>
          <w:tblHeader w:val="false"/>
        </w:trPr>
        <w:tc>
          <w:tcPr>
            <w:tcW w:type="dxa" w:w="2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四足与特种整机（云深处）</w:t>
            </w:r>
          </w:p>
        </w:tc>
        <w:tc>
          <w:tcPr>
            <w:tcW w:type="dxa" w:w="28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盈利：2025 年归母净利 0.29 亿元〔A/B，S53〕</w:t>
            </w:r>
          </w:p>
        </w:tc>
        <w:tc>
          <w:tcPr>
            <w:tcW w:type="dxa" w:w="21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替代高危作业的明确价值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中高</w:t>
            </w:r>
          </w:p>
        </w:tc>
      </w:tr>
      <w:tr>
        <w:trPr>
          <w:cantSplit w:val="false"/>
          <w:tblHeader w:val="false"/>
        </w:trPr>
        <w:tc>
          <w:tcPr>
            <w:tcW w:type="dxa" w:w="2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非人形自动化（极智嘉）</w:t>
            </w:r>
          </w:p>
        </w:tc>
        <w:tc>
          <w:tcPr>
            <w:tcW w:type="dxa" w:w="28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经调整盈利：2025 年毛利率 35.5%〔B，S77〕</w:t>
            </w:r>
          </w:p>
        </w:tc>
        <w:tc>
          <w:tcPr>
            <w:tcW w:type="dxa" w:w="21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单一场景、成熟产品、海外市场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</w:t>
            </w:r>
          </w:p>
        </w:tc>
      </w:tr>
      <w:tr>
        <w:trPr>
          <w:cantSplit w:val="false"/>
          <w:tblHeader w:val="false"/>
        </w:trPr>
        <w:tc>
          <w:tcPr>
            <w:tcW w:type="dxa" w:w="2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工业人形整机（优必选为代表）</w:t>
            </w:r>
          </w:p>
        </w:tc>
        <w:tc>
          <w:tcPr>
            <w:tcW w:type="dxa" w:w="28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亏损：2026 年上半年净亏 3.39 亿元〔B，S09〕</w:t>
            </w:r>
          </w:p>
        </w:tc>
        <w:tc>
          <w:tcPr>
            <w:tcW w:type="dxa" w:w="21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政府数采项目、工厂实训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低到中</w:t>
            </w:r>
          </w:p>
        </w:tc>
      </w:tr>
      <w:tr>
        <w:trPr>
          <w:cantSplit w:val="false"/>
          <w:tblHeader w:val="false"/>
        </w:trPr>
        <w:tc>
          <w:tcPr>
            <w:tcW w:type="dxa" w:w="2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精密部件（绿的谐波）</w:t>
            </w:r>
          </w:p>
        </w:tc>
        <w:tc>
          <w:tcPr>
            <w:tcW w:type="dxa" w:w="28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盈利，但毛利率下行（36.9% → 32.3%）〔B，S62〕</w:t>
            </w:r>
          </w:p>
        </w:tc>
        <w:tc>
          <w:tcPr>
            <w:tcW w:type="dxa" w:w="21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工业机器人存量业务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2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基础模型公司</w:t>
            </w:r>
          </w:p>
        </w:tc>
        <w:tc>
          <w:tcPr>
            <w:tcW w:type="dxa" w:w="28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普遍亏损；Skild 自称运行率超过 1 亿美元〔C，S47〕</w:t>
            </w:r>
          </w:p>
        </w:tc>
        <w:tc>
          <w:tcPr>
            <w:tcW w:type="dxa" w:w="21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融资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未知</w:t>
            </w:r>
          </w:p>
        </w:tc>
      </w:tr>
      <w:tr>
        <w:trPr>
          <w:cantSplit w:val="false"/>
          <w:tblHeader w:val="false"/>
        </w:trPr>
        <w:tc>
          <w:tcPr>
            <w:tcW w:type="dxa" w:w="2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数据采集服务</w:t>
            </w:r>
          </w:p>
        </w:tc>
        <w:tc>
          <w:tcPr>
            <w:tcW w:type="dxa" w:w="28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依赖补贴与项目</w:t>
            </w:r>
          </w:p>
        </w:tc>
        <w:tc>
          <w:tcPr>
            <w:tcW w:type="dxa" w:w="21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政府和整机厂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低</w:t>
            </w:r>
          </w:p>
        </w:tc>
      </w:tr>
      <w:tr>
        <w:trPr>
          <w:cantSplit w:val="false"/>
          <w:tblHeader w:val="false"/>
        </w:trPr>
        <w:tc>
          <w:tcPr>
            <w:tcW w:type="dxa" w:w="2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平台与算力（NVIDIA）</w:t>
            </w:r>
          </w:p>
        </w:tc>
        <w:tc>
          <w:tcPr>
            <w:tcW w:type="dxa" w:w="28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高利润，具身只是其中一小部分</w:t>
            </w:r>
          </w:p>
        </w:tc>
        <w:tc>
          <w:tcPr>
            <w:tcW w:type="dxa" w:w="21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芯片、工具链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</w:t>
            </w:r>
          </w:p>
        </w:tc>
      </w:tr>
      <w:tr>
        <w:trPr>
          <w:cantSplit w:val="false"/>
          <w:tblHeader w:val="false"/>
        </w:trPr>
        <w:tc>
          <w:tcPr>
            <w:tcW w:type="dxa" w:w="2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资本中介（投行、二级市场）</w:t>
            </w:r>
          </w:p>
        </w:tc>
        <w:tc>
          <w:tcPr>
            <w:tcW w:type="dxa" w:w="28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IPO 与配售收入</w:t>
            </w:r>
          </w:p>
        </w:tc>
        <w:tc>
          <w:tcPr>
            <w:tcW w:type="dxa" w:w="21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估值溢价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周期性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核心结论</w:t>
      </w:r>
      <w:r>
        <w:t xml:space="preserve">：</w:t>
      </w:r>
      <w:r>
        <w:rPr>
          <w:b/>
          <w:bCs/>
        </w:rPr>
        <w:t xml:space="preserve">2026 年具身智能的利润，主要来自"非 ROI 型需求 + 中国成本优势"的组合，以及与人形无关的成熟机器人业务</w:t>
      </w:r>
      <w:r>
        <w:t xml:space="preserve">。真正的"劳动替代利润池"还没有形成。</w:t>
      </w:r>
    </w:p>
    <w:p>
      <w:pPr>
        <w:pStyle w:val="Heading2"/>
      </w:pPr>
      <w:bookmarkStart w:name="bm64" w:id="1064"/>
      <w:r>
        <w:t xml:space="preserve">7.2 2030 年利润池可能怎样迁移（基准情景）</w:t>
      </w:r>
      <w:bookmarkEnd w:id="106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944"/>
        <w:gridCol w:w="2834"/>
        <w:gridCol w:w="4160"/>
      </w:tblGrid>
      <w:tr>
        <w:trPr>
          <w:cantSplit w:val="false"/>
          <w:tblHeader/>
        </w:trPr>
        <w:tc>
          <w:tcPr>
            <w:tcW w:type="dxa" w:w="17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环节</w:t>
            </w:r>
          </w:p>
        </w:tc>
        <w:tc>
          <w:tcPr>
            <w:tcW w:type="dxa" w:w="9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2026</w:t>
            </w:r>
          </w:p>
        </w:tc>
        <w:tc>
          <w:tcPr>
            <w:tcW w:type="dxa" w:w="283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2030（基准情景判断）</w:t>
            </w:r>
          </w:p>
        </w:tc>
        <w:tc>
          <w:tcPr>
            <w:tcW w:type="dxa" w:w="41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迁移逻辑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科研教育整机</w:t>
            </w:r>
          </w:p>
        </w:tc>
        <w:tc>
          <w:tcPr>
            <w:tcW w:type="dxa" w:w="9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主要利润池</w:t>
            </w:r>
          </w:p>
        </w:tc>
        <w:tc>
          <w:tcPr>
            <w:tcW w:type="dxa" w:w="283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占比下降，价格战</w:t>
            </w:r>
          </w:p>
        </w:tc>
        <w:tc>
          <w:tcPr>
            <w:tcW w:type="dxa" w:w="41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市场饱和、低价竞争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工业与物流整机</w:t>
            </w:r>
          </w:p>
        </w:tc>
        <w:tc>
          <w:tcPr>
            <w:tcW w:type="dxa" w:w="9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亏损</w:t>
            </w:r>
          </w:p>
        </w:tc>
        <w:tc>
          <w:tcPr>
            <w:tcW w:type="dxa" w:w="283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头部 3–5 家盈利，其余出清</w:t>
            </w:r>
          </w:p>
        </w:tc>
        <w:tc>
          <w:tcPr>
            <w:tcW w:type="dxa" w:w="41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规模经济集中于头部（学习曲线需要单一企业 20 万台级累计）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精密部件</w:t>
            </w:r>
          </w:p>
        </w:tc>
        <w:tc>
          <w:tcPr>
            <w:tcW w:type="dxa" w:w="9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小而盈利</w:t>
            </w:r>
          </w:p>
        </w:tc>
        <w:tc>
          <w:tcPr>
            <w:tcW w:type="dxa" w:w="283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扩大</w:t>
            </w:r>
            <w:r>
              <w:rPr>
                <w:sz w:val="16"/>
                <w:szCs w:val="16"/>
              </w:rPr>
              <w:t xml:space="preserve">，但标准件毛利下降</w:t>
            </w:r>
          </w:p>
        </w:tc>
        <w:tc>
          <w:tcPr>
            <w:tcW w:type="dxa" w:w="41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用量放大；工艺壁垒件保持溢价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灵巧手加触觉</w:t>
            </w:r>
          </w:p>
        </w:tc>
        <w:tc>
          <w:tcPr>
            <w:tcW w:type="dxa" w:w="9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小</w:t>
            </w:r>
          </w:p>
        </w:tc>
        <w:tc>
          <w:tcPr>
            <w:tcW w:type="dxa" w:w="283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高端扩大，低端商品化</w:t>
            </w:r>
          </w:p>
        </w:tc>
        <w:tc>
          <w:tcPr>
            <w:tcW w:type="dxa" w:w="41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操作能力决定价值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基础模型</w:t>
            </w:r>
          </w:p>
        </w:tc>
        <w:tc>
          <w:tcPr>
            <w:tcW w:type="dxa" w:w="9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亏损</w:t>
            </w:r>
          </w:p>
        </w:tc>
        <w:tc>
          <w:tcPr>
            <w:tcW w:type="dxa" w:w="283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分化：2–3 家平台化，其余被并购</w:t>
            </w:r>
          </w:p>
        </w:tc>
        <w:tc>
          <w:tcPr>
            <w:tcW w:type="dxa" w:w="41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开源压缩溢价；绑定渠道者胜出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场景解决方案与集成</w:t>
            </w:r>
          </w:p>
        </w:tc>
        <w:tc>
          <w:tcPr>
            <w:tcW w:type="dxa" w:w="9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小</w:t>
            </w:r>
          </w:p>
        </w:tc>
        <w:tc>
          <w:tcPr>
            <w:tcW w:type="dxa" w:w="283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扩大</w:t>
            </w:r>
          </w:p>
        </w:tc>
        <w:tc>
          <w:tcPr>
            <w:tcW w:type="dxa" w:w="41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部署复杂度高，客户为"可用率"付费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运维、RaaS 与金融</w:t>
            </w:r>
          </w:p>
        </w:tc>
        <w:tc>
          <w:tcPr>
            <w:tcW w:type="dxa" w:w="9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极小</w:t>
            </w:r>
          </w:p>
        </w:tc>
        <w:tc>
          <w:tcPr>
            <w:tcW w:type="dxa" w:w="283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出现</w:t>
            </w:r>
          </w:p>
        </w:tc>
        <w:tc>
          <w:tcPr>
            <w:tcW w:type="dxa" w:w="41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存量机器人规模化以后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数据服务</w:t>
            </w:r>
          </w:p>
        </w:tc>
        <w:tc>
          <w:tcPr>
            <w:tcW w:type="dxa" w:w="9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补贴驱动</w:t>
            </w:r>
          </w:p>
        </w:tc>
        <w:tc>
          <w:tcPr>
            <w:tcW w:type="dxa" w:w="283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工具化或商品化</w:t>
            </w:r>
          </w:p>
        </w:tc>
        <w:tc>
          <w:tcPr>
            <w:tcW w:type="dxa" w:w="41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供给扩张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65" w:id="1065"/>
      <w:r>
        <w:t xml:space="preserve">7.3 七类参与者的商业模式与价值获取能力</w:t>
      </w:r>
      <w:bookmarkEnd w:id="106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9"/>
        <w:gridCol w:w="1245"/>
        <w:gridCol w:w="1835"/>
        <w:gridCol w:w="1180"/>
        <w:gridCol w:w="1311"/>
        <w:gridCol w:w="1704"/>
        <w:gridCol w:w="1314"/>
      </w:tblGrid>
      <w:tr>
        <w:trPr>
          <w:cantSplit w:val="false"/>
          <w:tblHeader/>
        </w:trPr>
        <w:tc>
          <w:tcPr>
            <w:tcW w:type="dxa" w:w="10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参与者</w:t>
            </w:r>
          </w:p>
        </w:tc>
        <w:tc>
          <w:tcPr>
            <w:tcW w:type="dxa" w:w="1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商业模式</w:t>
            </w:r>
          </w:p>
        </w:tc>
        <w:tc>
          <w:tcPr>
            <w:tcW w:type="dxa" w:w="18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毛利潜力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规模效应</w:t>
            </w:r>
          </w:p>
        </w:tc>
        <w:tc>
          <w:tcPr>
            <w:tcW w:type="dxa" w:w="131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客户锁定</w:t>
            </w:r>
          </w:p>
        </w:tc>
        <w:tc>
          <w:tcPr>
            <w:tcW w:type="dxa" w:w="17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被替代或挤压的风险</w:t>
            </w:r>
          </w:p>
        </w:tc>
        <w:tc>
          <w:tcPr>
            <w:tcW w:type="dxa" w:w="1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价值获取能力（判断）</w:t>
            </w:r>
          </w:p>
        </w:tc>
      </w:tr>
      <w:tr>
        <w:trPr>
          <w:cantSplit w:val="false"/>
          <w:tblHeader w:val="false"/>
        </w:trPr>
        <w:tc>
          <w:tcPr>
            <w:tcW w:type="dxa" w:w="10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基础模型公司</w:t>
            </w:r>
          </w:p>
        </w:tc>
        <w:tc>
          <w:tcPr>
            <w:tcW w:type="dxa" w:w="1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授权、API、联合开发</w:t>
            </w:r>
          </w:p>
        </w:tc>
        <w:tc>
          <w:tcPr>
            <w:tcW w:type="dxa" w:w="18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高（软件）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强（若有数据飞轮）</w:t>
            </w:r>
          </w:p>
        </w:tc>
        <w:tc>
          <w:tcPr>
            <w:tcW w:type="dxa" w:w="131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弱（可替换）</w:t>
            </w:r>
          </w:p>
        </w:tc>
        <w:tc>
          <w:tcPr>
            <w:tcW w:type="dxa" w:w="17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4"/>
                <w:szCs w:val="14"/>
              </w:rPr>
              <w:t xml:space="preserve">高</w:t>
            </w:r>
            <w:r>
              <w:rPr>
                <w:sz w:val="14"/>
                <w:szCs w:val="14"/>
              </w:rPr>
              <w:t xml:space="preserve">（开源、大厂、整机自研）</w:t>
            </w:r>
          </w:p>
        </w:tc>
        <w:tc>
          <w:tcPr>
            <w:tcW w:type="dxa" w:w="1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不确定</w:t>
            </w:r>
          </w:p>
        </w:tc>
      </w:tr>
      <w:tr>
        <w:trPr>
          <w:cantSplit w:val="false"/>
          <w:tblHeader w:val="false"/>
        </w:trPr>
        <w:tc>
          <w:tcPr>
            <w:tcW w:type="dxa" w:w="10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数据公司</w:t>
            </w:r>
          </w:p>
        </w:tc>
        <w:tc>
          <w:tcPr>
            <w:tcW w:type="dxa" w:w="1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按小时或项目计费</w:t>
            </w:r>
          </w:p>
        </w:tc>
        <w:tc>
          <w:tcPr>
            <w:tcW w:type="dxa" w:w="18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弱</w:t>
            </w:r>
          </w:p>
        </w:tc>
        <w:tc>
          <w:tcPr>
            <w:tcW w:type="dxa" w:w="131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弱</w:t>
            </w:r>
          </w:p>
        </w:tc>
        <w:tc>
          <w:tcPr>
            <w:tcW w:type="dxa" w:w="17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高</w:t>
            </w:r>
          </w:p>
        </w:tc>
        <w:tc>
          <w:tcPr>
            <w:tcW w:type="dxa" w:w="1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</w:t>
            </w:r>
          </w:p>
        </w:tc>
      </w:tr>
      <w:tr>
        <w:trPr>
          <w:cantSplit w:val="false"/>
          <w:tblHeader w:val="false"/>
        </w:trPr>
        <w:tc>
          <w:tcPr>
            <w:tcW w:type="dxa" w:w="10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核心零部件公司</w:t>
            </w:r>
          </w:p>
        </w:tc>
        <w:tc>
          <w:tcPr>
            <w:tcW w:type="dxa" w:w="1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部件销售</w:t>
            </w:r>
          </w:p>
        </w:tc>
        <w:tc>
          <w:tcPr>
            <w:tcW w:type="dxa" w:w="18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中（工艺件高）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强</w:t>
            </w:r>
          </w:p>
        </w:tc>
        <w:tc>
          <w:tcPr>
            <w:tcW w:type="dxa" w:w="131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中（定点认证周期长）</w:t>
            </w:r>
          </w:p>
        </w:tc>
        <w:tc>
          <w:tcPr>
            <w:tcW w:type="dxa" w:w="17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中（Tier1/整机自制）</w:t>
            </w:r>
          </w:p>
        </w:tc>
        <w:tc>
          <w:tcPr>
            <w:tcW w:type="dxa" w:w="1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中高（工艺件）</w:t>
            </w:r>
          </w:p>
        </w:tc>
      </w:tr>
      <w:tr>
        <w:trPr>
          <w:cantSplit w:val="false"/>
          <w:tblHeader w:val="false"/>
        </w:trPr>
        <w:tc>
          <w:tcPr>
            <w:tcW w:type="dxa" w:w="10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整机企业</w:t>
            </w:r>
          </w:p>
        </w:tc>
        <w:tc>
          <w:tcPr>
            <w:tcW w:type="dxa" w:w="1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销售、租赁、RaaS</w:t>
            </w:r>
          </w:p>
        </w:tc>
        <w:tc>
          <w:tcPr>
            <w:tcW w:type="dxa" w:w="18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中（科研市场高，工业市场低）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强（学习曲线）</w:t>
            </w:r>
          </w:p>
        </w:tc>
        <w:tc>
          <w:tcPr>
            <w:tcW w:type="dxa" w:w="131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</w:t>
            </w:r>
          </w:p>
        </w:tc>
        <w:tc>
          <w:tcPr>
            <w:tcW w:type="dxa" w:w="17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中（价格战）</w:t>
            </w:r>
          </w:p>
        </w:tc>
        <w:tc>
          <w:tcPr>
            <w:tcW w:type="dxa" w:w="1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头部高、尾部低</w:t>
            </w:r>
          </w:p>
        </w:tc>
      </w:tr>
      <w:tr>
        <w:trPr>
          <w:cantSplit w:val="false"/>
          <w:tblHeader w:val="false"/>
        </w:trPr>
        <w:tc>
          <w:tcPr>
            <w:tcW w:type="dxa" w:w="10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系统集成商</w:t>
            </w:r>
          </w:p>
        </w:tc>
        <w:tc>
          <w:tcPr>
            <w:tcW w:type="dxa" w:w="1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项目制</w:t>
            </w:r>
          </w:p>
        </w:tc>
        <w:tc>
          <w:tcPr>
            <w:tcW w:type="dxa" w:w="18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中低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弱</w:t>
            </w:r>
          </w:p>
        </w:tc>
        <w:tc>
          <w:tcPr>
            <w:tcW w:type="dxa" w:w="131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强（现场 know-how）</w:t>
            </w:r>
          </w:p>
        </w:tc>
        <w:tc>
          <w:tcPr>
            <w:tcW w:type="dxa" w:w="17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</w:t>
            </w:r>
          </w:p>
        </w:tc>
        <w:tc>
          <w:tcPr>
            <w:tcW w:type="dxa" w:w="1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10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运营服务商</w:t>
            </w:r>
          </w:p>
        </w:tc>
        <w:tc>
          <w:tcPr>
            <w:tcW w:type="dxa" w:w="1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RaaS、运维</w:t>
            </w:r>
          </w:p>
        </w:tc>
        <w:tc>
          <w:tcPr>
            <w:tcW w:type="dxa" w:w="18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</w:t>
            </w:r>
          </w:p>
        </w:tc>
        <w:tc>
          <w:tcPr>
            <w:tcW w:type="dxa" w:w="131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强（合同期）</w:t>
            </w:r>
          </w:p>
        </w:tc>
        <w:tc>
          <w:tcPr>
            <w:tcW w:type="dxa" w:w="17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</w:t>
            </w:r>
          </w:p>
        </w:tc>
        <w:tc>
          <w:tcPr>
            <w:tcW w:type="dxa" w:w="1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10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场景解决方案公司</w:t>
            </w:r>
          </w:p>
        </w:tc>
        <w:tc>
          <w:tcPr>
            <w:tcW w:type="dxa" w:w="12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按结果计费</w:t>
            </w:r>
          </w:p>
        </w:tc>
        <w:tc>
          <w:tcPr>
            <w:tcW w:type="dxa" w:w="18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中高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中（同场景复制）</w:t>
            </w:r>
          </w:p>
        </w:tc>
        <w:tc>
          <w:tcPr>
            <w:tcW w:type="dxa" w:w="131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4"/>
                <w:szCs w:val="14"/>
              </w:rPr>
              <w:t xml:space="preserve">强</w:t>
            </w:r>
          </w:p>
        </w:tc>
        <w:tc>
          <w:tcPr>
            <w:tcW w:type="dxa" w:w="17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低到中</w:t>
            </w:r>
          </w:p>
        </w:tc>
        <w:tc>
          <w:tcPr>
            <w:tcW w:type="dxa" w:w="1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4"/>
                <w:szCs w:val="14"/>
              </w:rPr>
              <w:t xml:space="preserve">高（若任务闭环）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66" w:id="1066"/>
      <w:r>
        <w:t xml:space="preserve">7.4 壁垒的真伪：哪些可持续，哪些只是早期的信息差或融资优势</w:t>
      </w:r>
      <w:bookmarkEnd w:id="106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0"/>
        <w:gridCol w:w="2255"/>
        <w:gridCol w:w="4513"/>
      </w:tblGrid>
      <w:tr>
        <w:trPr>
          <w:cantSplit w:val="false"/>
          <w:tblHeader/>
        </w:trPr>
        <w:tc>
          <w:tcPr>
            <w:tcW w:type="dxa" w:w="28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宣称的壁垒</w:t>
            </w:r>
          </w:p>
        </w:tc>
        <w:tc>
          <w:tcPr>
            <w:tcW w:type="dxa" w:w="22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真伪判断</w:t>
            </w:r>
          </w:p>
        </w:tc>
        <w:tc>
          <w:tcPr>
            <w:tcW w:type="dxa" w:w="45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理由</w:t>
            </w:r>
          </w:p>
        </w:tc>
      </w:tr>
      <w:tr>
        <w:trPr>
          <w:cantSplit w:val="false"/>
          <w:tblHeader w:val="false"/>
        </w:trPr>
        <w:tc>
          <w:tcPr>
            <w:tcW w:type="dxa" w:w="28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"我们的模型在某个榜单第一"</w:t>
            </w:r>
          </w:p>
        </w:tc>
        <w:tc>
          <w:tcPr>
            <w:tcW w:type="dxa" w:w="22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多为假壁垒</w:t>
            </w:r>
          </w:p>
        </w:tc>
        <w:tc>
          <w:tcPr>
            <w:tcW w:type="dxa" w:w="45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榜单碎片化、可被操纵，开源追赶周期 6–12 个月</w:t>
            </w:r>
          </w:p>
        </w:tc>
      </w:tr>
      <w:tr>
        <w:trPr>
          <w:cantSplit w:val="false"/>
          <w:tblHeader w:val="false"/>
        </w:trPr>
        <w:tc>
          <w:tcPr>
            <w:tcW w:type="dxa" w:w="28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"我们有 X 万小时数据"</w:t>
            </w:r>
          </w:p>
        </w:tc>
        <w:tc>
          <w:tcPr>
            <w:tcW w:type="dxa" w:w="22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多为假壁垒</w:t>
            </w:r>
          </w:p>
        </w:tc>
        <w:tc>
          <w:tcPr>
            <w:tcW w:type="dxa" w:w="45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口径不一，便宜数据商品化；只有部署回流数据是真壁垒</w:t>
            </w:r>
          </w:p>
        </w:tc>
      </w:tr>
      <w:tr>
        <w:trPr>
          <w:cantSplit w:val="false"/>
          <w:tblHeader w:val="false"/>
        </w:trPr>
        <w:tc>
          <w:tcPr>
            <w:tcW w:type="dxa" w:w="28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"我们融资最多"</w:t>
            </w:r>
          </w:p>
        </w:tc>
        <w:tc>
          <w:tcPr>
            <w:tcW w:type="dxa" w:w="22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暂时优势</w:t>
            </w:r>
          </w:p>
        </w:tc>
        <w:tc>
          <w:tcPr>
            <w:tcW w:type="dxa" w:w="45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只能换来时间；如果不能转化成部署，估值反而是负担</w:t>
            </w:r>
          </w:p>
        </w:tc>
      </w:tr>
      <w:tr>
        <w:trPr>
          <w:cantSplit w:val="false"/>
          <w:tblHeader w:val="false"/>
        </w:trPr>
        <w:tc>
          <w:tcPr>
            <w:tcW w:type="dxa" w:w="28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"我们出货量第一"</w:t>
            </w:r>
          </w:p>
        </w:tc>
        <w:tc>
          <w:tcPr>
            <w:tcW w:type="dxa" w:w="22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部分真壁垒</w:t>
            </w:r>
          </w:p>
        </w:tc>
        <w:tc>
          <w:tcPr>
            <w:tcW w:type="dxa" w:w="45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带来学习曲线和数据回流，但要看出货流向（科研还是生产）</w:t>
            </w:r>
          </w:p>
        </w:tc>
      </w:tr>
      <w:tr>
        <w:trPr>
          <w:cantSplit w:val="false"/>
          <w:tblHeader w:val="false"/>
        </w:trPr>
        <w:tc>
          <w:tcPr>
            <w:tcW w:type="dxa" w:w="28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"我们有顶级学术团队"</w:t>
            </w:r>
          </w:p>
        </w:tc>
        <w:tc>
          <w:tcPr>
            <w:tcW w:type="dxa" w:w="22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暂时优势</w:t>
            </w:r>
          </w:p>
        </w:tc>
        <w:tc>
          <w:tcPr>
            <w:tcW w:type="dxa" w:w="45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工程化与交付能力才是 2026 年以后的瓶颈</w:t>
            </w:r>
          </w:p>
        </w:tc>
      </w:tr>
      <w:tr>
        <w:trPr>
          <w:cantSplit w:val="false"/>
          <w:tblHeader w:val="false"/>
        </w:trPr>
        <w:tc>
          <w:tcPr>
            <w:tcW w:type="dxa" w:w="28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"我们与某大客户签了框架协议"</w:t>
            </w:r>
          </w:p>
        </w:tc>
        <w:tc>
          <w:tcPr>
            <w:tcW w:type="dxa" w:w="22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多为假壁垒</w:t>
            </w:r>
          </w:p>
        </w:tc>
        <w:tc>
          <w:tcPr>
            <w:tcW w:type="dxa" w:w="45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框架协议约束力弱（第九篇）</w:t>
            </w:r>
          </w:p>
        </w:tc>
      </w:tr>
      <w:tr>
        <w:trPr>
          <w:cantSplit w:val="false"/>
          <w:tblHeader w:val="false"/>
        </w:trPr>
        <w:tc>
          <w:tcPr>
            <w:tcW w:type="dxa" w:w="28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精密部件的工艺与良率</w:t>
            </w:r>
          </w:p>
        </w:tc>
        <w:tc>
          <w:tcPr>
            <w:tcW w:type="dxa" w:w="22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真壁垒</w:t>
            </w:r>
          </w:p>
        </w:tc>
        <w:tc>
          <w:tcPr>
            <w:tcW w:type="dxa" w:w="45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设备、工艺和寿命数据需要多年积累</w:t>
            </w:r>
          </w:p>
        </w:tc>
      </w:tr>
      <w:tr>
        <w:trPr>
          <w:cantSplit w:val="false"/>
          <w:tblHeader w:val="false"/>
        </w:trPr>
        <w:tc>
          <w:tcPr>
            <w:tcW w:type="dxa" w:w="28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场景的部署密度与运维网络</w:t>
            </w:r>
          </w:p>
        </w:tc>
        <w:tc>
          <w:tcPr>
            <w:tcW w:type="dxa" w:w="22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真壁垒</w:t>
            </w:r>
          </w:p>
        </w:tc>
        <w:tc>
          <w:tcPr>
            <w:tcW w:type="dxa" w:w="45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客户的转换成本高，数据飞轮真实存在</w:t>
            </w:r>
          </w:p>
        </w:tc>
      </w:tr>
      <w:tr>
        <w:trPr>
          <w:cantSplit w:val="false"/>
          <w:tblHeader w:val="false"/>
        </w:trPr>
        <w:tc>
          <w:tcPr>
            <w:tcW w:type="dxa" w:w="28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软硬件一体化的系统工程能力</w:t>
            </w:r>
          </w:p>
        </w:tc>
        <w:tc>
          <w:tcPr>
            <w:tcW w:type="dxa" w:w="22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真壁垒</w:t>
            </w:r>
          </w:p>
        </w:tc>
        <w:tc>
          <w:tcPr>
            <w:tcW w:type="dxa" w:w="45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需要跨学科组织长期磨合</w:t>
            </w:r>
          </w:p>
        </w:tc>
      </w:tr>
      <w:tr>
        <w:trPr>
          <w:cantSplit w:val="false"/>
          <w:tblHeader w:val="false"/>
        </w:trPr>
        <w:tc>
          <w:tcPr>
            <w:tcW w:type="dxa" w:w="28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渠道与政府关系</w:t>
            </w:r>
          </w:p>
        </w:tc>
        <w:tc>
          <w:tcPr>
            <w:tcW w:type="dxa" w:w="22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暂时优势（有政策周期）</w:t>
            </w:r>
          </w:p>
        </w:tc>
        <w:tc>
          <w:tcPr>
            <w:tcW w:type="dxa" w:w="451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政策订单具有一次性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67" w:id="1067"/>
      <w:r>
        <w:t xml:space="preserve">7.5 标准化、议价权与市场结构</w:t>
      </w:r>
      <w:bookmarkEnd w:id="1067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标准化</w:t>
      </w:r>
      <w:r>
        <w:t xml:space="preserve">：工信部标委会 2025 年 12 月成立，2026 年发布了标准体系〔B，S20〕。标准会先在安全、接口和测试方法上落地，</w:t>
      </w:r>
      <w:r>
        <w:rPr>
          <w:b/>
          <w:bCs/>
        </w:rPr>
        <w:t xml:space="preserve">接口标准化会削弱整机对零部件的锁定，提升零部件供应商的规模效应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上下游议价权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当下，整机企业对标准件拥有压价能力，因为供给过剩；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对精密件（丝杠、高端手、六维力），议价权偏向供应商；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对大客户（车企、物流巨头），整机企业几乎没有议价权。客户可以同时比选十几家，并要求免费试点。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市场结构预测</w:t>
      </w:r>
      <w:r>
        <w:t xml:space="preserve">〔D〕：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整机层：在 2028–2030 年走向"3–5 家全国性头部 + 若干场景专精者"，出货 CR5 保持在 80% 以上；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模型层：在中国大概率被大厂开源模型和整机自研挤压，独立模型公司只剩 2–3 家能够平台化；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精密部件层：每个品类形成 2–4 家寡头。</w:t>
      </w:r>
    </w:p>
    <w:p>
      <w:pPr>
        <w:pStyle w:val="Heading2"/>
      </w:pPr>
      <w:bookmarkStart w:name="bm68" w:id="1068"/>
      <w:r>
        <w:t xml:space="preserve">7.6 垂直整合还是专业分工</w:t>
      </w:r>
      <w:bookmarkEnd w:id="106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2"/>
        <w:gridCol w:w="1253"/>
        <w:gridCol w:w="3134"/>
        <w:gridCol w:w="3449"/>
      </w:tblGrid>
      <w:tr>
        <w:trPr>
          <w:cantSplit w:val="false"/>
          <w:tblHeader/>
        </w:trPr>
        <w:tc>
          <w:tcPr>
            <w:tcW w:type="dxa" w:w="180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阶段</w:t>
            </w:r>
          </w:p>
        </w:tc>
        <w:tc>
          <w:tcPr>
            <w:tcW w:type="dxa" w:w="12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主导模式</w:t>
            </w:r>
          </w:p>
        </w:tc>
        <w:tc>
          <w:tcPr>
            <w:tcW w:type="dxa" w:w="313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原因</w:t>
            </w:r>
          </w:p>
        </w:tc>
        <w:tc>
          <w:tcPr>
            <w:tcW w:type="dxa" w:w="34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证据</w:t>
            </w:r>
          </w:p>
        </w:tc>
      </w:tr>
      <w:tr>
        <w:trPr>
          <w:cantSplit w:val="false"/>
          <w:tblHeader w:val="false"/>
        </w:trPr>
        <w:tc>
          <w:tcPr>
            <w:tcW w:type="dxa" w:w="180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2024–2028（技术未收敛）</w:t>
            </w:r>
          </w:p>
        </w:tc>
        <w:tc>
          <w:tcPr>
            <w:tcW w:type="dxa" w:w="12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垂直整合</w:t>
            </w:r>
          </w:p>
        </w:tc>
        <w:tc>
          <w:tcPr>
            <w:tcW w:type="dxa" w:w="313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性能与成本需要软硬件协同优化，接口不稳定</w:t>
            </w:r>
          </w:p>
        </w:tc>
        <w:tc>
          <w:tcPr>
            <w:tcW w:type="dxa" w:w="34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特斯拉、宇树自研关节；Figure 自研 Helix 并结束外部模型合作；现代自产执行器〔B，S41〕</w:t>
            </w:r>
          </w:p>
        </w:tc>
      </w:tr>
      <w:tr>
        <w:trPr>
          <w:cantSplit w:val="false"/>
          <w:tblHeader w:val="false"/>
        </w:trPr>
        <w:tc>
          <w:tcPr>
            <w:tcW w:type="dxa" w:w="180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2029 年以后（技术收敛）</w:t>
            </w:r>
          </w:p>
        </w:tc>
        <w:tc>
          <w:tcPr>
            <w:tcW w:type="dxa" w:w="12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专业分工重新出现</w:t>
            </w:r>
          </w:p>
        </w:tc>
        <w:tc>
          <w:tcPr>
            <w:tcW w:type="dxa" w:w="313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接口标准化，规模经济大于协同收益</w:t>
            </w:r>
          </w:p>
        </w:tc>
        <w:tc>
          <w:tcPr>
            <w:tcW w:type="dxa" w:w="34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类比 PC 和智能手机产业的演进（推断）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投资含义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在 2028 年前投资中游"通用部件"或"通用模型"的创业公司，需要在估值里扣除</w:t>
      </w:r>
      <w:r>
        <w:rPr>
          <w:b/>
          <w:bCs/>
        </w:rPr>
        <w:t xml:space="preserve">被客户纵向整合的概率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2029 年以后，标准化部件和平台型软件的机会会更好。</w:t>
      </w:r>
    </w:p>
    <w:p>
      <w:pPr>
        <w:pStyle w:val="Heading2"/>
      </w:pPr>
      <w:bookmarkStart w:name="bm69" w:id="1069"/>
      <w:r>
        <w:t xml:space="preserve">7.7 反证检查</w:t>
      </w:r>
      <w:bookmarkEnd w:id="1069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如果出现开放的、被多家整机采用的"机器人 Android"，例如 NVIDIA 加某个开源模型生态，价值就会向平台集中，整机企业沦为"组装厂"。领先指标是：头部整机企业采用第三方模型的比例。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如果特斯拉以垂直整合方式实现百万台级量产，全球利润池可能被单一企业捕获，就像电动车早期那样。这时独立零部件企业和其他整机企业都会承压。</w:t>
      </w:r>
    </w:p>
    <w:p>
      <w:pPr>
        <w:pStyle w:val="Heading1"/>
        <w:pageBreakBefore/>
      </w:pPr>
      <w:bookmarkStart w:name="bm70" w:id="1070"/>
      <w:r>
        <w:t xml:space="preserve">第八篇　全球与中国竞争格局、代表公司与动态身位</w:t>
      </w:r>
      <w:bookmarkEnd w:id="1070"/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全部 64 家企业和机构的图谱见附录 1 与数据底表 01。本篇对最重要的 14 家（组）做深入分析，并建立一个可解释的竞争身位矩阵。</w:t>
      </w:r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原则：</w:t>
      </w:r>
      <w:r>
        <w:rPr>
          <w:b/>
          <w:bCs/>
          <w:color w:val="3A3F4A"/>
          <w:sz w:val="18"/>
          <w:szCs w:val="18"/>
        </w:rPr>
        <w:t xml:space="preserve">不按融资规模、论文数量或宣传视频排名</w:t>
      </w:r>
      <w:r>
        <w:rPr>
          <w:color w:val="3A3F4A"/>
          <w:sz w:val="18"/>
          <w:szCs w:val="18"/>
        </w:rPr>
        <w:t xml:space="preserve">。每家公司的信息分为三类：公司披露、第三方验证、研究推断。</w:t>
      </w:r>
    </w:p>
    <w:p>
      <w:pPr>
        <w:spacing w:after="40" w:before="120"/>
        <w:jc w:val="center"/>
      </w:pPr>
      <w:r>
        <w:drawing>
          <wp:inline distT="0" distB="0" distL="0" distR="0">
            <wp:extent cx="6000750" cy="2847975"/>
            <wp:effectExtent t="0" r="0" b="0" l="0"/>
            <wp:docPr id="1" name="2026H1 全球人形出货厂商份额" descr="2026H1 全球人形出货厂商份额" title="2026H1 全球人形出货厂商份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14E"/>
          <w:sz w:val="18"/>
          <w:szCs w:val="18"/>
        </w:rPr>
        <w:t xml:space="preserve">图 5　2026H1 全球人形出货厂商份额</w:t>
      </w:r>
    </w:p>
    <w:p>
      <w:pPr>
        <w:pStyle w:val="Heading2"/>
      </w:pPr>
      <w:bookmarkStart w:name="bm71" w:id="1071"/>
      <w:r>
        <w:t xml:space="preserve">8.1 竞争身位矩阵（1–5 分，研究判断〔D〕）</w:t>
      </w:r>
      <w:bookmarkEnd w:id="107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20"/>
        <w:gridCol w:w="749"/>
        <w:gridCol w:w="910"/>
        <w:gridCol w:w="1820"/>
        <w:gridCol w:w="696"/>
        <w:gridCol w:w="749"/>
        <w:gridCol w:w="1070"/>
        <w:gridCol w:w="1824"/>
      </w:tblGrid>
      <w:tr>
        <w:trPr>
          <w:cantSplit w:val="false"/>
          <w:tblHeader/>
        </w:trPr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公司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技术与系统能力</w:t>
            </w:r>
          </w:p>
        </w:tc>
        <w:tc>
          <w:tcPr>
            <w:tcW w:type="dxa" w:w="9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硬件与制造</w:t>
            </w:r>
          </w:p>
        </w:tc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商业化证据（收入质量）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资本实力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数据与部署规模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当前阶段</w:t>
            </w:r>
          </w:p>
        </w:tc>
        <w:tc>
          <w:tcPr>
            <w:tcW w:type="dxa" w:w="18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一句话身位</w:t>
            </w:r>
          </w:p>
        </w:tc>
      </w:tr>
      <w:tr>
        <w:trPr>
          <w:cantSplit w:val="false"/>
          <w:tblHeader w:val="false"/>
        </w:trPr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3.5</w:t>
            </w:r>
          </w:p>
        </w:tc>
        <w:tc>
          <w:tcPr>
            <w:tcW w:type="dxa" w:w="9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4"/>
                <w:szCs w:val="14"/>
              </w:rPr>
              <w:t xml:space="preserve">4.5</w:t>
            </w:r>
            <w:r>
              <w:rPr>
                <w:sz w:val="14"/>
                <w:szCs w:val="14"/>
              </w:rPr>
              <w:t xml:space="preserve">（盈利、非 ROI 型）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5（上市）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科研市场 L5、工业 L3</w:t>
            </w:r>
          </w:p>
        </w:tc>
        <w:tc>
          <w:tcPr>
            <w:tcW w:type="dxa" w:w="18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全球成本与出货标杆，面临"从工具到劳动力"的转型考验</w:t>
            </w:r>
          </w:p>
        </w:tc>
      </w:tr>
      <w:tr>
        <w:trPr>
          <w:cantSplit w:val="false"/>
          <w:tblHeader w:val="false"/>
        </w:trPr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9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3.5（收入快增，结构未审计）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4.5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4"/>
                <w:szCs w:val="14"/>
              </w:rPr>
              <w:t xml:space="preserve">4.5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L3–L4</w:t>
            </w:r>
          </w:p>
        </w:tc>
        <w:tc>
          <w:tcPr>
            <w:tcW w:type="dxa" w:w="18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出货第一、产品线最全的平台型选手，收入质量待验证</w:t>
            </w:r>
          </w:p>
        </w:tc>
      </w:tr>
      <w:tr>
        <w:trPr>
          <w:cantSplit w:val="false"/>
          <w:tblHeader w:val="false"/>
        </w:trPr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优必选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9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3（收入大但依赖政府项目、亏损）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4（港股）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L3–L4</w:t>
            </w:r>
          </w:p>
        </w:tc>
        <w:tc>
          <w:tcPr>
            <w:tcW w:type="dxa" w:w="18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工业人形"政企渠道"型选手</w:t>
            </w:r>
          </w:p>
        </w:tc>
      </w:tr>
      <w:tr>
        <w:trPr>
          <w:cantSplit w:val="false"/>
          <w:tblHeader w:val="false"/>
        </w:trPr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银河通用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3.5</w:t>
            </w:r>
          </w:p>
        </w:tc>
        <w:tc>
          <w:tcPr>
            <w:tcW w:type="dxa" w:w="9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3.5</w:t>
            </w:r>
          </w:p>
        </w:tc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3（关联方质疑）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4.5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3.5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</w:t>
            </w:r>
          </w:p>
        </w:tc>
        <w:tc>
          <w:tcPr>
            <w:tcW w:type="dxa" w:w="18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轮式双臂与零售场景的代表</w:t>
            </w:r>
          </w:p>
        </w:tc>
      </w:tr>
      <w:tr>
        <w:trPr>
          <w:cantSplit w:val="false"/>
          <w:tblHeader w:val="false"/>
        </w:trPr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云深处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9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4"/>
                <w:szCs w:val="14"/>
              </w:rPr>
              <w:t xml:space="preserve">4.5</w:t>
            </w:r>
            <w:r>
              <w:rPr>
                <w:sz w:val="14"/>
                <w:szCs w:val="14"/>
              </w:rPr>
              <w:t xml:space="preserve">（盈利、国企复购）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3.5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</w:t>
            </w:r>
          </w:p>
        </w:tc>
        <w:tc>
          <w:tcPr>
            <w:tcW w:type="dxa" w:w="18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特种场景闭环样本</w:t>
            </w:r>
          </w:p>
        </w:tc>
      </w:tr>
      <w:tr>
        <w:trPr>
          <w:cantSplit w:val="false"/>
          <w:tblHeader w:val="false"/>
        </w:trPr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特斯拉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4.5</w:t>
            </w:r>
          </w:p>
        </w:tc>
        <w:tc>
          <w:tcPr>
            <w:tcW w:type="dxa" w:w="9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4（尚未量产验证）</w:t>
            </w:r>
          </w:p>
        </w:tc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1.5（无外部收入）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3（内部）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  <w:tc>
          <w:tcPr>
            <w:tcW w:type="dxa" w:w="18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潜在规模之王，时间表持续推迟</w:t>
            </w:r>
          </w:p>
        </w:tc>
      </w:tr>
      <w:tr>
        <w:trPr>
          <w:cantSplit w:val="false"/>
          <w:tblHeader w:val="false"/>
        </w:trPr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Figure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4"/>
                <w:szCs w:val="14"/>
              </w:rPr>
              <w:t xml:space="preserve">4.5</w:t>
            </w:r>
          </w:p>
        </w:tc>
        <w:tc>
          <w:tcPr>
            <w:tcW w:type="dxa" w:w="9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3.5</w:t>
            </w:r>
          </w:p>
        </w:tc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</w:t>
            </w:r>
          </w:p>
        </w:tc>
        <w:tc>
          <w:tcPr>
            <w:tcW w:type="dxa" w:w="18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美国估值最高的整机，商业化证据薄</w:t>
            </w:r>
          </w:p>
        </w:tc>
      </w:tr>
      <w:tr>
        <w:trPr>
          <w:cantSplit w:val="false"/>
          <w:tblHeader w:val="false"/>
        </w:trPr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Agility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3.5</w:t>
            </w:r>
          </w:p>
        </w:tc>
        <w:tc>
          <w:tcPr>
            <w:tcW w:type="dxa" w:w="9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3.5</w:t>
            </w:r>
          </w:p>
        </w:tc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3（少量真实 RaaS，客户称未达 ROI）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3.5（SPAC）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L3–L4</w:t>
            </w:r>
          </w:p>
        </w:tc>
        <w:tc>
          <w:tcPr>
            <w:tcW w:type="dxa" w:w="18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物流人形先行者，经济性尚未跑通</w:t>
            </w:r>
          </w:p>
        </w:tc>
      </w:tr>
      <w:tr>
        <w:trPr>
          <w:cantSplit w:val="false"/>
          <w:tblHeader w:val="false"/>
        </w:trPr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BD（现代）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4.5</w:t>
            </w:r>
          </w:p>
        </w:tc>
        <w:tc>
          <w:tcPr>
            <w:tcW w:type="dxa" w:w="9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3（Spot/Stretch 成熟；Atlas 集团内消化）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5（集团）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Atlas L2–L3</w:t>
            </w:r>
          </w:p>
        </w:tc>
        <w:tc>
          <w:tcPr>
            <w:tcW w:type="dxa" w:w="18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有内部场景托底的稳健型选手</w:t>
            </w:r>
          </w:p>
        </w:tc>
      </w:tr>
      <w:tr>
        <w:trPr>
          <w:cantSplit w:val="false"/>
          <w:tblHeader w:val="false"/>
        </w:trPr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1X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3.5</w:t>
            </w:r>
          </w:p>
        </w:tc>
        <w:tc>
          <w:tcPr>
            <w:tcW w:type="dxa" w:w="9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1.5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3（估值下修）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L2–L3</w:t>
            </w:r>
          </w:p>
        </w:tc>
        <w:tc>
          <w:tcPr>
            <w:tcW w:type="dxa" w:w="18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家庭路线的风向标</w:t>
            </w:r>
          </w:p>
        </w:tc>
      </w:tr>
      <w:tr>
        <w:trPr>
          <w:cantSplit w:val="false"/>
          <w:tblHeader w:val="false"/>
        </w:trPr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Physical Intelligence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W w:type="dxa" w:w="9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1（不造本体）</w:t>
            </w:r>
          </w:p>
        </w:tc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1.5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4.5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3.5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  <w:tc>
          <w:tcPr>
            <w:tcW w:type="dxa" w:w="18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前沿模型标杆，商业模式待定</w:t>
            </w:r>
          </w:p>
        </w:tc>
      </w:tr>
      <w:tr>
        <w:trPr>
          <w:cantSplit w:val="false"/>
          <w:tblHeader w:val="false"/>
        </w:trPr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Skild AI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type="dxa" w:w="9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3（自称运行率超过 1 亿美元）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</w:t>
            </w:r>
          </w:p>
        </w:tc>
        <w:tc>
          <w:tcPr>
            <w:tcW w:type="dxa" w:w="18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美国唯一宣称规模收入的模型公司</w:t>
            </w:r>
          </w:p>
        </w:tc>
      </w:tr>
      <w:tr>
        <w:trPr>
          <w:cantSplit w:val="false"/>
          <w:tblHeader w:val="false"/>
        </w:trPr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NVIDIA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4.5</w:t>
            </w:r>
          </w:p>
        </w:tc>
        <w:tc>
          <w:tcPr>
            <w:tcW w:type="dxa" w:w="9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4"/>
                <w:szCs w:val="14"/>
              </w:rPr>
              <w:t xml:space="preserve">5</w:t>
            </w:r>
            <w:r>
              <w:rPr>
                <w:sz w:val="14"/>
                <w:szCs w:val="14"/>
              </w:rPr>
              <w:t xml:space="preserve">（工具链与芯片）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L5（工具）</w:t>
            </w:r>
          </w:p>
        </w:tc>
        <w:tc>
          <w:tcPr>
            <w:tcW w:type="dxa" w:w="18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"卖铲子"的平台</w:t>
            </w:r>
          </w:p>
        </w:tc>
      </w:tr>
      <w:tr>
        <w:trPr>
          <w:cantSplit w:val="false"/>
          <w:tblHeader w:val="false"/>
        </w:trPr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中国模型独角兽（星海图/千寻/它石/自变量）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3.5–4</w:t>
            </w:r>
          </w:p>
        </w:tc>
        <w:tc>
          <w:tcPr>
            <w:tcW w:type="dxa" w:w="9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2–3</w:t>
            </w:r>
          </w:p>
        </w:tc>
        <w:tc>
          <w:tcPr>
            <w:tcW w:type="dxa" w:w="1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1.5–2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4–4.5</w:t>
            </w:r>
          </w:p>
        </w:tc>
        <w:tc>
          <w:tcPr>
            <w:tcW w:type="dxa" w:w="7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2.5–3</w:t>
            </w:r>
          </w:p>
        </w:tc>
        <w:tc>
          <w:tcPr>
            <w:tcW w:type="dxa" w:w="10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L2–L3</w:t>
            </w:r>
          </w:p>
        </w:tc>
        <w:tc>
          <w:tcPr>
            <w:tcW w:type="dxa" w:w="18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资本密集，需要证明不可被开源替代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评分说明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"商业化证据"只看</w:t>
      </w:r>
      <w:r>
        <w:rPr>
          <w:b/>
          <w:bCs/>
        </w:rPr>
        <w:t xml:space="preserve">收入质量</w:t>
      </w:r>
      <w:r>
        <w:t xml:space="preserve">：是否非关联、是否已验收、是否复购、是否为生产性用途；不看订单金额。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"资本实力"综合考虑现金储备、融资能力和退出通道。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分数用于比较相对位置，</w:t>
      </w:r>
      <w:r>
        <w:rPr>
          <w:b/>
          <w:bCs/>
        </w:rPr>
        <w:t xml:space="preserve">不可用于加总排名</w:t>
      </w:r>
      <w:r>
        <w:t xml:space="preserve">。</w:t>
      </w:r>
    </w:p>
    <w:p>
      <w:pPr>
        <w:pStyle w:val="Heading2"/>
      </w:pPr>
      <w:bookmarkStart w:name="bm72" w:id="1072"/>
      <w:r>
        <w:t xml:space="preserve">8.2 中国重点企业</w:t>
      </w:r>
      <w:bookmarkEnd w:id="1072"/>
    </w:p>
    <w:p>
      <w:pPr>
        <w:spacing w:after="40" w:before="120"/>
        <w:jc w:val="center"/>
      </w:pPr>
      <w:r>
        <w:drawing>
          <wp:inline distT="0" distB="0" distL="0" distR="0">
            <wp:extent cx="6000750" cy="2847975"/>
            <wp:effectExtent t="0" r="0" b="0" l="0"/>
            <wp:docPr id="1" name="两种商业模式：宇树与优必选营业收入" descr="两种商业模式：宇树与优必选营业收入" title="两种商业模式：宇树与优必选营业收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14E"/>
          <w:sz w:val="18"/>
          <w:szCs w:val="18"/>
        </w:rPr>
        <w:t xml:space="preserve">图 6　两种商业模式：宇树与优必选营业收入</w:t>
      </w:r>
    </w:p>
    <w:p>
      <w:pPr>
        <w:pStyle w:val="Heading3"/>
      </w:pPr>
      <w:r>
        <w:t xml:space="preserve">宇树科技：唯一被二级市场完整定价的样本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业务</w:t>
      </w:r>
      <w:r>
        <w:t xml:space="preserve">：人形（G1、H1、H2、R1）和四足。电机、关节自研，成本领先。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财务〔A/B，S01/S07〕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2025 年营收 17.08 亿元（+335%），主营毛利率约 60.3%，人形出货超过 5,500 台；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2026 年上半年营收 11.52 亿元（+48.5%），归母净利 2.74 亿元，扣非净利 2.44 亿元，同比下降 19.3%。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资本</w:t>
      </w:r>
      <w:r>
        <w:t xml:space="preserve">：2026 年 8 月 19 日在科创板上市，发行价 150.80 元，发行市盈率 219 倍。首日开盘 1,100 元，到 9 月 18 日收盘 514.98 元〔B，S02/S06〕。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竞争优势（真）</w:t>
      </w:r>
      <w:r>
        <w:t xml:space="preserve">：成本与供应链、产品迭代速度、开发者生态（全球最常用的研究平台之一）。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主要风险</w:t>
      </w:r>
      <w:r>
        <w:t xml:space="preserve">：</w:t>
      </w:r>
    </w:p>
    <w:p>
      <w:pPr>
        <w:spacing w:after="60" w:line="312" w:lineRule="auto"/>
        <w:ind w:left="840" w:hanging="300"/>
      </w:pPr>
      <w:r>
        <w:t xml:space="preserve">1. 需求以科研、教育、文娱为主，</w:t>
      </w:r>
      <w:r>
        <w:rPr>
          <w:b/>
          <w:bCs/>
        </w:rPr>
        <w:t xml:space="preserve">增速已明显放缓</w:t>
      </w:r>
      <w:r>
        <w:t xml:space="preserve">；</w:t>
      </w:r>
    </w:p>
    <w:p>
      <w:pPr>
        <w:spacing w:after="60" w:line="312" w:lineRule="auto"/>
        <w:ind w:left="840" w:hanging="300"/>
      </w:pPr>
      <w:r>
        <w:t xml:space="preserve">2. 低价产品引发价格战（R1 降到 2.99 万元起）；</w:t>
      </w:r>
    </w:p>
    <w:p>
      <w:pPr>
        <w:spacing w:after="60" w:line="312" w:lineRule="auto"/>
        <w:ind w:left="840" w:hanging="300"/>
      </w:pPr>
      <w:r>
        <w:t xml:space="preserve">3. 美国法案点名，海外收入面临政策风险〔B，S72/S73〕；</w:t>
      </w:r>
    </w:p>
    <w:p>
      <w:pPr>
        <w:spacing w:after="60" w:line="312" w:lineRule="auto"/>
        <w:ind w:left="840" w:hanging="300"/>
      </w:pPr>
      <w:r>
        <w:t xml:space="preserve">4. 向工业劳动力市场转型需要另一套能力：交付、售后、行业 know-how。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投资者视角</w:t>
      </w:r>
      <w:r>
        <w:t xml:space="preserve">：宇树证明了"</w:t>
      </w:r>
      <w:r>
        <w:rPr>
          <w:b/>
          <w:bCs/>
        </w:rPr>
        <w:t xml:space="preserve">卖铲子给淘金者</w:t>
      </w:r>
      <w:r>
        <w:t xml:space="preserve">"可以盈利。但它在 2,000 亿元左右的市值上，隐含的是"转型工业"的成功预期。</w:t>
      </w:r>
    </w:p>
    <w:p>
      <w:pPr>
        <w:pStyle w:val="Heading3"/>
      </w:pPr>
      <w:r>
        <w:t xml:space="preserve">智元机器人：出货最大、布局最全，收入质量是关键未知数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业务</w:t>
      </w:r>
      <w:r>
        <w:t xml:space="preserve">：多产品线（远征、灵犀、精灵等），自研 GO 系列模型和 Genie Envisioner 世界模型。2025 年取得上纬新材控制权〔B，S18〕。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规模〔B/C〕</w:t>
      </w:r>
      <w:r>
        <w:t xml:space="preserve">：2026 年上半年出货约 9,700 台，全球份额约 43%〔B，S14〕。2025 年营收约 10.5 亿元（创始人口径）；知情人士称 2026 年预期约 45 亿元〔C，S17〕。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资本</w:t>
      </w:r>
      <w:r>
        <w:t xml:space="preserve">：2026 年 4 月报道融资约 20 亿元、估值约 200 亿元；10 月报道新一轮估值约 500 亿元。港股 IPO 因 120 日规则暂缓〔C，S16〕。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关键问题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出货的产品构成（大、中、小尺寸，轮式或双足）；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收入的客户构成（政府数采、教育、工业）；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毛利率与现金流。</w:t>
      </w:r>
    </w:p>
    <w:p>
      <w:pPr>
        <w:spacing w:after="120" w:line="324" w:lineRule="auto"/>
        <w:jc w:val="both"/>
      </w:pPr>
      <w:r>
        <w:t xml:space="preserve">以上都还没有经过审计的公开披露。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判断</w:t>
      </w:r>
      <w:r>
        <w:t xml:space="preserve">：在部署规模和数据回流上最有潜力形成飞轮。但 500 亿元估值约为 2026 年预期收入的 11 倍，</w:t>
      </w:r>
      <w:r>
        <w:rPr>
          <w:b/>
          <w:bCs/>
        </w:rPr>
        <w:t xml:space="preserve">要求 45 亿元收入大部分来自可持续需求</w:t>
      </w:r>
      <w:r>
        <w:t xml:space="preserve">。</w:t>
      </w:r>
    </w:p>
    <w:p>
      <w:pPr>
        <w:pStyle w:val="Heading3"/>
      </w:pPr>
      <w:r>
        <w:t xml:space="preserve">优必选：工业人形的"政企渠道"模式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财务〔A/B，S08/S09〕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2025 年营收 20.01 亿元，毛利率 37.7%；全尺寸人形收入 8.21 亿元、1,079 台；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2026 年上半年营收 12.7 亿元（+104%），全尺寸 921 台，净亏 3.39 亿元。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订单结构</w:t>
      </w:r>
      <w:r>
        <w:t xml:space="preserve">：大额订单多为地方政府的数据采集与训练中心，例如九江 1.43 亿元〔B，S11〕。按收入与台数推算，全尺寸隐含均价约 64–76 万元/台（含方案）〔D〕。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优势</w:t>
      </w:r>
      <w:r>
        <w:t xml:space="preserve">：港股上市带来融资能力（多次配售），政企渠道强，工厂实训覆盖面广。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风险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政府项目的一次性；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亏损仍然较大；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非全尺寸小机器人拉高了"销量"口径（2026 年上半年合计 16,123 台中仅 921 台为全尺寸）〔B，S09〕。</w:t>
      </w:r>
    </w:p>
    <w:p>
      <w:pPr>
        <w:pStyle w:val="Heading3"/>
      </w:pPr>
      <w:r>
        <w:t xml:space="preserve">银河通用：轮式双臂与零售场景，关联方问题是 IPO 核心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业务</w:t>
      </w:r>
      <w:r>
        <w:t xml:space="preserve">：Galbot G1 轮式双臂；GraspVLA 与仿真合成数据路线；银河"太空舱"零售。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规模〔B/C〕</w:t>
      </w:r>
      <w:r>
        <w:t xml:space="preserve">：2026 年上半年出货超过 1,100 台，全球第三〔B，S14〕；太空舱在 20 多个城市、百余家门店〔C，S52〕。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资本</w:t>
      </w:r>
      <w:r>
        <w:t xml:space="preserve">：2026 年 3 月融资 25 亿元，媒体称估值超过 200 亿元〔B/C〕。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核心问题</w:t>
      </w:r>
      <w:r>
        <w:t xml:space="preserve">：最大客户宁德时代同时是其投资方。</w:t>
      </w:r>
      <w:r>
        <w:rPr>
          <w:b/>
          <w:bCs/>
        </w:rPr>
        <w:t xml:space="preserve">股东客户与非关联客户的收入占比</w:t>
      </w:r>
      <w:r>
        <w:t xml:space="preserve">是 IPO 审核和投资判断的关键〔C，S52〕。</w:t>
      </w:r>
    </w:p>
    <w:p>
      <w:pPr>
        <w:pStyle w:val="Heading3"/>
      </w:pPr>
      <w:r>
        <w:t xml:space="preserve">云深处：特种场景闭环的样本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营收 2023–2025 年分别为 0.50、1.03、3.37 亿元，2025 年首次盈利〔A/B，S53〕。按募资额推算，IPO 前估值约 139 亿元，约为 2025 年营收的 41 倍。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意义</w:t>
      </w:r>
      <w:r>
        <w:t xml:space="preserve">：证明了</w:t>
      </w:r>
      <w:r>
        <w:rPr>
          <w:b/>
          <w:bCs/>
        </w:rPr>
        <w:t xml:space="preserve">非人形、单一场景、国企客户</w:t>
      </w:r>
      <w:r>
        <w:t xml:space="preserve">可以形成可复制的盈利模式。它是"场景闭环"投资逻辑的现实参照。</w:t>
      </w:r>
    </w:p>
    <w:p>
      <w:pPr>
        <w:pStyle w:val="Heading2"/>
      </w:pPr>
      <w:bookmarkStart w:name="bm73" w:id="1073"/>
      <w:r>
        <w:t xml:space="preserve">8.3 海外重点企业</w:t>
      </w:r>
      <w:bookmarkEnd w:id="1073"/>
    </w:p>
    <w:p>
      <w:pPr>
        <w:pStyle w:val="Heading3"/>
      </w:pPr>
      <w:r>
        <w:t xml:space="preserve">特斯拉 Optimus：潜在的规模之王，时间表的"惯性推迟者"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进展〔B，S29〕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2026 年第三季度财报会称：弗里蒙特高产线已开始早期生产，设计产能为年化约 2 万台/周，爬坡至少需要一年，"斜率平缓且颠簸"；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对外交付约从 2027 年底开始，先供工业客户；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AI5 芯片预计 2027 年 4 月左右集成；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手部是最难的问题，管理层不提供单位成本目标。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历史</w:t>
      </w:r>
      <w:r>
        <w:t xml:space="preserve">：V3 发布多次推迟〔C，S31〕。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判断</w:t>
      </w:r>
      <w:r>
        <w:t xml:space="preserve">：一旦量产突破，特斯拉是唯一能在单一企业内实现百万台级学习曲线的玩家，会</w:t>
      </w:r>
      <w:r>
        <w:rPr>
          <w:b/>
          <w:bCs/>
        </w:rPr>
        <w:t xml:space="preserve">重塑全球零部件需求和价格</w:t>
      </w:r>
      <w:r>
        <w:t xml:space="preserve">。但它的时间表历史上系统性乐观，投资中国零部件不应以"特斯拉定点"为核心假设（第十六篇 T14）。</w:t>
      </w:r>
    </w:p>
    <w:p>
      <w:pPr>
        <w:pStyle w:val="Heading3"/>
      </w:pPr>
      <w:r>
        <w:t xml:space="preserve">Figure AI：美国估值最高的整机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资本</w:t>
      </w:r>
      <w:r>
        <w:t xml:space="preserve">：C 轮投后估值 390 亿美元（2025 年 9 月）〔B，S32〕；2026 年有 395 亿美元 term sheet 的传闻〔C〕。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部署</w:t>
      </w:r>
      <w:r>
        <w:t xml:space="preserve">：宝马试点（第二篇 2.4 节）；2026 年 7 月宣布第 1,000 台 Figure 03 下线〔C，S34〕；Helix 系列模型自研。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判断</w:t>
      </w:r>
      <w:r>
        <w:t xml:space="preserve">：技术与组织能力一流，但</w:t>
      </w:r>
      <w:r>
        <w:rPr>
          <w:b/>
          <w:bCs/>
        </w:rPr>
        <w:t xml:space="preserve">收入极少</w:t>
      </w:r>
      <w:r>
        <w:t xml:space="preserve">。390 亿美元估值要求它在 2030 年前后具备数十亿美元的收入能力。它的风险与特斯拉相同：时间表风险，外加更高的资本消耗。</w:t>
      </w:r>
    </w:p>
    <w:p>
      <w:pPr>
        <w:pStyle w:val="Heading3"/>
      </w:pPr>
      <w:r>
        <w:t xml:space="preserve">Agility Robotics：物流人形的现实检验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财务〔B，S35〕</w:t>
      </w:r>
      <w:r>
        <w:t xml:space="preserve">：2025 年收入 180 万美元，经营亏损 1.4 亿美元；里程碑式长期订单超过 3 亿美元；9 个客户站点。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资本</w:t>
      </w:r>
      <w:r>
        <w:t xml:space="preserve">：拟以约 25 亿美元估值通过 SPAC 在纳斯达克上市（AGLT），预计募资 6.2 亿美元以上。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客户声音</w:t>
      </w:r>
      <w:r>
        <w:t xml:space="preserve">：GXO 称 45 次人形试点尚未实现 ROI，但仍将 Digit 扩展到北卡和田纳西的两个仓库，2027 年初部署〔B，S36〕。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判断</w:t>
      </w:r>
      <w:r>
        <w:t xml:space="preserve">：Agility 是"人形 RaaS"最好的公开样本。SPAC 完成后的股价，将是全球人形情绪的重要指标。</w:t>
      </w:r>
    </w:p>
    <w:p>
      <w:pPr>
        <w:pStyle w:val="Heading3"/>
      </w:pPr>
      <w:r>
        <w:t xml:space="preserve">Boston Dynamics（现代）：有内部场景托底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进展〔A/B，S40/S41〕</w:t>
      </w:r>
      <w:r>
        <w:t xml:space="preserve">：量产版 Atlas 2026 年的交付已全部锁定给现代 RMAC 和 Google DeepMind；现代计划在美国工厂部署 2.5 万台以上，2028 年产能目标 3 万台/年，并在美自产 30 万台以上的执行器/年；Metaplant 的规模部署在 2028 年。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判断</w:t>
      </w:r>
      <w:r>
        <w:t xml:space="preserve">：这是"</w:t>
      </w:r>
      <w:r>
        <w:rPr>
          <w:b/>
          <w:bCs/>
        </w:rPr>
        <w:t xml:space="preserve">集团内部消化</w:t>
      </w:r>
      <w:r>
        <w:t xml:space="preserve">"模式，订单兑现概率高于框架协议，但对外部市场的示范意义有限。它的垂直整合（自产执行器）对独立零部件企业不利。</w:t>
      </w:r>
    </w:p>
    <w:p>
      <w:pPr>
        <w:pStyle w:val="Heading3"/>
      </w:pPr>
      <w:r>
        <w:t xml:space="preserve">1X Technologies：家庭路线的风向标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NEO 售价 2 万美元或 499 美元/月；2026 年 4 月宣布全面量产（公司口径）；与 EQT 签有至多 1 万台的框架〔C，S42/S43〕。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2026 年 8 月报道软银洽购多数股权，估值约 60 亿美元，低于 2025 年寻求的 100 亿美元〔C，S44〕。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判断</w:t>
      </w:r>
      <w:r>
        <w:t xml:space="preserve">：美国一级市场第一个明显的</w:t>
      </w:r>
      <w:r>
        <w:rPr>
          <w:b/>
          <w:bCs/>
        </w:rPr>
        <w:t xml:space="preserve">估值下修信号</w:t>
      </w:r>
      <w:r>
        <w:t xml:space="preserve">，对应的正是商业化最远的家庭场景。</w:t>
      </w:r>
    </w:p>
    <w:p>
      <w:pPr>
        <w:pStyle w:val="Heading3"/>
      </w:pPr>
      <w:r>
        <w:t xml:space="preserve">Physical Intelligence 与 Skild AI：两种模型公司的商业化尝试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PI</w:t>
      </w:r>
      <w:r>
        <w:t xml:space="preserve">：以 56 亿美元估值融资 6 亿美元（2025 年 11 月）；2026 年 3 月报道洽谈以 110 亿美元以上估值融资 10 亿美元，尚未确认交割〔B，S45〕。前沿模型能力最强之一，开源上一代模型，已启动 API 测试（C）。商业模式仍在探索。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Skild</w:t>
      </w:r>
      <w:r>
        <w:t xml:space="preserve">：以 140 亿美元以上估值完成 14 亿美元 C 轮（2026 年 1 月，软银领投）〔C，S46〕；2025 年未审计收入约 3,000 万美元，彭博称首个商业部署后 10 个月收入运行率超过 1 亿美元、客户 60 多家〔C，S47〕。</w:t>
      </w:r>
      <w:r>
        <w:rPr>
          <w:b/>
          <w:bCs/>
        </w:rPr>
        <w:t xml:space="preserve">这是需要尽调核实口径的最关键数字</w:t>
      </w:r>
      <w:r>
        <w:t xml:space="preserve">：收入中有多少是硬件转售，有多少是软件授权。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判断</w:t>
      </w:r>
      <w:r>
        <w:t xml:space="preserve">：美国模型公司拥有中国同行没有的两样东西——</w:t>
      </w:r>
      <w:r>
        <w:rPr>
          <w:b/>
          <w:bCs/>
        </w:rPr>
        <w:t xml:space="preserve">前沿能力的时间差</w:t>
      </w:r>
      <w:r>
        <w:t xml:space="preserve">和</w:t>
      </w:r>
      <w:r>
        <w:rPr>
          <w:b/>
          <w:bCs/>
        </w:rPr>
        <w:t xml:space="preserve">软件付费文化</w:t>
      </w:r>
      <w:r>
        <w:t xml:space="preserve">。即便如此，商业模式也还没有定型。对中国纯模型公司，这是一个警示。</w:t>
      </w:r>
    </w:p>
    <w:p>
      <w:pPr>
        <w:pStyle w:val="Heading3"/>
      </w:pPr>
      <w:r>
        <w:t xml:space="preserve">NVIDIA：确定性最高的"卖铲子"者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端侧芯片（Jetson Thor）、仿真与世界模型（Isaac、Cosmos）、开源模型（GR00T）三位一体。被 Agility、BD、银河等采用〔B，S70〕。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判断</w:t>
      </w:r>
      <w:r>
        <w:t xml:space="preserve">：NVIDIA 的开源模型</w:t>
      </w:r>
      <w:r>
        <w:rPr>
          <w:b/>
          <w:bCs/>
        </w:rPr>
        <w:t xml:space="preserve">压低了模型层创业公司的溢价</w:t>
      </w:r>
      <w:r>
        <w:t xml:space="preserve">，同时它的芯片面临出口管制，这为中国端侧计算替代留出了空间。</w:t>
      </w:r>
    </w:p>
    <w:p>
      <w:pPr>
        <w:pStyle w:val="Heading2"/>
      </w:pPr>
      <w:bookmarkStart w:name="bm74" w:id="1074"/>
      <w:r>
        <w:t xml:space="preserve">8.4 中国模型独角兽群组：星海图、千寻、它石、自变量、智平方</w:t>
      </w:r>
      <w:bookmarkEnd w:id="107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8"/>
        <w:gridCol w:w="3786"/>
        <w:gridCol w:w="2753"/>
        <w:gridCol w:w="2411"/>
      </w:tblGrid>
      <w:tr>
        <w:trPr>
          <w:cantSplit w:val="false"/>
          <w:tblHeader/>
        </w:trPr>
        <w:tc>
          <w:tcPr>
            <w:tcW w:type="dxa" w:w="6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公司</w:t>
            </w:r>
          </w:p>
        </w:tc>
        <w:tc>
          <w:tcPr>
            <w:tcW w:type="dxa" w:w="37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最新融资与估值（C 级为主）</w:t>
            </w:r>
          </w:p>
        </w:tc>
        <w:tc>
          <w:tcPr>
            <w:tcW w:type="dxa" w:w="27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特点</w:t>
            </w:r>
          </w:p>
        </w:tc>
        <w:tc>
          <w:tcPr>
            <w:tcW w:type="dxa" w:w="241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共同风险</w:t>
            </w:r>
          </w:p>
        </w:tc>
      </w:tr>
      <w:tr>
        <w:trPr>
          <w:cantSplit w:val="false"/>
          <w:tblHeader w:val="false"/>
        </w:trPr>
        <w:tc>
          <w:tcPr>
            <w:tcW w:type="dxa" w:w="6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星海图</w:t>
            </w:r>
          </w:p>
        </w:tc>
        <w:tc>
          <w:tcPr>
            <w:tcW w:type="dxa" w:w="37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2026 年 B 轮加 B+ 轮合计约 30 亿元，投后超过 200 亿元</w:t>
            </w:r>
          </w:p>
        </w:tc>
        <w:tc>
          <w:tcPr>
            <w:tcW w:type="dxa" w:w="27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模型加本体双线，开放数据</w:t>
            </w:r>
          </w:p>
        </w:tc>
        <w:tc>
          <w:tcPr>
            <w:tcW w:type="dxa" w:w="241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开源追赶、自建本体的资本消耗</w:t>
            </w:r>
          </w:p>
        </w:tc>
      </w:tr>
      <w:tr>
        <w:trPr>
          <w:cantSplit w:val="false"/>
          <w:tblHeader w:val="false"/>
        </w:trPr>
        <w:tc>
          <w:tcPr>
            <w:tcW w:type="dxa" w:w="6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千寻智能</w:t>
            </w:r>
          </w:p>
        </w:tc>
        <w:tc>
          <w:tcPr>
            <w:tcW w:type="dxa" w:w="37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2026 年上半年累计融资近 45 亿元，估值约 200 亿元</w:t>
            </w:r>
          </w:p>
        </w:tc>
        <w:tc>
          <w:tcPr>
            <w:tcW w:type="dxa" w:w="27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工业场景（宣称在宁德时代部署）</w:t>
            </w:r>
          </w:p>
        </w:tc>
        <w:tc>
          <w:tcPr>
            <w:tcW w:type="dxa" w:w="241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评测公信力（RoboArena 事件）</w:t>
            </w:r>
          </w:p>
        </w:tc>
      </w:tr>
      <w:tr>
        <w:trPr>
          <w:cantSplit w:val="false"/>
          <w:tblHeader w:val="false"/>
        </w:trPr>
        <w:tc>
          <w:tcPr>
            <w:tcW w:type="dxa" w:w="6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它石智航</w:t>
            </w:r>
          </w:p>
        </w:tc>
        <w:tc>
          <w:tcPr>
            <w:tcW w:type="dxa" w:w="37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Pre-A 轮 4.55 亿美元（国内单轮纪录，B，S50）</w:t>
            </w:r>
          </w:p>
        </w:tc>
        <w:tc>
          <w:tcPr>
            <w:tcW w:type="dxa" w:w="27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人类数据加触觉、世界模型</w:t>
            </w:r>
          </w:p>
        </w:tc>
        <w:tc>
          <w:tcPr>
            <w:tcW w:type="dxa" w:w="241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"百万小时数据"为公司说法</w:t>
            </w:r>
          </w:p>
        </w:tc>
      </w:tr>
      <w:tr>
        <w:trPr>
          <w:cantSplit w:val="false"/>
          <w:tblHeader w:val="false"/>
        </w:trPr>
        <w:tc>
          <w:tcPr>
            <w:tcW w:type="dxa" w:w="6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自变量</w:t>
            </w:r>
          </w:p>
        </w:tc>
        <w:tc>
          <w:tcPr>
            <w:tcW w:type="dxa" w:w="37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估值约 100 亿元，累计融资超过 40 亿元</w:t>
            </w:r>
          </w:p>
        </w:tc>
        <w:tc>
          <w:tcPr>
            <w:tcW w:type="dxa" w:w="27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统一模型，投资方为互联网战略资本</w:t>
            </w:r>
          </w:p>
        </w:tc>
        <w:tc>
          <w:tcPr>
            <w:tcW w:type="dxa" w:w="241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收入极少</w:t>
            </w:r>
          </w:p>
        </w:tc>
      </w:tr>
      <w:tr>
        <w:trPr>
          <w:cantSplit w:val="false"/>
          <w:tblHeader w:val="false"/>
        </w:trPr>
        <w:tc>
          <w:tcPr>
            <w:tcW w:type="dxa" w:w="6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智平方</w:t>
            </w:r>
          </w:p>
        </w:tc>
        <w:tc>
          <w:tcPr>
            <w:tcW w:type="dxa" w:w="37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单一来源称约 200 亿元</w:t>
            </w:r>
          </w:p>
        </w:tc>
        <w:tc>
          <w:tcPr>
            <w:tcW w:type="dxa" w:w="27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工业场景</w:t>
            </w:r>
          </w:p>
        </w:tc>
        <w:tc>
          <w:tcPr>
            <w:tcW w:type="dxa" w:w="241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信息透明度低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群组判断</w:t>
      </w:r>
      <w:r>
        <w:t xml:space="preserve">〔D〕：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这批公司在 2026 年用约 12–18 个月完成了美国同行三到四年的估值爬升；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但它们的收入证据普遍弱于 Skild，开源压力却大于美国同行；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它们的未来取决于三件事：</w:t>
      </w:r>
    </w:p>
    <w:p>
      <w:pPr>
        <w:spacing w:after="60" w:line="312" w:lineRule="auto"/>
        <w:ind w:left="840" w:hanging="300"/>
      </w:pPr>
      <w:r>
        <w:t xml:space="preserve">1. 能否与本体或场景深度绑定，形成部署回流；</w:t>
      </w:r>
    </w:p>
    <w:p>
      <w:pPr>
        <w:spacing w:after="60" w:line="312" w:lineRule="auto"/>
        <w:ind w:left="840" w:hanging="300"/>
      </w:pPr>
      <w:r>
        <w:t xml:space="preserve">2. 能否在 2027–2028 年出现可审计的工业收入；</w:t>
      </w:r>
    </w:p>
    <w:p>
      <w:pPr>
        <w:spacing w:after="60" w:line="312" w:lineRule="auto"/>
        <w:ind w:left="840" w:hanging="300"/>
      </w:pPr>
      <w:r>
        <w:t xml:space="preserve">3. 能否在退出门槛提高后，找到并购或上市的路径。</w:t>
      </w:r>
    </w:p>
    <w:p>
      <w:pPr>
        <w:pStyle w:val="Heading2"/>
      </w:pPr>
      <w:bookmarkStart w:name="bm75" w:id="1075"/>
      <w:r>
        <w:t xml:space="preserve">8.5 零部件代表：绿的谐波</w:t>
      </w:r>
      <w:bookmarkEnd w:id="1075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2025 年营收 5.71 亿元（+47%），归母净利 1.24 亿元（+121%），销量 42.5 万台；2026 年上半年营收 3.49 亿元（+39%），毛利率降到 32.3%〔B，S62〕。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判断</w:t>
      </w:r>
      <w:r>
        <w:t xml:space="preserve">：人形需求还没成为主要收入来源，</w:t>
      </w:r>
      <w:r>
        <w:rPr>
          <w:b/>
          <w:bCs/>
        </w:rPr>
        <w:t xml:space="preserve">价格下行先于人形放量到来</w:t>
      </w:r>
      <w:r>
        <w:t xml:space="preserve">。这是"零部件概念股估值高于基本面"的一个注脚，也是精密部件投资要以存量业务定价的原因。</w:t>
      </w:r>
    </w:p>
    <w:p>
      <w:pPr>
        <w:pStyle w:val="Heading2"/>
      </w:pPr>
      <w:bookmarkStart w:name="bm76" w:id="1076"/>
      <w:r>
        <w:t xml:space="preserve">8.6 反证检查</w:t>
      </w:r>
      <w:bookmarkEnd w:id="1076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身位矩阵可能错误的地方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我们可能低估了中国模型独角兽的工业部署（因为信息不透明）；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也可能高估了宇树在工业市场转型上的难度。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容易被忽视的竞争者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小米、小鹏等车企，拥有芯片、制造和内部场景；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字节、阿里等大厂，可能在任何时点纵向整合；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传统工业自动化企业（汇川、埃斯顿、越疆），拥有客户、渠道和交付能力。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行业不及预期时损失最大的</w:t>
      </w:r>
      <w:r>
        <w:t xml:space="preserve">：估值在 200 亿元以上、以模型或数据叙事为主、缺乏可审计收入的公司。</w:t>
      </w:r>
    </w:p>
    <w:p>
      <w:pPr>
        <w:pStyle w:val="Heading1"/>
        <w:pageBreakBefore/>
      </w:pPr>
      <w:bookmarkStart w:name="bm77" w:id="1077"/>
      <w:r>
        <w:t xml:space="preserve">第九篇　投融资市场、资本周期与估值变化</w:t>
      </w:r>
      <w:bookmarkEnd w:id="1077"/>
    </w:p>
    <w:p>
      <w:pPr>
        <w:pStyle w:val="Heading2"/>
      </w:pPr>
      <w:bookmarkStart w:name="bm78" w:id="1078"/>
      <w:r>
        <w:t xml:space="preserve">9.1 先承认一件事：融资统计本身就是一个"口径灾难"</w:t>
      </w:r>
      <w:bookmarkEnd w:id="1078"/>
    </w:p>
    <w:p>
      <w:pPr>
        <w:spacing w:after="120" w:line="324" w:lineRule="auto"/>
        <w:jc w:val="both"/>
      </w:pPr>
      <w:r>
        <w:t xml:space="preserve">同一时期，不同机构给出的中国具身智能融资额可以相差 60% 以上：2025 年投中统计为 329 亿元，量子位统计为 554 亿元。2026 年前三季度，上奇产业通的统计（2,896 亿元）里还包含一笔约 771 亿元、性质未经核实的单笔事件〔C，S24〕。差异的来源主要有六个：</w:t>
      </w:r>
    </w:p>
    <w:p>
      <w:pPr>
        <w:spacing w:after="60" w:line="312" w:lineRule="auto"/>
        <w:ind w:left="420" w:hanging="300"/>
      </w:pPr>
      <w:r>
        <w:t xml:space="preserve">1. 赛道边界：是否包括零部件、传统工业机器人、自动驾驶相关公司；</w:t>
      </w:r>
    </w:p>
    <w:p>
      <w:pPr>
        <w:spacing w:after="60" w:line="312" w:lineRule="auto"/>
        <w:ind w:left="420" w:hanging="300"/>
      </w:pPr>
      <w:r>
        <w:t xml:space="preserve">2. 是否计入未披露金额的事件；</w:t>
      </w:r>
    </w:p>
    <w:p>
      <w:pPr>
        <w:spacing w:after="60" w:line="312" w:lineRule="auto"/>
        <w:ind w:left="420" w:hanging="300"/>
      </w:pPr>
      <w:r>
        <w:t xml:space="preserve">3. 是否把战略投资、政府产业基金出资、并购和定增计入"融资"；</w:t>
      </w:r>
    </w:p>
    <w:p>
      <w:pPr>
        <w:spacing w:after="60" w:line="312" w:lineRule="auto"/>
        <w:ind w:left="420" w:hanging="300"/>
      </w:pPr>
      <w:r>
        <w:t xml:space="preserve">4. "数亿元""超十亿元"等模糊金额如何取值；</w:t>
      </w:r>
    </w:p>
    <w:p>
      <w:pPr>
        <w:spacing w:after="60" w:line="312" w:lineRule="auto"/>
        <w:ind w:left="420" w:hanging="300"/>
      </w:pPr>
      <w:r>
        <w:t xml:space="preserve">5. 外币换算；</w:t>
      </w:r>
    </w:p>
    <w:p>
      <w:pPr>
        <w:spacing w:after="60" w:line="312" w:lineRule="auto"/>
        <w:ind w:left="420" w:hanging="300"/>
      </w:pPr>
      <w:r>
        <w:t xml:space="preserve">6. 同一轮次分批宣布时是否重复计算。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本报告的处理</w:t>
      </w:r>
      <w:r>
        <w:t xml:space="preserve">：不合成单一数字，而是并列展示各机构口径（下表），并且</w:t>
      </w:r>
      <w:r>
        <w:rPr>
          <w:b/>
          <w:bCs/>
        </w:rPr>
        <w:t xml:space="preserve">只用同一机构的同比数据判断趋势</w:t>
      </w:r>
      <w:r>
        <w:t xml:space="preserve">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8"/>
        <w:gridCol w:w="1472"/>
        <w:gridCol w:w="1204"/>
        <w:gridCol w:w="1673"/>
        <w:gridCol w:w="1137"/>
        <w:gridCol w:w="2275"/>
        <w:gridCol w:w="539"/>
      </w:tblGrid>
      <w:tr>
        <w:trPr>
          <w:cantSplit w:val="false"/>
          <w:tblHeader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范围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统计机构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期间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笔数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金额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口径说明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证据等级</w:t>
            </w:r>
          </w:p>
        </w:tc>
      </w:tr>
      <w:tr>
        <w:trPr>
          <w:cantSplit w:val="false"/>
          <w:tblHeader w:val="false"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投中嘉川 CVSource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全年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122 笔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84 亿元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具身智能赛道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量子位智库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全年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173 起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137 亿元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具身智能赛道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IT 桔子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全年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77 起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具身智能投融资事件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投中嘉川 CVSource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全年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298 起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329 亿元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同比 +144%/+291%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量子位智库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全年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447 起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554 亿元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同比 +250%/+400%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IT 桔子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2025（截至 12-21）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305+ 起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380+ 亿元（估计）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数量约为上年三倍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IT 桔子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2026H1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322 笔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935 亿元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同比金额约 5 倍、笔数 +137%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上奇产业通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 年 1–9 月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557 笔（披露金额 346 笔）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2,896 亿元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含 4 月一笔约 771 亿元的异常大额事件（性质未核实），剔除后约 2,125 亿元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TechTOP100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 年 1–9 月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660 起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中国·机器人赛道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博客汇总（不完全统计）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2026-07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34 家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120 亿元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环比金额 -32.6%；口径为具身机器人企业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全球·人形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PitchBook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全年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139 笔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61 亿美元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年为 65 笔、15 亿美元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全球·人形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Dealroom（via Sifted）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全年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32 亿美元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称超过此前六年总和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全球·人形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HumanoidIntel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全年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34 轮（披露）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42 亿美元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年 21 亿美元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全球·机器人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Crunchbase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全年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138 亿美元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年 78 亿美元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13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全球·机器人与物理 AI</w:t>
            </w:r>
          </w:p>
        </w:tc>
        <w:tc>
          <w:tcPr>
            <w:tcW w:type="dxa" w:w="14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PitchBook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全年</w:t>
            </w:r>
          </w:p>
        </w:tc>
        <w:tc>
          <w:tcPr>
            <w:tcW w:type="dxa" w:w="1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1,009 笔</w:t>
            </w:r>
          </w:p>
        </w:tc>
        <w:tc>
          <w:tcPr>
            <w:tcW w:type="dxa" w:w="1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276 亿美元</w:t>
            </w:r>
          </w:p>
        </w:tc>
        <w:tc>
          <w:tcPr>
            <w:tcW w:type="dxa" w:w="2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年 137 亿美元</w:t>
            </w:r>
          </w:p>
        </w:tc>
        <w:tc>
          <w:tcPr>
            <w:tcW w:type="dxa" w:w="5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趋势判断（只用同口径比较）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投中口径：2024→2025 年，笔数 +144%，金额 +291%；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量子位口径：同期分别为 +158%、+304%；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IT 桔子口径：2026 年上半年金额约为 2025 年上半年的 5 倍，笔数 +137%。</w:t>
      </w:r>
    </w:p>
    <w:p>
      <w:pPr>
        <w:spacing w:after="120" w:line="324" w:lineRule="auto"/>
        <w:jc w:val="both"/>
      </w:pPr>
      <w:r>
        <w:t xml:space="preserve">三家方向一致：</w:t>
      </w:r>
      <w:r>
        <w:rPr>
          <w:b/>
          <w:bCs/>
        </w:rPr>
        <w:t xml:space="preserve">2024–2026 年上半年，融资额每年大约翻 2–4 倍，2026 年上半年见顶的可能性在上升</w:t>
      </w:r>
      <w:r>
        <w:t xml:space="preserve">。7 月的不完全统计显示，金额环比下降 32.6%〔C〕。3 月和 6 月是单月高峰（IT 桔子）。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全球人形口径</w:t>
      </w:r>
      <w:r>
        <w:t xml:space="preserve">：PitchBook 统计 2025 年人形融资 61 亿美元/139 笔，2024 年为 15 亿美元/65 笔〔B，S27〕。按 2026 年上半年 935 亿元（约 132 亿美元）计算，</w:t>
      </w:r>
      <w:r>
        <w:rPr>
          <w:b/>
          <w:bCs/>
        </w:rPr>
        <w:t xml:space="preserve">中国具身融资的半年规模已超过 PitchBook 统计的全球人形 2025 年全年规模的两倍</w:t>
      </w:r>
      <w:r>
        <w:t xml:space="preserve">。不过两者口径不同（具身智能对人形），只能看量级。</w:t>
      </w:r>
    </w:p>
    <w:p>
      <w:pPr>
        <w:pStyle w:val="Heading2"/>
      </w:pPr>
      <w:bookmarkStart w:name="bm79" w:id="1079"/>
      <w:r>
        <w:t xml:space="preserve">9.2 关键融资与资本事件（2024–2026）</w:t>
      </w:r>
      <w:bookmarkEnd w:id="107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0"/>
        <w:gridCol w:w="1197"/>
        <w:gridCol w:w="342"/>
        <w:gridCol w:w="1939"/>
        <w:gridCol w:w="1939"/>
        <w:gridCol w:w="1939"/>
        <w:gridCol w:w="1254"/>
        <w:gridCol w:w="458"/>
      </w:tblGrid>
      <w:tr>
        <w:trPr>
          <w:cantSplit w:val="false"/>
          <w:tblHeader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日期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公司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地区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事件/轮次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金额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估值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状态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证据等级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2024-02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Figure AI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 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6.75 亿美元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26 亿美元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2024-03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Physical Intelligence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种子轮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7,000 万美元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2024-07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Skild AI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 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 亿美元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15 亿美元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2024-11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Physical Intelligence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 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 亿美元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24 亿美元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2025Q2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它石智航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天使轮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2.42 亿美元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Apptronik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 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4.15 亿美元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2025-07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优必选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 股配售（82 港元/股）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24.7 亿港元（推算）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2025-07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智元机器人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收购上纬新材 63.62% 股份（控制权）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已宣布/推进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2025-09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Figure AI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 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超 10 亿美元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390 亿美元（投后）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2025-09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1X Technologies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寻求新一轮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至多 10 亿美元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≥100 亿美元目标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传闻（未完成）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2025-10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乐聚智能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最近一轮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43.27 亿元（投后）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已完成（招股书披露）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2025-11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Physical Intelligence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新一轮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 亿美元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56 亿美元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2025-11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优必选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 股配售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30.56 亿港元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2026-01-14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Skild AI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 轮（软银领投）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14 亿美元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140 亿美元+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2026-02-11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Apptronik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A-X 扩展轮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5.2 亿美元（A 轮累计 9.35 亿）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53–55 亿美元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2026-02/03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星海图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 轮 + B+ 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10 亿元 + 近 20 亿元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投后超 200 亿元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2026-02~05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千寻智能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连续 4 轮（含 A+ 15 亿元）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合计近 45 亿元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200 亿元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2026-03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银河通用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新一轮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25 亿元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媒体称超 200 亿元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B/C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2026-03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Physical Intelligence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新一轮洽谈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10 亿美元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110 亿美元+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传闻（未见交割）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2026-03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极佳视界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Pre-B 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 亿元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2026-03-20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宇树科技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科创板 IPO 受理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拟募资约 42 亿元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已完成上市（见 08-19）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2026-04-08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地瓜机器人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B2 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1.5 亿美元（B 系列累计 2.7 亿美元）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2026-04-16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它石智航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Pre-A 轮（高瓴、红杉中国领投）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4.55 亿美元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未披露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2026-04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智元机器人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新一轮（据报道）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20 亿元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200 亿元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已报道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2026-05-18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云深处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科创板 IPO 受理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拟募资 25.03 亿元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IPO 前约 139 亿元（推算）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审核中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2026-05-19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乐聚智能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创业板 IPO 受理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拟募资 26 亿元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审核中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2026-06-04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Generalist AI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新一轮（Radical Ventures 领投）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 亿美元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 亿美元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2026-06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星尘智能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 轮系列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超 10 亿元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破百亿元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2026-06-15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Figure AI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 term sheet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395 亿美元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传闻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2026-06-24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Agility Robotics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SPAC（Churchill Capital XI）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预计毛募资 6.2 亿美元以上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25 亿美元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已签约、待完成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2026-07-14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逐际动力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Pre-IPO 轮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近 2 亿美元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2026-07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智元机器人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启动港股 IPO 筹备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目标 400–500 亿港元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已暂缓（见 10 月）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2026-08-19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宇树科技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科创板上市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募资约 61 亿元（150.80 元/股）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发行市值 609.9 亿元；首日开盘约 4,449 亿元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1X Technologies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软银洽购多数股权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60 亿美元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传闻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2026-08-25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Generalist AI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追加融资（8VC 领投）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 亿美元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30 亿美元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已报道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2026-10-13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星尘智能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新一轮（深投控旗下领投）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 亿元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150 亿元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5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2026-10</w:t>
            </w:r>
          </w:p>
        </w:tc>
        <w:tc>
          <w:tcPr>
            <w:tcW w:type="dxa" w:w="11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智元机器人</w:t>
            </w:r>
          </w:p>
        </w:tc>
        <w:tc>
          <w:tcPr>
            <w:tcW w:type="dxa" w:w="3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新一轮（接近收尾）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10–15 亿元</w:t>
            </w:r>
          </w:p>
        </w:tc>
        <w:tc>
          <w:tcPr>
            <w:tcW w:type="dxa" w:w="19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500 亿元</w:t>
            </w:r>
          </w:p>
        </w:tc>
        <w:tc>
          <w:tcPr>
            <w:tcW w:type="dxa" w:w="125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传闻/接近完成</w:t>
            </w:r>
          </w:p>
        </w:tc>
        <w:tc>
          <w:tcPr>
            <w:tcW w:type="dxa" w:w="4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</w:tbl>
    <w:p>
      <w:pPr>
        <w:spacing w:after="120"/>
      </w:pPr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状态严格区分"已完成、已宣布、传闻、审核中"。同一轮次分批宣布时只计一次。</w:t>
      </w:r>
    </w:p>
    <w:p>
      <w:pPr>
        <w:pStyle w:val="Heading2"/>
      </w:pPr>
      <w:bookmarkStart w:name="bm80" w:id="1080"/>
      <w:r>
        <w:t xml:space="preserve">9.3 资本周期的四个阶段与投资逻辑的迁移</w:t>
      </w:r>
      <w:bookmarkEnd w:id="108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14"/>
        <w:gridCol w:w="746"/>
        <w:gridCol w:w="1628"/>
        <w:gridCol w:w="1900"/>
        <w:gridCol w:w="2986"/>
        <w:gridCol w:w="1564"/>
      </w:tblGrid>
      <w:tr>
        <w:trPr>
          <w:cantSplit w:val="false"/>
          <w:tblHeader/>
        </w:trPr>
        <w:tc>
          <w:tcPr>
            <w:tcW w:type="dxa" w:w="8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阶段</w:t>
            </w:r>
          </w:p>
        </w:tc>
        <w:tc>
          <w:tcPr>
            <w:tcW w:type="dxa" w:w="74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时间</w:t>
            </w:r>
          </w:p>
        </w:tc>
        <w:tc>
          <w:tcPr>
            <w:tcW w:type="dxa" w:w="16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定价锚</w:t>
            </w:r>
          </w:p>
        </w:tc>
        <w:tc>
          <w:tcPr>
            <w:tcW w:type="dxa" w:w="19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主力资金</w:t>
            </w:r>
          </w:p>
        </w:tc>
        <w:tc>
          <w:tcPr>
            <w:tcW w:type="dxa" w:w="29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典型行为</w:t>
            </w:r>
          </w:p>
        </w:tc>
        <w:tc>
          <w:tcPr>
            <w:tcW w:type="dxa" w:w="15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结局</w:t>
            </w:r>
          </w:p>
        </w:tc>
      </w:tr>
      <w:tr>
        <w:trPr>
          <w:cantSplit w:val="false"/>
          <w:tblHeader w:val="false"/>
        </w:trPr>
        <w:tc>
          <w:tcPr>
            <w:tcW w:type="dxa" w:w="8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信念期</w:t>
            </w:r>
          </w:p>
        </w:tc>
        <w:tc>
          <w:tcPr>
            <w:tcW w:type="dxa" w:w="74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2022–2023</w:t>
            </w:r>
          </w:p>
        </w:tc>
        <w:tc>
          <w:tcPr>
            <w:tcW w:type="dxa" w:w="16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团队背景</w:t>
            </w:r>
          </w:p>
        </w:tc>
        <w:tc>
          <w:tcPr>
            <w:tcW w:type="dxa" w:w="19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早期美元与人民币 VC</w:t>
            </w:r>
          </w:p>
        </w:tc>
        <w:tc>
          <w:tcPr>
            <w:tcW w:type="dxa" w:w="29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天使、A 轮押注学术团队</w:t>
            </w:r>
          </w:p>
        </w:tc>
        <w:tc>
          <w:tcPr>
            <w:tcW w:type="dxa" w:w="15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奠定头部格局</w:t>
            </w:r>
          </w:p>
        </w:tc>
      </w:tr>
      <w:tr>
        <w:trPr>
          <w:cantSplit w:val="false"/>
          <w:tblHeader w:val="false"/>
        </w:trPr>
        <w:tc>
          <w:tcPr>
            <w:tcW w:type="dxa" w:w="8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验证期</w:t>
            </w:r>
          </w:p>
        </w:tc>
        <w:tc>
          <w:tcPr>
            <w:tcW w:type="dxa" w:w="74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2024</w:t>
            </w:r>
          </w:p>
        </w:tc>
        <w:tc>
          <w:tcPr>
            <w:tcW w:type="dxa" w:w="16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论文、演示、开源影响力</w:t>
            </w:r>
          </w:p>
        </w:tc>
        <w:tc>
          <w:tcPr>
            <w:tcW w:type="dxa" w:w="19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VC、互联网大厂战投</w:t>
            </w:r>
          </w:p>
        </w:tc>
        <w:tc>
          <w:tcPr>
            <w:tcW w:type="dxa" w:w="29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估值翻倍</w:t>
            </w:r>
          </w:p>
        </w:tc>
        <w:tc>
          <w:tcPr>
            <w:tcW w:type="dxa" w:w="15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模型公司涌现</w:t>
            </w:r>
          </w:p>
        </w:tc>
      </w:tr>
      <w:tr>
        <w:trPr>
          <w:cantSplit w:val="false"/>
          <w:tblHeader w:val="false"/>
        </w:trPr>
        <w:tc>
          <w:tcPr>
            <w:tcW w:type="dxa" w:w="8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扩张期</w:t>
            </w:r>
          </w:p>
        </w:tc>
        <w:tc>
          <w:tcPr>
            <w:tcW w:type="dxa" w:w="74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2025–2026H1</w:t>
            </w:r>
          </w:p>
        </w:tc>
        <w:tc>
          <w:tcPr>
            <w:tcW w:type="dxa" w:w="16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出货、订单、"百亿俱乐部"</w:t>
            </w:r>
          </w:p>
        </w:tc>
        <w:tc>
          <w:tcPr>
            <w:tcW w:type="dxa" w:w="19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国资、产业资本、头部 VC 联合</w:t>
            </w:r>
          </w:p>
        </w:tc>
        <w:tc>
          <w:tcPr>
            <w:tcW w:type="dxa" w:w="29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 个月连续多轮、单轮十亿元级</w:t>
            </w:r>
          </w:p>
        </w:tc>
        <w:tc>
          <w:tcPr>
            <w:tcW w:type="dxa" w:w="15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估值进入 200–500 亿元级</w:t>
            </w:r>
          </w:p>
        </w:tc>
      </w:tr>
      <w:tr>
        <w:trPr>
          <w:cantSplit w:val="false"/>
          <w:tblHeader w:val="false"/>
        </w:trPr>
        <w:tc>
          <w:tcPr>
            <w:tcW w:type="dxa" w:w="8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验证与分化期</w:t>
            </w:r>
          </w:p>
        </w:tc>
        <w:tc>
          <w:tcPr>
            <w:tcW w:type="dxa" w:w="74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2026H2 起</w:t>
            </w:r>
          </w:p>
        </w:tc>
        <w:tc>
          <w:tcPr>
            <w:tcW w:type="dxa" w:w="16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5"/>
                <w:szCs w:val="15"/>
              </w:rPr>
              <w:t xml:space="preserve">收入质量、退出可行性</w:t>
            </w:r>
          </w:p>
        </w:tc>
        <w:tc>
          <w:tcPr>
            <w:tcW w:type="dxa" w:w="190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产业资本、二级市场</w:t>
            </w:r>
          </w:p>
        </w:tc>
        <w:tc>
          <w:tcPr>
            <w:tcW w:type="dxa" w:w="29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宇树上市及回撤、证监会窗口指导、港股 120 日规则</w:t>
            </w:r>
          </w:p>
        </w:tc>
        <w:tc>
          <w:tcPr>
            <w:tcW w:type="dxa" w:w="15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头部继续融资，尾部断档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81" w:id="1081"/>
      <w:r>
        <w:t xml:space="preserve">9.4 不同类型资本的角色</w:t>
      </w:r>
      <w:bookmarkEnd w:id="108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2126"/>
        <w:gridCol w:w="1275"/>
        <w:gridCol w:w="3119"/>
      </w:tblGrid>
      <w:tr>
        <w:trPr>
          <w:cantSplit w:val="false"/>
          <w:tblHeader/>
        </w:trPr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资本类型</w:t>
            </w:r>
          </w:p>
        </w:tc>
        <w:tc>
          <w:tcPr>
            <w:tcW w:type="dxa" w:w="21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角色</w:t>
            </w:r>
          </w:p>
        </w:tc>
        <w:tc>
          <w:tcPr>
            <w:tcW w:type="dxa" w:w="1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行为特征</w:t>
            </w:r>
          </w:p>
        </w:tc>
        <w:tc>
          <w:tcPr>
            <w:tcW w:type="dxa" w:w="3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对行业的影响</w:t>
            </w:r>
          </w:p>
        </w:tc>
      </w:tr>
      <w:tr>
        <w:trPr>
          <w:cantSplit w:val="false"/>
          <w:tblHeader w:val="false"/>
        </w:trPr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人民币 VC/PE（高瓴、红杉中国、启明等）</w:t>
            </w:r>
          </w:p>
        </w:tc>
        <w:tc>
          <w:tcPr>
            <w:tcW w:type="dxa" w:w="21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头部项目主导者</w:t>
            </w:r>
          </w:p>
        </w:tc>
        <w:tc>
          <w:tcPr>
            <w:tcW w:type="dxa" w:w="1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联合领投、快速跟进</w:t>
            </w:r>
          </w:p>
        </w:tc>
        <w:tc>
          <w:tcPr>
            <w:tcW w:type="dxa" w:w="3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推高估值、加快集中</w:t>
            </w:r>
          </w:p>
        </w:tc>
      </w:tr>
      <w:tr>
        <w:trPr>
          <w:cantSplit w:val="false"/>
          <w:tblHeader w:val="false"/>
        </w:trPr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美元基金</w:t>
            </w:r>
          </w:p>
        </w:tc>
        <w:tc>
          <w:tcPr>
            <w:tcW w:type="dxa" w:w="21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在中国项目中边缘化；在美国主导</w:t>
            </w:r>
          </w:p>
        </w:tc>
        <w:tc>
          <w:tcPr>
            <w:tcW w:type="dxa" w:w="1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关注地缘风险</w:t>
            </w:r>
          </w:p>
        </w:tc>
        <w:tc>
          <w:tcPr>
            <w:tcW w:type="dxa" w:w="3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中国项目的美元估值参照减少</w:t>
            </w:r>
          </w:p>
        </w:tc>
      </w:tr>
      <w:tr>
        <w:trPr>
          <w:cantSplit w:val="false"/>
          <w:tblHeader w:val="false"/>
        </w:trPr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国资与政府引导基金</w:t>
            </w:r>
          </w:p>
        </w:tc>
        <w:tc>
          <w:tcPr>
            <w:tcW w:type="dxa" w:w="21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2025–2026 年最重要的增量资金</w:t>
            </w:r>
          </w:p>
        </w:tc>
        <w:tc>
          <w:tcPr>
            <w:tcW w:type="dxa" w:w="1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返投要求、产业落地</w:t>
            </w:r>
          </w:p>
        </w:tc>
        <w:tc>
          <w:tcPr>
            <w:tcW w:type="dxa" w:w="3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托底估值、延迟出清；国家创投引导基金中央出资 1,000 亿元、目标万亿规模〔A，S22〕</w:t>
            </w:r>
          </w:p>
        </w:tc>
      </w:tr>
      <w:tr>
        <w:trPr>
          <w:cantSplit w:val="false"/>
          <w:tblHeader w:val="false"/>
        </w:trPr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产业资本（宁德时代、美团、TCL、车企、上汽等）</w:t>
            </w:r>
          </w:p>
        </w:tc>
        <w:tc>
          <w:tcPr>
            <w:tcW w:type="dxa" w:w="21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战略协同、场景提供</w:t>
            </w:r>
          </w:p>
        </w:tc>
        <w:tc>
          <w:tcPr>
            <w:tcW w:type="dxa" w:w="1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股东即客户</w:t>
            </w:r>
          </w:p>
        </w:tc>
        <w:tc>
          <w:tcPr>
            <w:tcW w:type="dxa" w:w="3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带来场景，但也带来关联交易问题</w:t>
            </w:r>
          </w:p>
        </w:tc>
      </w:tr>
      <w:tr>
        <w:trPr>
          <w:cantSplit w:val="false"/>
          <w:tblHeader w:val="false"/>
        </w:trPr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互联网大厂（阿里、腾讯、字节、美团、小米）</w:t>
            </w:r>
          </w:p>
        </w:tc>
        <w:tc>
          <w:tcPr>
            <w:tcW w:type="dxa" w:w="21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投资加自研</w:t>
            </w:r>
          </w:p>
        </w:tc>
        <w:tc>
          <w:tcPr>
            <w:tcW w:type="dxa" w:w="1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生态卡位</w:t>
            </w:r>
          </w:p>
        </w:tc>
        <w:tc>
          <w:tcPr>
            <w:tcW w:type="dxa" w:w="3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可能纵向整合，压缩独立模型公司空间</w:t>
            </w:r>
          </w:p>
        </w:tc>
      </w:tr>
      <w:tr>
        <w:trPr>
          <w:cantSplit w:val="false"/>
          <w:tblHeader w:val="false"/>
        </w:trPr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二级市场（A 股、港股）</w:t>
            </w:r>
          </w:p>
        </w:tc>
        <w:tc>
          <w:tcPr>
            <w:tcW w:type="dxa" w:w="21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退出和定价</w:t>
            </w:r>
          </w:p>
        </w:tc>
        <w:tc>
          <w:tcPr>
            <w:tcW w:type="dxa" w:w="12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情绪化、高波动</w:t>
            </w:r>
          </w:p>
        </w:tc>
        <w:tc>
          <w:tcPr>
            <w:tcW w:type="dxa" w:w="31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宇树发行市盈率 219 倍；首日开盘约 260 倍市销率〔B〕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82" w:id="1082"/>
      <w:r>
        <w:t xml:space="preserve">9.5 估值的演变与横截面</w:t>
      </w:r>
      <w:bookmarkEnd w:id="1082"/>
    </w:p>
    <w:p>
      <w:pPr>
        <w:spacing w:after="40" w:before="120"/>
        <w:jc w:val="center"/>
      </w:pPr>
      <w:r>
        <w:drawing>
          <wp:inline distT="0" distB="0" distL="0" distR="0">
            <wp:extent cx="6000750" cy="3305175"/>
            <wp:effectExtent t="0" r="0" b="0" l="0"/>
            <wp:docPr id="1" name="估值与收入严重脱钩" descr="估值与收入严重脱钩" title="估值与收入严重脱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14E"/>
          <w:sz w:val="18"/>
          <w:szCs w:val="18"/>
        </w:rPr>
        <w:t xml:space="preserve">图 7　估值与收入严重脱钩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7"/>
        <w:gridCol w:w="1005"/>
        <w:gridCol w:w="2010"/>
        <w:gridCol w:w="709"/>
        <w:gridCol w:w="1892"/>
        <w:gridCol w:w="532"/>
        <w:gridCol w:w="1953"/>
      </w:tblGrid>
      <w:tr>
        <w:trPr>
          <w:cantSplit w:val="false"/>
          <w:tblHeader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公司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估值/市值（亿元）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估值口径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收入（亿元）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收入口径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估值/收入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备注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宇树科技（IPO 发行价）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610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发行价对应总市值，2026-08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17.08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36x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发行市盈率 219 倍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宇树科技（首日开盘）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4,449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开盘价 1,100 元，2026-08-19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17.08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260x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峰值情绪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宇树科技（9 月 18 日收盘）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2,083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514.98 元 × 4.04 亿股（推算）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17.08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122x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较开盘高点回撤约 53%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云深处（IPO 前估值）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139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按募资额与发行比例推算，2026-05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3.37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41x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年首次盈利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乐聚智能（最近一轮）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43.3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2025-10 投后估值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2.58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创业板第四套标准首单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智元（传闻新一轮）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500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媒体报道约 500 亿元，2026-10，未获公司确认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10.50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年营收（公司口径）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48x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对 2026E 45 亿元收入约 11x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Agility（SPAC）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178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25 亿美元，2026-06 协议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0.13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 180 万美元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1,389x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订单储备 3 亿美元以上（里程碑式）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Skild AI（C 轮）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994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140 亿美元+，2026-01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2.13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年未审计收入约 3,000 万美元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467x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公司称年化收入运行率已过 1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极智嘉（对照：AMR）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港股上市公司（市值以实时行情为准）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31.71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毛利率 35.5%，经调整净利润转正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三个观察</w:t>
      </w:r>
      <w:r>
        <w:t xml:space="preserve">：</w:t>
      </w:r>
    </w:p>
    <w:p>
      <w:pPr>
        <w:spacing w:after="60" w:line="312" w:lineRule="auto"/>
        <w:ind w:left="420" w:hanging="300"/>
      </w:pPr>
      <w:r>
        <w:t xml:space="preserve">1. </w:t>
      </w:r>
      <w:r>
        <w:rPr>
          <w:b/>
          <w:bCs/>
        </w:rPr>
        <w:t xml:space="preserve">同一家公司的估值，在两个月内波动了约 7 倍</w:t>
      </w:r>
      <w:r>
        <w:t xml:space="preserve">。宇树从发行价对应的 610 亿元，涨到开盘的 4,449 亿元，又回到 9 月中旬的约 2,083 亿元。可见二级市场对人形的定价远未稳定。</w:t>
      </w:r>
    </w:p>
    <w:p>
      <w:pPr>
        <w:spacing w:after="60" w:line="312" w:lineRule="auto"/>
        <w:ind w:left="420" w:hanging="300"/>
      </w:pPr>
      <w:r>
        <w:t xml:space="preserve">2. </w:t>
      </w:r>
      <w:r>
        <w:rPr>
          <w:b/>
          <w:bCs/>
        </w:rPr>
        <w:t xml:space="preserve">一级市场与二级市场存在倒挂风险</w:t>
      </w:r>
      <w:r>
        <w:t xml:space="preserve">。200 亿元级的未上市整机或模型公司，多数没有宇树那样的盈利和毛利率，却要求接近的估值。</w:t>
      </w:r>
    </w:p>
    <w:p>
      <w:pPr>
        <w:spacing w:after="60" w:line="312" w:lineRule="auto"/>
        <w:ind w:left="420" w:hanging="300"/>
      </w:pPr>
      <w:r>
        <w:t xml:space="preserve">3. </w:t>
      </w:r>
      <w:r>
        <w:rPr>
          <w:b/>
          <w:bCs/>
        </w:rPr>
        <w:t xml:space="preserve">美国估值更"纯粹地押未来"</w:t>
      </w:r>
      <w:r>
        <w:t xml:space="preserve">：Agility 约 1,389 倍市销率，Skild 约 467 倍（按 2025 年收入）。中国上市样本（宇树）至少有利润支撑。</w:t>
      </w:r>
    </w:p>
    <w:p>
      <w:pPr>
        <w:pStyle w:val="Heading2"/>
      </w:pPr>
      <w:bookmarkStart w:name="bm83" w:id="1083"/>
      <w:r>
        <w:t xml:space="preserve">9.6 融资规模与真实业务进展的关系</w:t>
      </w:r>
      <w:bookmarkEnd w:id="108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9"/>
        <w:gridCol w:w="2509"/>
        <w:gridCol w:w="2110"/>
        <w:gridCol w:w="2510"/>
      </w:tblGrid>
      <w:tr>
        <w:trPr>
          <w:cantSplit w:val="false"/>
          <w:tblHeader/>
        </w:trPr>
        <w:tc>
          <w:tcPr>
            <w:tcW w:type="dxa" w:w="25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指标</w:t>
            </w:r>
          </w:p>
        </w:tc>
        <w:tc>
          <w:tcPr>
            <w:tcW w:type="dxa" w:w="25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资本侧</w:t>
            </w:r>
          </w:p>
        </w:tc>
        <w:tc>
          <w:tcPr>
            <w:tcW w:type="dxa" w:w="21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业务侧</w:t>
            </w:r>
          </w:p>
        </w:tc>
        <w:tc>
          <w:tcPr>
            <w:tcW w:type="dxa" w:w="25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比值或解读</w:t>
            </w:r>
          </w:p>
        </w:tc>
      </w:tr>
      <w:tr>
        <w:trPr>
          <w:cantSplit w:val="false"/>
          <w:tblHeader w:val="false"/>
        </w:trPr>
        <w:tc>
          <w:tcPr>
            <w:tcW w:type="dxa" w:w="25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中国具身融资（2026H1） vs 全球人形销售额（2025）</w:t>
            </w:r>
          </w:p>
        </w:tc>
        <w:tc>
          <w:tcPr>
            <w:tcW w:type="dxa" w:w="25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935 亿元</w:t>
            </w:r>
          </w:p>
        </w:tc>
        <w:tc>
          <w:tcPr>
            <w:tcW w:type="dxa" w:w="21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约 31 亿元（4.4 亿美元）</w:t>
            </w:r>
          </w:p>
        </w:tc>
        <w:tc>
          <w:tcPr>
            <w:tcW w:type="dxa" w:w="25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约 30 倍</w:t>
            </w:r>
          </w:p>
        </w:tc>
      </w:tr>
      <w:tr>
        <w:trPr>
          <w:cantSplit w:val="false"/>
          <w:tblHeader w:val="false"/>
        </w:trPr>
        <w:tc>
          <w:tcPr>
            <w:tcW w:type="dxa" w:w="25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Agility 订单 vs 收入</w:t>
            </w:r>
          </w:p>
        </w:tc>
        <w:tc>
          <w:tcPr>
            <w:tcW w:type="dxa" w:w="25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超过 3 亿美元（里程碑式）</w:t>
            </w:r>
          </w:p>
        </w:tc>
        <w:tc>
          <w:tcPr>
            <w:tcW w:type="dxa" w:w="21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180 万美元（2025）</w:t>
            </w:r>
          </w:p>
        </w:tc>
        <w:tc>
          <w:tcPr>
            <w:tcW w:type="dxa" w:w="25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收入约为订单的 0.6%</w:t>
            </w:r>
          </w:p>
        </w:tc>
      </w:tr>
      <w:tr>
        <w:trPr>
          <w:cantSplit w:val="false"/>
          <w:tblHeader w:val="false"/>
        </w:trPr>
        <w:tc>
          <w:tcPr>
            <w:tcW w:type="dxa" w:w="25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优必选订单 vs 收入</w:t>
            </w:r>
          </w:p>
        </w:tc>
        <w:tc>
          <w:tcPr>
            <w:tcW w:type="dxa" w:w="25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Walker 系列 2025 年订单约 13 亿元（公司口径）</w:t>
            </w:r>
          </w:p>
        </w:tc>
        <w:tc>
          <w:tcPr>
            <w:tcW w:type="dxa" w:w="21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全尺寸收入 8.21 亿元</w:t>
            </w:r>
          </w:p>
        </w:tc>
        <w:tc>
          <w:tcPr>
            <w:tcW w:type="dxa" w:w="25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约 63%（部分订单跨年交付）</w:t>
            </w:r>
          </w:p>
        </w:tc>
      </w:tr>
      <w:tr>
        <w:trPr>
          <w:cantSplit w:val="false"/>
          <w:tblHeader w:val="false"/>
        </w:trPr>
        <w:tc>
          <w:tcPr>
            <w:tcW w:type="dxa" w:w="25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Figure 估值 vs 收入</w:t>
            </w:r>
          </w:p>
        </w:tc>
        <w:tc>
          <w:tcPr>
            <w:tcW w:type="dxa" w:w="25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390 亿美元</w:t>
            </w:r>
          </w:p>
        </w:tc>
        <w:tc>
          <w:tcPr>
            <w:tcW w:type="dxa" w:w="21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极少（媒体称上一年无收入，C）</w:t>
            </w:r>
          </w:p>
        </w:tc>
        <w:tc>
          <w:tcPr>
            <w:tcW w:type="dxa" w:w="25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rPr>
          <w:cantSplit w:val="false"/>
          <w:tblHeader w:val="false"/>
        </w:trPr>
        <w:tc>
          <w:tcPr>
            <w:tcW w:type="dxa" w:w="25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中国产量 vs 全球出货</w:t>
            </w:r>
          </w:p>
        </w:tc>
        <w:tc>
          <w:tcPr>
            <w:tcW w:type="dxa" w:w="25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中国 2026H1 产量超过 4 万台（工信部）</w:t>
            </w:r>
          </w:p>
        </w:tc>
        <w:tc>
          <w:tcPr>
            <w:tcW w:type="dxa" w:w="21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全球出货超过 2.2 万台（Counterpoint）</w:t>
            </w:r>
          </w:p>
        </w:tc>
        <w:tc>
          <w:tcPr>
            <w:tcW w:type="dxa" w:w="25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产量与出货的差距需要解释</w:t>
            </w:r>
            <w:r>
              <w:rPr>
                <w:sz w:val="16"/>
                <w:szCs w:val="16"/>
              </w:rPr>
              <w:t xml:space="preserve">：库存、口径差异，或含非人形/小型产品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结论</w:t>
      </w:r>
      <w:r>
        <w:t xml:space="preserve">：融资规模与真实业务进展之间</w:t>
      </w:r>
      <w:r>
        <w:rPr>
          <w:b/>
          <w:bCs/>
        </w:rPr>
        <w:t xml:space="preserve">几乎没有正相关</w:t>
      </w:r>
      <w:r>
        <w:t xml:space="preserve">。在 2025–2026 年，融资更多地反映</w:t>
      </w:r>
      <w:r>
        <w:rPr>
          <w:b/>
          <w:bCs/>
        </w:rPr>
        <w:t xml:space="preserve">资本可得性和稀缺性溢价</w:t>
      </w:r>
      <w:r>
        <w:t xml:space="preserve">，而不是商业化进度。这意味着当融资环境收紧时，估值的回撤空间会很大。</w:t>
      </w:r>
    </w:p>
    <w:p>
      <w:pPr>
        <w:pStyle w:val="Heading2"/>
      </w:pPr>
      <w:bookmarkStart w:name="bm84" w:id="1084"/>
      <w:r>
        <w:t xml:space="preserve">9.7 退出路径：窗口打开，正在收紧</w:t>
      </w:r>
      <w:bookmarkEnd w:id="108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84"/>
        <w:gridCol w:w="3926"/>
        <w:gridCol w:w="3928"/>
      </w:tblGrid>
      <w:tr>
        <w:trPr>
          <w:cantSplit w:val="false"/>
          <w:tblHeader/>
        </w:trPr>
        <w:tc>
          <w:tcPr>
            <w:tcW w:type="dxa" w:w="17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39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2026 年进展</w:t>
            </w:r>
          </w:p>
        </w:tc>
        <w:tc>
          <w:tcPr>
            <w:tcW w:type="dxa" w:w="39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门槛与风险</w:t>
            </w:r>
          </w:p>
        </w:tc>
      </w:tr>
      <w:tr>
        <w:trPr>
          <w:cantSplit w:val="false"/>
          <w:tblHeader w:val="false"/>
        </w:trPr>
        <w:tc>
          <w:tcPr>
            <w:tcW w:type="dxa" w:w="17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科创板 IPO</w:t>
            </w:r>
          </w:p>
        </w:tc>
        <w:tc>
          <w:tcPr>
            <w:tcW w:type="dxa" w:w="39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宇树上市；云深处已受理（拟募资 25.03 亿元）〔A/B，S53〕</w:t>
            </w:r>
          </w:p>
        </w:tc>
        <w:tc>
          <w:tcPr>
            <w:tcW w:type="dxa" w:w="39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证监会窗口指导要求证明经常性收入、亏损收窄或真正创新〔B，S55〕</w:t>
            </w:r>
          </w:p>
        </w:tc>
      </w:tr>
      <w:tr>
        <w:trPr>
          <w:cantSplit w:val="false"/>
          <w:tblHeader w:val="false"/>
        </w:trPr>
        <w:tc>
          <w:tcPr>
            <w:tcW w:type="dxa" w:w="17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创业板（第四套标准）</w:t>
            </w:r>
          </w:p>
        </w:tc>
        <w:tc>
          <w:tcPr>
            <w:tcW w:type="dxa" w:w="39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乐聚为首单受理〔A/B，S53〕</w:t>
            </w:r>
          </w:p>
        </w:tc>
        <w:tc>
          <w:tcPr>
            <w:tcW w:type="dxa" w:w="39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审核趋严</w:t>
            </w:r>
          </w:p>
        </w:tc>
      </w:tr>
      <w:tr>
        <w:trPr>
          <w:cantSplit w:val="false"/>
          <w:tblHeader w:val="false"/>
        </w:trPr>
        <w:tc>
          <w:tcPr>
            <w:tcW w:type="dxa" w:w="17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港股（含 18C）</w:t>
            </w:r>
          </w:p>
        </w:tc>
        <w:tc>
          <w:tcPr>
            <w:tcW w:type="dxa" w:w="39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年内约 5 家机器人企业上市；约 46 家排队〔C，S78〕；智元因新融资受 120 日规则限制而暂缓〔C，S16〕</w:t>
            </w:r>
          </w:p>
        </w:tc>
        <w:tc>
          <w:tcPr>
            <w:tcW w:type="dxa" w:w="39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排队拥挤，估值低于 A 股</w:t>
            </w:r>
          </w:p>
        </w:tc>
      </w:tr>
      <w:tr>
        <w:trPr>
          <w:cantSplit w:val="false"/>
          <w:tblHeader w:val="false"/>
        </w:trPr>
        <w:tc>
          <w:tcPr>
            <w:tcW w:type="dxa" w:w="17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美国 SPAC</w:t>
            </w:r>
          </w:p>
        </w:tc>
        <w:tc>
          <w:tcPr>
            <w:tcW w:type="dxa" w:w="39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Agility 与 Churchill XI 合并（待完成）〔B，S35〕</w:t>
            </w:r>
          </w:p>
        </w:tc>
        <w:tc>
          <w:tcPr>
            <w:tcW w:type="dxa" w:w="39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SPAC 后股价表现历来较差</w:t>
            </w:r>
          </w:p>
        </w:tc>
      </w:tr>
      <w:tr>
        <w:trPr>
          <w:cantSplit w:val="false"/>
          <w:tblHeader w:val="false"/>
        </w:trPr>
        <w:tc>
          <w:tcPr>
            <w:tcW w:type="dxa" w:w="17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控股上市公司</w:t>
            </w:r>
          </w:p>
        </w:tc>
        <w:tc>
          <w:tcPr>
            <w:tcW w:type="dxa" w:w="39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智元收购上纬新材 63.62%〔B，S18〕</w:t>
            </w:r>
          </w:p>
        </w:tc>
        <w:tc>
          <w:tcPr>
            <w:tcW w:type="dxa" w:w="39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监管对"借壳式"运作的关注</w:t>
            </w:r>
          </w:p>
        </w:tc>
      </w:tr>
      <w:tr>
        <w:trPr>
          <w:cantSplit w:val="false"/>
          <w:tblHeader w:val="false"/>
        </w:trPr>
        <w:tc>
          <w:tcPr>
            <w:tcW w:type="dxa" w:w="17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产业并购</w:t>
            </w:r>
          </w:p>
        </w:tc>
        <w:tc>
          <w:tcPr>
            <w:tcW w:type="dxa" w:w="39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尚少；预计 2027–2029 年随出清增加</w:t>
            </w:r>
          </w:p>
        </w:tc>
        <w:tc>
          <w:tcPr>
            <w:tcW w:type="dxa" w:w="39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买方以产业方为主，估值打折</w:t>
            </w:r>
          </w:p>
        </w:tc>
      </w:tr>
      <w:tr>
        <w:trPr>
          <w:cantSplit w:val="false"/>
          <w:tblHeader w:val="false"/>
        </w:trPr>
        <w:tc>
          <w:tcPr>
            <w:tcW w:type="dxa" w:w="17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老股转让</w:t>
            </w:r>
          </w:p>
        </w:tc>
        <w:tc>
          <w:tcPr>
            <w:tcW w:type="dxa" w:w="39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头部项目存在</w:t>
            </w:r>
          </w:p>
        </w:tc>
        <w:tc>
          <w:tcPr>
            <w:tcW w:type="dxa" w:w="39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价格信号重要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85" w:id="1085"/>
      <w:r>
        <w:t xml:space="preserve">9.8 当前处于哪个阶段：分赛道判断</w:t>
      </w:r>
      <w:bookmarkEnd w:id="108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4820"/>
      </w:tblGrid>
      <w:tr>
        <w:trPr>
          <w:cantSplit w:val="false"/>
          <w:tblHeader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细分赛道</w:t>
            </w:r>
          </w:p>
        </w:tc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阶段</w:t>
            </w:r>
          </w:p>
        </w:tc>
        <w:tc>
          <w:tcPr>
            <w:tcW w:type="dxa" w:w="4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理由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同质化双足整机</w:t>
            </w:r>
          </w:p>
        </w:tc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资本扩张末期，局部过热</w:t>
            </w:r>
          </w:p>
        </w:tc>
        <w:tc>
          <w:tcPr>
            <w:tcW w:type="dxa" w:w="4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150 家以上企业、产品同质化（发改委）；尾部融资困难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头部整机和平台</w:t>
            </w:r>
          </w:p>
        </w:tc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资本扩张向商业验证过渡</w:t>
            </w:r>
          </w:p>
        </w:tc>
        <w:tc>
          <w:tcPr>
            <w:tcW w:type="dxa" w:w="4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估值仍在上升，但退出门槛提高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机器人基础模型</w:t>
            </w:r>
          </w:p>
        </w:tc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技术探索期叠加资本扩张</w:t>
            </w:r>
          </w:p>
        </w:tc>
        <w:tc>
          <w:tcPr>
            <w:tcW w:type="dxa" w:w="4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收入极少，估值高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精密零部件</w:t>
            </w:r>
          </w:p>
        </w:tc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量产导入期</w:t>
            </w:r>
          </w:p>
        </w:tc>
        <w:tc>
          <w:tcPr>
            <w:tcW w:type="dxa" w:w="4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订单真实增长，二级市场估值偏高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场景闭环的非人形机器人</w:t>
            </w:r>
          </w:p>
        </w:tc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商业验证到早期规模化</w:t>
            </w:r>
          </w:p>
        </w:tc>
        <w:tc>
          <w:tcPr>
            <w:tcW w:type="dxa" w:w="4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已有盈利样本，相对被忽视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数据服务</w:t>
            </w:r>
          </w:p>
        </w:tc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政策驱动的扩张期</w:t>
            </w:r>
          </w:p>
        </w:tc>
        <w:tc>
          <w:tcPr>
            <w:tcW w:type="dxa" w:w="4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补贴扩大供给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家庭人形</w:t>
            </w:r>
          </w:p>
        </w:tc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技术探索期，估值下修</w:t>
            </w:r>
          </w:p>
        </w:tc>
        <w:tc>
          <w:tcPr>
            <w:tcW w:type="dxa" w:w="48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1X 估值下修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86" w:id="1086"/>
      <w:r>
        <w:t xml:space="preserve">9.9 泡沫在哪里，被忽视的又在哪里</w:t>
      </w:r>
      <w:bookmarkEnd w:id="1086"/>
    </w:p>
    <w:p>
      <w:pPr>
        <w:spacing w:after="120" w:line="324" w:lineRule="auto"/>
        <w:jc w:val="both"/>
      </w:pPr>
      <w:r>
        <w:rPr>
          <w:b/>
          <w:bCs/>
        </w:rPr>
        <w:t xml:space="preserve">过度投资（泡沫风险高）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同质化全尺寸双足整机；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估值 100 亿元以上、没有第三方付费的纯模型公司；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文娱租赁和商演；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以政府数采中心为主要收入的整机；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讲"百万小时数据"故事但没有回流闭环的数据公司。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相对被忽视（存在机会）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轮式移动操作和场景闭环系统（工业上下料、实验室、物流搬箱）；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特种作业机器人（巡检、电力、危化、矿山）；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精密部件里的工艺壁垒环节（丝杠、高端手、六维力）；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可靠性工程、运维、车队管理软件；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第三方评测与安全认证；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机器人金融，例如融资租赁、残值管理。</w:t>
      </w:r>
    </w:p>
    <w:p>
      <w:pPr>
        <w:pStyle w:val="Heading2"/>
      </w:pPr>
      <w:bookmarkStart w:name="bm87" w:id="1087"/>
      <w:r>
        <w:t xml:space="preserve">9.10 反证检查</w:t>
      </w:r>
      <w:bookmarkEnd w:id="1087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"泡沫"判断的反面</w:t>
      </w:r>
      <w:r>
        <w:t xml:space="preserve">：如果 2027 年工业 ROI 门槛在多个场景被跨越，今天的估值事后看可能是合理的。2020 年前后的电动车整车估值，就曾在几年后被收入证明。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"窗口收紧"的反面</w:t>
      </w:r>
      <w:r>
        <w:t xml:space="preserve">：政策层面仍在鼓励硬科技上市，窗口可能在 2027 年重新放宽。如果我们因此过度保守，可能错过头部项目的 Pre-IPO 机会。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：头部企业下一轮估值是否继续上调；老股转让的折价幅度；科创板和港股对人形企业的过会率。</w:t>
      </w:r>
    </w:p>
    <w:p>
      <w:pPr>
        <w:pStyle w:val="Heading1"/>
        <w:pageBreakBefore/>
      </w:pPr>
      <w:bookmarkStart w:name="bm88" w:id="1088"/>
      <w:r>
        <w:t xml:space="preserve">第十篇　政策、地缘竞争、产业集群与中国市场特征</w:t>
      </w:r>
      <w:bookmarkEnd w:id="1088"/>
    </w:p>
    <w:p>
      <w:pPr>
        <w:pStyle w:val="Heading2"/>
      </w:pPr>
      <w:bookmarkStart w:name="bm89" w:id="1089"/>
      <w:r>
        <w:t xml:space="preserve">10.1 中央政策的时间线与作用机制</w:t>
      </w:r>
      <w:bookmarkEnd w:id="108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0"/>
        <w:gridCol w:w="3212"/>
        <w:gridCol w:w="3212"/>
        <w:gridCol w:w="1752"/>
        <w:gridCol w:w="732"/>
      </w:tblGrid>
      <w:tr>
        <w:trPr>
          <w:cantSplit w:val="false"/>
          <w:tblHeader/>
        </w:trPr>
        <w:tc>
          <w:tcPr>
            <w:tcW w:type="dxa" w:w="7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政策或事件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主要内容</w:t>
            </w:r>
          </w:p>
        </w:tc>
        <w:tc>
          <w:tcPr>
            <w:tcW w:type="dxa" w:w="17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作用机制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证据</w:t>
            </w:r>
          </w:p>
        </w:tc>
      </w:tr>
      <w:tr>
        <w:trPr>
          <w:cantSplit w:val="false"/>
          <w:tblHeader w:val="false"/>
        </w:trPr>
        <w:tc>
          <w:tcPr>
            <w:tcW w:type="dxa" w:w="7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2023-11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工信部《人形机器人创新发展指导意见》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提出 2025 年初步建立创新体系、2027 年综合实力达到世界先进水平等目标</w:t>
            </w:r>
          </w:p>
        </w:tc>
        <w:tc>
          <w:tcPr>
            <w:tcW w:type="dxa" w:w="17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方向信号，地方跟进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A</w:t>
            </w:r>
          </w:p>
        </w:tc>
      </w:tr>
      <w:tr>
        <w:trPr>
          <w:cantSplit w:val="false"/>
          <w:tblHeader w:val="false"/>
        </w:trPr>
        <w:tc>
          <w:tcPr>
            <w:tcW w:type="dxa" w:w="7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2025-03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政府工作报告首次写入"具身智能"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列为未来产业</w:t>
            </w:r>
          </w:p>
        </w:tc>
        <w:tc>
          <w:tcPr>
            <w:tcW w:type="dxa" w:w="17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资本与地方资源进入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A</w:t>
            </w:r>
          </w:p>
        </w:tc>
      </w:tr>
      <w:tr>
        <w:trPr>
          <w:cantSplit w:val="false"/>
          <w:tblHeader w:val="false"/>
        </w:trPr>
        <w:tc>
          <w:tcPr>
            <w:tcW w:type="dxa" w:w="7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2025-11-27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国家发改委新闻发布会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整机企业超过 150 家，半数以上是初创或跨界；警惕重复产品"扎堆"上市、研发空间被压缩；将建立标准评价体系和准入退出机制</w:t>
            </w:r>
          </w:p>
        </w:tc>
        <w:tc>
          <w:tcPr>
            <w:tcW w:type="dxa" w:w="17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5"/>
                <w:szCs w:val="15"/>
              </w:rPr>
              <w:t xml:space="preserve">首次官方降温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A，S21</w:t>
            </w:r>
          </w:p>
        </w:tc>
      </w:tr>
      <w:tr>
        <w:trPr>
          <w:cantSplit w:val="false"/>
          <w:tblHeader w:val="false"/>
        </w:trPr>
        <w:tc>
          <w:tcPr>
            <w:tcW w:type="dxa" w:w="7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2025-12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工信部人形机器人与具身智能标准化技术委员会成立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覆盖基础共性、部组件、整机、应用、安全等标准</w:t>
            </w:r>
          </w:p>
        </w:tc>
        <w:tc>
          <w:tcPr>
            <w:tcW w:type="dxa" w:w="17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准入门槛与测试方法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B，S19</w:t>
            </w:r>
          </w:p>
        </w:tc>
      </w:tr>
      <w:tr>
        <w:trPr>
          <w:cantSplit w:val="false"/>
          <w:tblHeader w:val="false"/>
        </w:trPr>
        <w:tc>
          <w:tcPr>
            <w:tcW w:type="dxa" w:w="7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2025-12-26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国家创业投资引导基金启动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中央财政出资 1,000 亿元，目标万亿规模；京津冀、长三角、粤港澳三只区域基金；20 年存续期</w:t>
            </w:r>
          </w:p>
        </w:tc>
        <w:tc>
          <w:tcPr>
            <w:tcW w:type="dxa" w:w="17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长期资本供给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A，S22</w:t>
            </w:r>
          </w:p>
        </w:tc>
      </w:tr>
      <w:tr>
        <w:trPr>
          <w:cantSplit w:val="false"/>
          <w:tblHeader w:val="false"/>
        </w:trPr>
        <w:tc>
          <w:tcPr>
            <w:tcW w:type="dxa" w:w="7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2026-02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《人形机器人与具身智能标准体系（2026 版）》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六大部分</w:t>
            </w:r>
          </w:p>
        </w:tc>
        <w:tc>
          <w:tcPr>
            <w:tcW w:type="dxa" w:w="17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测试与认证的基础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B，S20</w:t>
            </w:r>
          </w:p>
        </w:tc>
      </w:tr>
      <w:tr>
        <w:trPr>
          <w:cantSplit w:val="false"/>
          <w:tblHeader w:val="false"/>
        </w:trPr>
        <w:tc>
          <w:tcPr>
            <w:tcW w:type="dxa" w:w="7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2026-06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工信部、国资委"实景实训"专项行动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 个重点省市和中央企业统一部署训练场；2026 年底形成万台级规模落地能力</w:t>
            </w:r>
          </w:p>
        </w:tc>
        <w:tc>
          <w:tcPr>
            <w:tcW w:type="dxa" w:w="17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5"/>
                <w:szCs w:val="15"/>
              </w:rPr>
              <w:t xml:space="preserve">直接创造需求（国资场景）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B，S20/S58</w:t>
            </w:r>
          </w:p>
        </w:tc>
      </w:tr>
      <w:tr>
        <w:trPr>
          <w:cantSplit w:val="false"/>
          <w:tblHeader w:val="false"/>
        </w:trPr>
        <w:tc>
          <w:tcPr>
            <w:tcW w:type="dxa" w:w="7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2026-07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标委会全体会议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工信部称 2025 年产量约 2 万台，2026 年上半年超过 4 万台，全年预计超过 10 万台</w:t>
            </w:r>
          </w:p>
        </w:tc>
        <w:tc>
          <w:tcPr>
            <w:tcW w:type="dxa" w:w="17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规模目标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B，S19</w:t>
            </w:r>
          </w:p>
        </w:tc>
      </w:tr>
      <w:tr>
        <w:trPr>
          <w:cantSplit w:val="false"/>
          <w:tblHeader w:val="false"/>
        </w:trPr>
        <w:tc>
          <w:tcPr>
            <w:tcW w:type="dxa" w:w="7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2026-09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证监会窗口指导（据报道）</w:t>
            </w:r>
          </w:p>
        </w:tc>
        <w:tc>
          <w:tcPr>
            <w:tcW w:type="dxa" w:w="3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提高人形企业 IPO 门槛：经常性收入、亏损收窄或真正创新</w:t>
            </w:r>
          </w:p>
        </w:tc>
        <w:tc>
          <w:tcPr>
            <w:tcW w:type="dxa" w:w="17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5"/>
                <w:szCs w:val="15"/>
              </w:rPr>
              <w:t xml:space="preserve">退出端降温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B，S55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政策的双重性</w:t>
      </w:r>
      <w:r>
        <w:t xml:space="preserve">：中央层面同时在"</w:t>
      </w:r>
      <w:r>
        <w:rPr>
          <w:b/>
          <w:bCs/>
        </w:rPr>
        <w:t xml:space="preserve">加油</w:t>
      </w:r>
      <w:r>
        <w:t xml:space="preserve">"（引导基金、专项行动、标准）和"</w:t>
      </w:r>
      <w:r>
        <w:rPr>
          <w:b/>
          <w:bCs/>
        </w:rPr>
        <w:t xml:space="preserve">踩刹车</w:t>
      </w:r>
      <w:r>
        <w:t xml:space="preserve">"（发改委提示泡沫、证监会提高上市门槛、准入退出机制）。投资人应该把它理解成"</w:t>
      </w:r>
      <w:r>
        <w:rPr>
          <w:b/>
          <w:bCs/>
        </w:rPr>
        <w:t xml:space="preserve">鼓励产业、抑制泡沫</w:t>
      </w:r>
      <w:r>
        <w:t xml:space="preserve">"的组合，而不是单向的利好。</w:t>
      </w:r>
    </w:p>
    <w:p>
      <w:pPr>
        <w:pStyle w:val="Heading2"/>
      </w:pPr>
      <w:bookmarkStart w:name="bm90" w:id="1090"/>
      <w:r>
        <w:t xml:space="preserve">10.2 地方政策：数采中心、训练场与产业基金</w:t>
      </w:r>
      <w:bookmarkEnd w:id="1090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形式</w:t>
      </w:r>
      <w:r>
        <w:t xml:space="preserve">：数据采集与训练中心、应用示范、首台套补贴、算力券、产业园区、地方产业基金（常附返投要求）。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订单实例</w:t>
      </w:r>
      <w:r>
        <w:t xml:space="preserve">：优必选中标九江（1.43 亿元）、自贡（1.59 亿元）、广西（1.26 亿元）、呼和浩特（7,780 万元）等数采中心或训练场项目〔B/C，S11 及检索摘录〕。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数据补贴</w:t>
      </w:r>
      <w:r>
        <w:t xml:space="preserve">：贵州按采集方式补贴，遥操作每小时 30 元，无设备示教 8 元，纯视频 3 元〔C，S60〕。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地方基金</w:t>
      </w:r>
      <w:r>
        <w:t xml:space="preserve">：例如上海 2026 年 3 月设立的具身智能私募基金（20 亿元），出资人中包括湖北省人形机器人产业投资基金（检索摘录，C）。</w:t>
      </w:r>
    </w:p>
    <w:p>
      <w:pPr>
        <w:pStyle w:val="Heading2"/>
      </w:pPr>
      <w:bookmarkStart w:name="bm91" w:id="1091"/>
      <w:r>
        <w:t xml:space="preserve">10.3 政策对真实竞争力、收入和融资的影响</w:t>
      </w:r>
      <w:bookmarkEnd w:id="109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3"/>
        <w:gridCol w:w="4327"/>
        <w:gridCol w:w="4328"/>
      </w:tblGrid>
      <w:tr>
        <w:trPr>
          <w:cantSplit w:val="false"/>
          <w:tblHeader/>
        </w:trPr>
        <w:tc>
          <w:tcPr>
            <w:tcW w:type="dxa" w:w="9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影响维度</w:t>
            </w:r>
          </w:p>
        </w:tc>
        <w:tc>
          <w:tcPr>
            <w:tcW w:type="dxa" w:w="43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正面</w:t>
            </w:r>
          </w:p>
        </w:tc>
        <w:tc>
          <w:tcPr>
            <w:tcW w:type="dxa" w:w="43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负面</w:t>
            </w:r>
          </w:p>
        </w:tc>
      </w:tr>
      <w:tr>
        <w:trPr>
          <w:cantSplit w:val="false"/>
          <w:tblHeader w:val="false"/>
        </w:trPr>
        <w:tc>
          <w:tcPr>
            <w:tcW w:type="dxa" w:w="9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真实竞争力</w:t>
            </w:r>
          </w:p>
        </w:tc>
        <w:tc>
          <w:tcPr>
            <w:tcW w:type="dxa" w:w="43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提供真实场景（国企工厂）和大规模数据采集机会</w:t>
            </w:r>
          </w:p>
        </w:tc>
        <w:tc>
          <w:tcPr>
            <w:tcW w:type="dxa" w:w="43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企业可能为"中标"而非"可用"去优化产品</w:t>
            </w:r>
          </w:p>
        </w:tc>
      </w:tr>
      <w:tr>
        <w:trPr>
          <w:cantSplit w:val="false"/>
          <w:tblHeader w:val="false"/>
        </w:trPr>
        <w:tc>
          <w:tcPr>
            <w:tcW w:type="dxa" w:w="9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收入</w:t>
            </w:r>
          </w:p>
        </w:tc>
        <w:tc>
          <w:tcPr>
            <w:tcW w:type="dxa" w:w="43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2025–2026 年形成可观订单（国资约占公开招采金额 74%，转引 C）</w:t>
            </w:r>
          </w:p>
        </w:tc>
        <w:tc>
          <w:tcPr>
            <w:tcW w:type="dxa" w:w="43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一次性资本开支，收入不可持续；回款周期长</w:t>
            </w:r>
          </w:p>
        </w:tc>
      </w:tr>
      <w:tr>
        <w:trPr>
          <w:cantSplit w:val="false"/>
          <w:tblHeader w:val="false"/>
        </w:trPr>
        <w:tc>
          <w:tcPr>
            <w:tcW w:type="dxa" w:w="9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融资</w:t>
            </w:r>
          </w:p>
        </w:tc>
        <w:tc>
          <w:tcPr>
            <w:tcW w:type="dxa" w:w="43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国资出资托底，降低融资难度</w:t>
            </w:r>
          </w:p>
        </w:tc>
        <w:tc>
          <w:tcPr>
            <w:tcW w:type="dxa" w:w="43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返投要求限制企业选址与扩张；延迟出清，产能过剩</w:t>
            </w:r>
          </w:p>
        </w:tc>
      </w:tr>
      <w:tr>
        <w:trPr>
          <w:cantSplit w:val="false"/>
          <w:tblHeader w:val="false"/>
        </w:trPr>
        <w:tc>
          <w:tcPr>
            <w:tcW w:type="dxa" w:w="9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估值</w:t>
            </w:r>
          </w:p>
        </w:tc>
        <w:tc>
          <w:tcPr>
            <w:tcW w:type="dxa" w:w="43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订单与资本支撑估值</w:t>
            </w:r>
          </w:p>
        </w:tc>
        <w:tc>
          <w:tcPr>
            <w:tcW w:type="dxa" w:w="43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资本市场难以区分政策订单与市场订单，导致误定价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可持续需求与短期政策订单的区分方法</w:t>
      </w:r>
      <w:r>
        <w:t xml:space="preserve">（尽调用）：</w:t>
      </w:r>
    </w:p>
    <w:p>
      <w:pPr>
        <w:spacing w:after="60" w:line="312" w:lineRule="auto"/>
        <w:ind w:left="420" w:hanging="300"/>
      </w:pPr>
      <w:r>
        <w:t xml:space="preserve">1. </w:t>
      </w:r>
      <w:r>
        <w:rPr>
          <w:b/>
          <w:bCs/>
        </w:rPr>
        <w:t xml:space="preserve">采购主体</w:t>
      </w:r>
      <w:r>
        <w:t xml:space="preserve">：财政或国资平台，还是生产性企业？</w:t>
      </w:r>
    </w:p>
    <w:p>
      <w:pPr>
        <w:spacing w:after="60" w:line="312" w:lineRule="auto"/>
        <w:ind w:left="420" w:hanging="300"/>
      </w:pPr>
      <w:r>
        <w:t xml:space="preserve">2. </w:t>
      </w:r>
      <w:r>
        <w:rPr>
          <w:b/>
          <w:bCs/>
        </w:rPr>
        <w:t xml:space="preserve">合同用途</w:t>
      </w:r>
      <w:r>
        <w:t xml:space="preserve">：数据采集、实训、展示，还是生产工位？</w:t>
      </w:r>
    </w:p>
    <w:p>
      <w:pPr>
        <w:spacing w:after="60" w:line="312" w:lineRule="auto"/>
        <w:ind w:left="420" w:hanging="300"/>
      </w:pPr>
      <w:r>
        <w:t xml:space="preserve">3. </w:t>
      </w:r>
      <w:r>
        <w:rPr>
          <w:b/>
          <w:bCs/>
        </w:rPr>
        <w:t xml:space="preserve">复购</w:t>
      </w:r>
      <w:r>
        <w:t xml:space="preserve">：同一主体是否第二次采购，且第二次是否基于第一次的使用效果？</w:t>
      </w:r>
    </w:p>
    <w:p>
      <w:pPr>
        <w:spacing w:after="60" w:line="312" w:lineRule="auto"/>
        <w:ind w:left="420" w:hanging="300"/>
      </w:pPr>
      <w:r>
        <w:t xml:space="preserve">4. </w:t>
      </w:r>
      <w:r>
        <w:rPr>
          <w:b/>
          <w:bCs/>
        </w:rPr>
        <w:t xml:space="preserve">付款来源</w:t>
      </w:r>
      <w:r>
        <w:t xml:space="preserve">：专项资金，还是企业运营预算？</w:t>
      </w:r>
    </w:p>
    <w:p>
      <w:pPr>
        <w:spacing w:after="60" w:line="312" w:lineRule="auto"/>
        <w:ind w:left="420" w:hanging="300"/>
      </w:pPr>
      <w:r>
        <w:t xml:space="preserve">5. </w:t>
      </w:r>
      <w:r>
        <w:rPr>
          <w:b/>
          <w:bCs/>
        </w:rPr>
        <w:t xml:space="preserve">持续性</w:t>
      </w:r>
      <w:r>
        <w:t xml:space="preserve">：项目结束后，设备是否继续在使用？</w:t>
      </w:r>
    </w:p>
    <w:p>
      <w:pPr>
        <w:pStyle w:val="Heading2"/>
      </w:pPr>
      <w:bookmarkStart w:name="bm92" w:id="1092"/>
      <w:r>
        <w:t xml:space="preserve">10.4 中美相对优势比较</w:t>
      </w:r>
      <w:bookmarkEnd w:id="109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5"/>
        <w:gridCol w:w="3504"/>
        <w:gridCol w:w="2628"/>
        <w:gridCol w:w="2391"/>
      </w:tblGrid>
      <w:tr>
        <w:trPr>
          <w:cantSplit w:val="false"/>
          <w:tblHeader/>
        </w:trPr>
        <w:tc>
          <w:tcPr>
            <w:tcW w:type="dxa" w:w="11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维度</w:t>
            </w:r>
          </w:p>
        </w:tc>
        <w:tc>
          <w:tcPr>
            <w:tcW w:type="dxa" w:w="35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中国</w:t>
            </w:r>
          </w:p>
        </w:tc>
        <w:tc>
          <w:tcPr>
            <w:tcW w:type="dxa" w:w="26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美国</w:t>
            </w:r>
          </w:p>
        </w:tc>
        <w:tc>
          <w:tcPr>
            <w:tcW w:type="dxa" w:w="23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判断</w:t>
            </w:r>
          </w:p>
        </w:tc>
      </w:tr>
      <w:tr>
        <w:trPr>
          <w:cantSplit w:val="false"/>
          <w:tblHeader w:val="false"/>
        </w:trPr>
        <w:tc>
          <w:tcPr>
            <w:tcW w:type="dxa" w:w="11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供应链与成本</w:t>
            </w:r>
          </w:p>
        </w:tc>
        <w:tc>
          <w:tcPr>
            <w:tcW w:type="dxa" w:w="35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显著领先</w:t>
            </w:r>
            <w:r>
              <w:rPr>
                <w:sz w:val="16"/>
                <w:szCs w:val="16"/>
              </w:rPr>
              <w:t xml:space="preserve">：摩根士丹利估算 Optimus Gen2 用中国供应链约 4.6 万美元，排除中国约 13.1 万美元〔B，S64〕</w:t>
            </w:r>
          </w:p>
        </w:tc>
        <w:tc>
          <w:tcPr>
            <w:tcW w:type="dxa" w:w="26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依赖中国和亚洲</w:t>
            </w:r>
          </w:p>
        </w:tc>
        <w:tc>
          <w:tcPr>
            <w:tcW w:type="dxa" w:w="23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3–5 年内中国优势持续</w:t>
            </w:r>
          </w:p>
        </w:tc>
      </w:tr>
      <w:tr>
        <w:trPr>
          <w:cantSplit w:val="false"/>
          <w:tblHeader w:val="false"/>
        </w:trPr>
        <w:tc>
          <w:tcPr>
            <w:tcW w:type="dxa" w:w="11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制造效率与迭代</w:t>
            </w:r>
          </w:p>
        </w:tc>
        <w:tc>
          <w:tcPr>
            <w:tcW w:type="dxa" w:w="35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领先</w:t>
            </w:r>
            <w:r>
              <w:rPr>
                <w:sz w:val="16"/>
                <w:szCs w:val="16"/>
              </w:rPr>
              <w:t xml:space="preserve">：产品迭代周期短，出货规模大</w:t>
            </w:r>
          </w:p>
        </w:tc>
        <w:tc>
          <w:tcPr>
            <w:tcW w:type="dxa" w:w="26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小批量</w:t>
            </w:r>
          </w:p>
        </w:tc>
        <w:tc>
          <w:tcPr>
            <w:tcW w:type="dxa" w:w="23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中国领先</w:t>
            </w:r>
          </w:p>
        </w:tc>
      </w:tr>
      <w:tr>
        <w:trPr>
          <w:cantSplit w:val="false"/>
          <w:tblHeader w:val="false"/>
        </w:trPr>
        <w:tc>
          <w:tcPr>
            <w:tcW w:type="dxa" w:w="11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算力</w:t>
            </w:r>
          </w:p>
        </w:tc>
        <w:tc>
          <w:tcPr>
            <w:tcW w:type="dxa" w:w="35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受出口管制约束；国产替代进行中</w:t>
            </w:r>
          </w:p>
        </w:tc>
        <w:tc>
          <w:tcPr>
            <w:tcW w:type="dxa" w:w="26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领先</w:t>
            </w:r>
          </w:p>
        </w:tc>
        <w:tc>
          <w:tcPr>
            <w:tcW w:type="dxa" w:w="23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美国领先，差距在训练算力上更大</w:t>
            </w:r>
          </w:p>
        </w:tc>
      </w:tr>
      <w:tr>
        <w:trPr>
          <w:cantSplit w:val="false"/>
          <w:tblHeader w:val="false"/>
        </w:trPr>
        <w:tc>
          <w:tcPr>
            <w:tcW w:type="dxa" w:w="11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基础模型</w:t>
            </w:r>
          </w:p>
        </w:tc>
        <w:tc>
          <w:tcPr>
            <w:tcW w:type="dxa" w:w="35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开源活跃、追赶快</w:t>
            </w:r>
          </w:p>
        </w:tc>
        <w:tc>
          <w:tcPr>
            <w:tcW w:type="dxa" w:w="26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前沿领先</w:t>
            </w:r>
            <w:r>
              <w:rPr>
                <w:sz w:val="16"/>
                <w:szCs w:val="16"/>
              </w:rPr>
              <w:t xml:space="preserve">（PI、DeepMind 等）</w:t>
            </w:r>
          </w:p>
        </w:tc>
        <w:tc>
          <w:tcPr>
            <w:tcW w:type="dxa" w:w="23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美国领先约 6–12 个月（判断）</w:t>
            </w:r>
          </w:p>
        </w:tc>
      </w:tr>
      <w:tr>
        <w:trPr>
          <w:cantSplit w:val="false"/>
          <w:tblHeader w:val="false"/>
        </w:trPr>
        <w:tc>
          <w:tcPr>
            <w:tcW w:type="dxa" w:w="11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工程团队</w:t>
            </w:r>
          </w:p>
        </w:tc>
        <w:tc>
          <w:tcPr>
            <w:tcW w:type="dxa" w:w="35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数量多、成本低、汽车与消费电子经验丰富</w:t>
            </w:r>
          </w:p>
        </w:tc>
        <w:tc>
          <w:tcPr>
            <w:tcW w:type="dxa" w:w="26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顶尖研究人才密度高</w:t>
            </w:r>
          </w:p>
        </w:tc>
        <w:tc>
          <w:tcPr>
            <w:tcW w:type="dxa" w:w="23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中国在工程化上有优势</w:t>
            </w:r>
          </w:p>
        </w:tc>
      </w:tr>
      <w:tr>
        <w:trPr>
          <w:cantSplit w:val="false"/>
          <w:tblHeader w:val="false"/>
        </w:trPr>
        <w:tc>
          <w:tcPr>
            <w:tcW w:type="dxa" w:w="11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资本支持</w:t>
            </w:r>
          </w:p>
        </w:tc>
        <w:tc>
          <w:tcPr>
            <w:tcW w:type="dxa" w:w="35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规模大，国资占比高</w:t>
            </w:r>
          </w:p>
        </w:tc>
        <w:tc>
          <w:tcPr>
            <w:tcW w:type="dxa" w:w="26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单家估值高，软件付费文化强</w:t>
            </w:r>
          </w:p>
        </w:tc>
        <w:tc>
          <w:tcPr>
            <w:tcW w:type="dxa" w:w="23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各有优势</w:t>
            </w:r>
          </w:p>
        </w:tc>
      </w:tr>
      <w:tr>
        <w:trPr>
          <w:cantSplit w:val="false"/>
          <w:tblHeader w:val="false"/>
        </w:trPr>
        <w:tc>
          <w:tcPr>
            <w:tcW w:type="dxa" w:w="11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市场需求</w:t>
            </w:r>
          </w:p>
        </w:tc>
        <w:tc>
          <w:tcPr>
            <w:tcW w:type="dxa" w:w="35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制造业规模最大；2025 年工业机器人安装 35.4 万台、占全球 59%〔B，S65〕</w:t>
            </w:r>
          </w:p>
        </w:tc>
        <w:tc>
          <w:tcPr>
            <w:tcW w:type="dxa" w:w="26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劳动力成本高，单台 ROI 更容易成立</w:t>
            </w:r>
          </w:p>
        </w:tc>
        <w:tc>
          <w:tcPr>
            <w:tcW w:type="dxa" w:w="23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中国需求量大，美国单价高</w:t>
            </w:r>
          </w:p>
        </w:tc>
      </w:tr>
      <w:tr>
        <w:trPr>
          <w:cantSplit w:val="false"/>
          <w:tblHeader w:val="false"/>
        </w:trPr>
        <w:tc>
          <w:tcPr>
            <w:tcW w:type="dxa" w:w="11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政策</w:t>
            </w:r>
          </w:p>
        </w:tc>
        <w:tc>
          <w:tcPr>
            <w:tcW w:type="dxa" w:w="35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产业政策强力推动</w:t>
            </w:r>
          </w:p>
        </w:tc>
        <w:tc>
          <w:tcPr>
            <w:tcW w:type="dxa" w:w="26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对中国机器人设限（法案推进中）</w:t>
            </w:r>
          </w:p>
        </w:tc>
        <w:tc>
          <w:tcPr>
            <w:tcW w:type="dxa" w:w="23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市场分割风险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93" w:id="1093"/>
      <w:r>
        <w:t xml:space="preserve">10.5 地缘竞争：美国对中国机器人的限制</w:t>
      </w:r>
      <w:bookmarkEnd w:id="1093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American Security Robotics Act</w:t>
      </w:r>
      <w:r>
        <w:t xml:space="preserve">：由参议员 Cotton 与 Schumer 推动，禁止联邦采购和运营来自对手国家的人形机器人〔B，S72〕。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GUARD Act（2026 年 6 月）</w:t>
      </w:r>
      <w:r>
        <w:t xml:space="preserve">：对中国等国制造的机器人进行国家安全审查，并可能禁止进口〔B，S73〕。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FCC 进口限制</w:t>
      </w:r>
      <w:r>
        <w:t xml:space="preserve">：有报道称 FCC 拟限制外国制造人形机器人的进口，目前只有单一来源，待官方文件核实〔C，S74〕。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影响</w:t>
      </w:r>
      <w:r>
        <w:t xml:space="preserve">：宇树等对美有出口的企业面临收入风险。美国本土整机（特斯拉、Figure、Agility、Apptronik）获得"安全溢价"。中国零部件企业对美国整机的直接供货也可能受到审查。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投资含义</w:t>
      </w:r>
      <w:r>
        <w:t xml:space="preserve">：对美收入按 30%–70% 折价；重视欧洲、中东、东南亚、日韩渠道；关注中国企业在海外的本地化组装与合规能力（第十六篇 T24）。</w:t>
      </w:r>
    </w:p>
    <w:p>
      <w:pPr>
        <w:pStyle w:val="Heading2"/>
      </w:pPr>
      <w:bookmarkStart w:name="bm94" w:id="1094"/>
      <w:r>
        <w:t xml:space="preserve">10.6 中国产业集群的分工</w:t>
      </w:r>
      <w:bookmarkEnd w:id="109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7"/>
        <w:gridCol w:w="3118"/>
        <w:gridCol w:w="3118"/>
        <w:gridCol w:w="1135"/>
      </w:tblGrid>
      <w:tr>
        <w:trPr>
          <w:cantSplit w:val="false"/>
          <w:tblHeader/>
        </w:trPr>
        <w:tc>
          <w:tcPr>
            <w:tcW w:type="dxa" w:w="226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集群</w:t>
            </w:r>
          </w:p>
        </w:tc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核心优势</w:t>
            </w:r>
          </w:p>
        </w:tc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代表企业与机构</w:t>
            </w:r>
          </w:p>
        </w:tc>
        <w:tc>
          <w:tcPr>
            <w:tcW w:type="dxa" w:w="1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在产业链中的位置</w:t>
            </w:r>
          </w:p>
        </w:tc>
      </w:tr>
      <w:tr>
        <w:trPr>
          <w:cantSplit w:val="false"/>
          <w:tblHeader w:val="false"/>
        </w:trPr>
        <w:tc>
          <w:tcPr>
            <w:tcW w:type="dxa" w:w="226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北京</w:t>
            </w:r>
          </w:p>
        </w:tc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高校与科研（清华、北大）、国家平台、模型人才</w:t>
            </w:r>
          </w:p>
        </w:tc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北京人形机器人创新中心、银河通用、星海图、星动纪元、加速进化、松延、灵初、极佳、因时、灵心巧手</w:t>
            </w:r>
          </w:p>
        </w:tc>
        <w:tc>
          <w:tcPr>
            <w:tcW w:type="dxa" w:w="1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大脑与原型</w:t>
            </w:r>
          </w:p>
        </w:tc>
      </w:tr>
      <w:tr>
        <w:trPr>
          <w:cantSplit w:val="false"/>
          <w:tblHeader w:val="false"/>
        </w:trPr>
        <w:tc>
          <w:tcPr>
            <w:tcW w:type="dxa" w:w="226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上海</w:t>
            </w:r>
          </w:p>
        </w:tc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资本、整机、汽车产业链、国地共建创新中心</w:t>
            </w:r>
          </w:p>
        </w:tc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智元、傅利叶、它石、国地共建人形机器人创新中心</w:t>
            </w:r>
          </w:p>
        </w:tc>
        <w:tc>
          <w:tcPr>
            <w:tcW w:type="dxa" w:w="1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整机与资本</w:t>
            </w:r>
          </w:p>
        </w:tc>
      </w:tr>
      <w:tr>
        <w:trPr>
          <w:cantSplit w:val="false"/>
          <w:tblHeader w:val="false"/>
        </w:trPr>
        <w:tc>
          <w:tcPr>
            <w:tcW w:type="dxa" w:w="226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深圳与珠三角</w:t>
            </w:r>
          </w:p>
        </w:tc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硬件供应链、消费电子制造、出海</w:t>
            </w:r>
          </w:p>
        </w:tc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优必选、逐际、乐聚、星尘、自变量、智平方、奥比中光</w:t>
            </w:r>
          </w:p>
        </w:tc>
        <w:tc>
          <w:tcPr>
            <w:tcW w:type="dxa" w:w="1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硬件与量产</w:t>
            </w:r>
          </w:p>
        </w:tc>
      </w:tr>
      <w:tr>
        <w:trPr>
          <w:cantSplit w:val="false"/>
          <w:tblHeader w:val="false"/>
        </w:trPr>
        <w:tc>
          <w:tcPr>
            <w:tcW w:type="dxa" w:w="226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杭州</w:t>
            </w:r>
          </w:p>
        </w:tc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足式机器人、民营经济活力</w:t>
            </w:r>
          </w:p>
        </w:tc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宇树、云深处、强脑</w:t>
            </w:r>
          </w:p>
        </w:tc>
        <w:tc>
          <w:tcPr>
            <w:tcW w:type="dxa" w:w="1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足式与低成本整机</w:t>
            </w:r>
          </w:p>
        </w:tc>
      </w:tr>
      <w:tr>
        <w:trPr>
          <w:cantSplit w:val="false"/>
          <w:tblHeader w:val="false"/>
        </w:trPr>
        <w:tc>
          <w:tcPr>
            <w:tcW w:type="dxa" w:w="226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长三角（苏州、宁波、常州等）</w:t>
            </w:r>
          </w:p>
        </w:tc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精密部件</w:t>
            </w:r>
          </w:p>
        </w:tc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绿的谐波、丝杠与减速器企业群</w:t>
            </w:r>
          </w:p>
        </w:tc>
        <w:tc>
          <w:tcPr>
            <w:tcW w:type="dxa" w:w="1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核心零部件</w:t>
            </w:r>
          </w:p>
        </w:tc>
      </w:tr>
      <w:tr>
        <w:trPr>
          <w:cantSplit w:val="false"/>
          <w:tblHeader w:val="false"/>
        </w:trPr>
        <w:tc>
          <w:tcPr>
            <w:tcW w:type="dxa" w:w="226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其他（武汉、合肥、成都、重庆等）</w:t>
            </w:r>
          </w:p>
        </w:tc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地方基金与汽车产业</w:t>
            </w:r>
          </w:p>
        </w:tc>
        <w:tc>
          <w:tcPr>
            <w:tcW w:type="dxa" w:w="31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地方创新中心</w:t>
            </w:r>
          </w:p>
        </w:tc>
        <w:tc>
          <w:tcPr>
            <w:tcW w:type="dxa" w:w="1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应用与制造落地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95" w:id="1095"/>
      <w:r>
        <w:t xml:space="preserve">10.7 中国具身智能企业的全球竞争优势在哪里，能否持续</w:t>
      </w:r>
      <w:bookmarkEnd w:id="109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4"/>
        <w:gridCol w:w="1204"/>
        <w:gridCol w:w="2925"/>
        <w:gridCol w:w="1895"/>
      </w:tblGrid>
      <w:tr>
        <w:trPr>
          <w:cantSplit w:val="false"/>
          <w:tblHeader/>
        </w:trPr>
        <w:tc>
          <w:tcPr>
            <w:tcW w:type="dxa" w:w="36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优势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持续性</w:t>
            </w:r>
          </w:p>
        </w:tc>
        <w:tc>
          <w:tcPr>
            <w:tcW w:type="dxa" w:w="29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理由</w:t>
            </w:r>
          </w:p>
        </w:tc>
        <w:tc>
          <w:tcPr>
            <w:tcW w:type="dxa" w:w="18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风险</w:t>
            </w:r>
          </w:p>
        </w:tc>
      </w:tr>
      <w:tr>
        <w:trPr>
          <w:cantSplit w:val="false"/>
          <w:tblHeader w:val="false"/>
        </w:trPr>
        <w:tc>
          <w:tcPr>
            <w:tcW w:type="dxa" w:w="36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硬件成本（BOM 约为非中国供应链的三分之一）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高（3–5 年）</w:t>
            </w:r>
          </w:p>
        </w:tc>
        <w:tc>
          <w:tcPr>
            <w:tcW w:type="dxa" w:w="29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电动车与消费电子集群、规模、工程师</w:t>
            </w:r>
          </w:p>
        </w:tc>
        <w:tc>
          <w:tcPr>
            <w:tcW w:type="dxa" w:w="18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美国关税与禁令分割市场</w:t>
            </w:r>
          </w:p>
        </w:tc>
      </w:tr>
      <w:tr>
        <w:trPr>
          <w:cantSplit w:val="false"/>
          <w:tblHeader w:val="false"/>
        </w:trPr>
        <w:tc>
          <w:tcPr>
            <w:tcW w:type="dxa" w:w="36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迭代速度与出货规模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</w:t>
            </w:r>
          </w:p>
        </w:tc>
        <w:tc>
          <w:tcPr>
            <w:tcW w:type="dxa" w:w="29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供应链近、试错成本低</w:t>
            </w:r>
          </w:p>
        </w:tc>
        <w:tc>
          <w:tcPr>
            <w:tcW w:type="dxa" w:w="18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价格战侵蚀利润</w:t>
            </w:r>
          </w:p>
        </w:tc>
      </w:tr>
      <w:tr>
        <w:trPr>
          <w:cantSplit w:val="false"/>
          <w:tblHeader w:val="false"/>
        </w:trPr>
        <w:tc>
          <w:tcPr>
            <w:tcW w:type="dxa" w:w="36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场景密度（制造业规模）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</w:t>
            </w:r>
          </w:p>
        </w:tc>
        <w:tc>
          <w:tcPr>
            <w:tcW w:type="dxa" w:w="29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全球最大制造业</w:t>
            </w:r>
          </w:p>
        </w:tc>
        <w:tc>
          <w:tcPr>
            <w:tcW w:type="dxa" w:w="18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产能外迁削弱国内需求</w:t>
            </w:r>
          </w:p>
        </w:tc>
      </w:tr>
      <w:tr>
        <w:trPr>
          <w:cantSplit w:val="false"/>
          <w:tblHeader w:val="false"/>
        </w:trPr>
        <w:tc>
          <w:tcPr>
            <w:tcW w:type="dxa" w:w="36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开源生态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29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Qwen 等开源底座的影响力</w:t>
            </w:r>
          </w:p>
        </w:tc>
        <w:tc>
          <w:tcPr>
            <w:tcW w:type="dxa" w:w="18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前沿能力仍落后</w:t>
            </w:r>
          </w:p>
        </w:tc>
      </w:tr>
      <w:tr>
        <w:trPr>
          <w:cantSplit w:val="false"/>
          <w:tblHeader w:val="false"/>
        </w:trPr>
        <w:tc>
          <w:tcPr>
            <w:tcW w:type="dxa" w:w="36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资本规模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中低（周期性）</w:t>
            </w:r>
          </w:p>
        </w:tc>
        <w:tc>
          <w:tcPr>
            <w:tcW w:type="dxa" w:w="29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国资托底</w:t>
            </w:r>
          </w:p>
        </w:tc>
        <w:tc>
          <w:tcPr>
            <w:tcW w:type="dxa" w:w="18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过度投资、出清</w:t>
            </w:r>
          </w:p>
        </w:tc>
      </w:tr>
      <w:tr>
        <w:trPr>
          <w:cantSplit w:val="false"/>
          <w:tblHeader w:val="false"/>
        </w:trPr>
        <w:tc>
          <w:tcPr>
            <w:tcW w:type="dxa" w:w="36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政策支持</w:t>
            </w:r>
          </w:p>
        </w:tc>
        <w:tc>
          <w:tcPr>
            <w:tcW w:type="dxa" w:w="12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中（政策周期）</w:t>
            </w:r>
          </w:p>
        </w:tc>
        <w:tc>
          <w:tcPr>
            <w:tcW w:type="dxa" w:w="29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战略优先级</w:t>
            </w:r>
          </w:p>
        </w:tc>
        <w:tc>
          <w:tcPr>
            <w:tcW w:type="dxa" w:w="18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政策转向抑制泡沫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结论</w:t>
      </w:r>
      <w:r>
        <w:t xml:space="preserve">〔D〕：中国的</w:t>
      </w:r>
      <w:r>
        <w:rPr>
          <w:b/>
          <w:bCs/>
        </w:rPr>
        <w:t xml:space="preserve">持续性优势是"制造+场景"</w:t>
      </w:r>
      <w:r>
        <w:t xml:space="preserve">，不是"资本+政策"。因此，对中国 VC 来说，最具长期 Alpha 的方向是：</w:t>
      </w:r>
    </w:p>
    <w:p>
      <w:pPr>
        <w:spacing w:after="60" w:line="312" w:lineRule="auto"/>
        <w:ind w:left="420" w:hanging="300"/>
      </w:pPr>
      <w:r>
        <w:t xml:space="preserve">1. 以中国成本服务全球（非美）市场的硬件和零部件；</w:t>
      </w:r>
    </w:p>
    <w:p>
      <w:pPr>
        <w:spacing w:after="60" w:line="312" w:lineRule="auto"/>
        <w:ind w:left="420" w:hanging="300"/>
      </w:pPr>
      <w:r>
        <w:t xml:space="preserve">2. 依托中国制造业场景密度形成数据和部署闭环的场景公司。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反证</w:t>
      </w:r>
      <w:r>
        <w:t xml:space="preserve">：如果美国以外的主要市场（欧盟、日本）也以国家安全为由限制中国机器人，"以中国成本服务全球"的逻辑就会大打折扣。</w:t>
      </w:r>
    </w:p>
    <w:p>
      <w:pPr>
        <w:pStyle w:val="Heading1"/>
        <w:pageBreakBefore/>
      </w:pPr>
      <w:bookmarkStart w:name="bm96" w:id="1096"/>
      <w:r>
        <w:t xml:space="preserve">第十一篇　未来技术与产业演进的核心矛盾</w:t>
      </w:r>
      <w:bookmarkEnd w:id="1096"/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本篇的矛盾都是从前十篇的事实中归纳出来的，没有预设答案。每项矛盾按同一结构展开：形成原因 → 利益相关者 → 可能的解决路径 → 时间尺度 → 投资影响。</w:t>
      </w:r>
    </w:p>
    <w:p>
      <w:pPr>
        <w:pStyle w:val="Heading2"/>
      </w:pPr>
      <w:bookmarkStart w:name="bm97" w:id="1097"/>
      <w:r>
        <w:t xml:space="preserve">11.1 算法能力与硬件执行能力的矛盾</w:t>
      </w:r>
      <w:bookmarkEnd w:id="1097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形成原因</w:t>
      </w:r>
      <w:r>
        <w:t xml:space="preserve">：模型版本以月为单位迭代，硬件代际以 18–36 个月为单位迭代。模型可以"想到"的动作，硬件未必能精确、持久、低成本地执行，灵巧手是最典型的例子。反过来，硬件提供的自由度，模型和数据也未必用得上。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利益相关者</w:t>
      </w:r>
      <w:r>
        <w:t xml:space="preserve">：模型公司希望硬件标准化、开放接口；整机企业希望控制软硬件协同；零部件企业希望整机厂提前锁定规格。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解决路径</w:t>
      </w:r>
      <w:r>
        <w:t xml:space="preserve">：</w:t>
      </w:r>
    </w:p>
    <w:p>
      <w:pPr>
        <w:spacing w:after="60" w:line="312" w:lineRule="auto"/>
        <w:ind w:left="840" w:hanging="300"/>
      </w:pPr>
      <w:r>
        <w:t xml:space="preserve">1. 软硬件一体化的头部企业内部协同（2026–2028 年的主路径）；</w:t>
      </w:r>
    </w:p>
    <w:p>
      <w:pPr>
        <w:spacing w:after="60" w:line="312" w:lineRule="auto"/>
        <w:ind w:left="840" w:hanging="300"/>
      </w:pPr>
      <w:r>
        <w:t xml:space="preserve">2. 接口标准化与"机器人 Android"（2029 年以后）。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：3–5 年。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投资影响</w:t>
      </w:r>
      <w:r>
        <w:t xml:space="preserve">：短期内看好有软硬件协同能力的整机头部和精密部件；纯模型公司要证明自己能在第三方硬件上可靠部署。</w:t>
      </w:r>
    </w:p>
    <w:p>
      <w:pPr>
        <w:pStyle w:val="Heading2"/>
      </w:pPr>
      <w:bookmarkStart w:name="bm98" w:id="1098"/>
      <w:r>
        <w:t xml:space="preserve">11.2 数据规模与真实数据成本的矛盾</w:t>
      </w:r>
      <w:bookmarkEnd w:id="1098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形成原因</w:t>
      </w:r>
      <w:r>
        <w:t xml:space="preserve">：Scaling 需要海量数据，而决定可靠性的真机数据、失败与纠正数据最贵。便宜数据（人类视频、仿真）的迁移效率有上限。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利益相关者</w:t>
      </w:r>
      <w:r>
        <w:t xml:space="preserve">：数据工厂与数采中心（希望卖数据）、模型公司（希望数据便宜）、客户（希望保护数据主权）。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解决路径</w:t>
      </w:r>
      <w:r>
        <w:t xml:space="preserve">："便宜数据预训练、部署回流精调"，再加上模型内或仿真中的 RL。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：2–4 年。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投资影响</w:t>
      </w:r>
      <w:r>
        <w:t xml:space="preserve">：数据外包商品化；部署车队所有者获得护城河；数据工具链有软件型机会。</w:t>
      </w:r>
    </w:p>
    <w:p>
      <w:pPr>
        <w:pStyle w:val="Heading2"/>
      </w:pPr>
      <w:bookmarkStart w:name="bm99" w:id="1099"/>
      <w:r>
        <w:t xml:space="preserve">11.3 通用能力与场景经济性的矛盾</w:t>
      </w:r>
      <w:bookmarkEnd w:id="1099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形成原因</w:t>
      </w:r>
      <w:r>
        <w:t xml:space="preserve">：资本按"通用人形"的终局空间定价；客户按单一场景的 ROI 买单。通用意味着在任何一个具体场景里，都比专用方案更贵、更慢。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利益相关者</w:t>
      </w:r>
      <w:r>
        <w:t xml:space="preserve">：追求估值的创业公司、追求 ROI 的客户、要求高回报的投资人。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解决路径</w:t>
      </w:r>
      <w:r>
        <w:t xml:space="preserve">：</w:t>
      </w:r>
    </w:p>
    <w:p>
      <w:pPr>
        <w:spacing w:after="60" w:line="312" w:lineRule="auto"/>
        <w:ind w:left="840" w:hanging="300"/>
      </w:pPr>
      <w:r>
        <w:t xml:space="preserve">1. 先专用后通用：在一个场景做到经济闭环，再横向扩展；</w:t>
      </w:r>
    </w:p>
    <w:p>
      <w:pPr>
        <w:spacing w:after="60" w:line="312" w:lineRule="auto"/>
        <w:ind w:left="840" w:hanging="300"/>
      </w:pPr>
      <w:r>
        <w:t xml:space="preserve">2. 通用平台加场景应用：平台企业赋能场景集成商；</w:t>
      </w:r>
    </w:p>
    <w:p>
      <w:pPr>
        <w:spacing w:after="60" w:line="312" w:lineRule="auto"/>
        <w:ind w:left="840" w:hanging="300"/>
      </w:pPr>
      <w:r>
        <w:t xml:space="preserve">3. 规模经济让通用平台变成最便宜的方案（乐观情景）。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：5–10 年。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投资影响</w:t>
      </w:r>
      <w:r>
        <w:t xml:space="preserve">：优先投资"先专用后通用"的公司；对"一开始就讲通用"的公司要求更低的估值。</w:t>
      </w:r>
    </w:p>
    <w:p>
      <w:pPr>
        <w:pStyle w:val="Heading2"/>
      </w:pPr>
      <w:bookmarkStart w:name="bm100" w:id="1100"/>
      <w:r>
        <w:t xml:space="preserve">11.4 产品复杂度与量产可靠性的矛盾</w:t>
      </w:r>
      <w:bookmarkEnd w:id="1100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形成原因</w:t>
      </w:r>
      <w:r>
        <w:t xml:space="preserve">：人形有 40–60 个以上自由度（含手），每个关节都是故障点。系统可靠性随部件数量呈乘法衰减，而小批量制造难以做到汽车级品控。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利益相关者</w:t>
      </w:r>
      <w:r>
        <w:t xml:space="preserve">：整机企业、零部件供应商、客户运维团队。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解决路径</w:t>
      </w:r>
      <w:r>
        <w:t xml:space="preserve">：</w:t>
      </w:r>
    </w:p>
    <w:p>
      <w:pPr>
        <w:spacing w:after="60" w:line="312" w:lineRule="auto"/>
        <w:ind w:left="840" w:hanging="300"/>
      </w:pPr>
      <w:r>
        <w:t xml:space="preserve">1. 减少自由度、按场景"降配"；</w:t>
      </w:r>
    </w:p>
    <w:p>
      <w:pPr>
        <w:spacing w:after="60" w:line="312" w:lineRule="auto"/>
        <w:ind w:left="840" w:hanging="300"/>
      </w:pPr>
      <w:r>
        <w:t xml:space="preserve">2. 模块化快换设计；</w:t>
      </w:r>
    </w:p>
    <w:p>
      <w:pPr>
        <w:spacing w:after="60" w:line="312" w:lineRule="auto"/>
        <w:ind w:left="840" w:hanging="300"/>
      </w:pPr>
      <w:r>
        <w:t xml:space="preserve">3. 汽车级供应链与品控体系；</w:t>
      </w:r>
    </w:p>
    <w:p>
      <w:pPr>
        <w:spacing w:after="60" w:line="312" w:lineRule="auto"/>
        <w:ind w:left="840" w:hanging="300"/>
      </w:pPr>
      <w:r>
        <w:t xml:space="preserve">4. 预测性维护。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：3–5 年。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投资影响</w:t>
      </w:r>
      <w:r>
        <w:t xml:space="preserve">：可靠性工程、售后网络、模块化设计能力会成为差异化来源；有汽车工程背景的团队有优势。</w:t>
      </w:r>
    </w:p>
    <w:p>
      <w:pPr>
        <w:pStyle w:val="Heading2"/>
      </w:pPr>
      <w:bookmarkStart w:name="bm101" w:id="1101"/>
      <w:r>
        <w:t xml:space="preserve">11.5 高估值与商业收入的矛盾</w:t>
      </w:r>
      <w:bookmarkEnd w:id="1101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形成原因</w:t>
      </w:r>
      <w:r>
        <w:t xml:space="preserve">：稀缺性溢价、国资托底和二级市场情绪，让估值与收入脱钩（半年融资额约为全球年销售额的 30 倍，见第九篇）。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利益相关者</w:t>
      </w:r>
      <w:r>
        <w:t xml:space="preserve">：后期投资人、创始人、地方政府、二级市场投资者。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解决路径</w:t>
      </w:r>
      <w:r>
        <w:t xml:space="preserve">：</w:t>
      </w:r>
    </w:p>
    <w:p>
      <w:pPr>
        <w:spacing w:after="60" w:line="312" w:lineRule="auto"/>
        <w:ind w:left="840" w:hanging="300"/>
      </w:pPr>
      <w:r>
        <w:t xml:space="preserve">1. 估值等待收入增长来"消化"（需要乐观情景）；</w:t>
      </w:r>
    </w:p>
    <w:p>
      <w:pPr>
        <w:spacing w:after="60" w:line="312" w:lineRule="auto"/>
        <w:ind w:left="840" w:hanging="300"/>
      </w:pPr>
      <w:r>
        <w:t xml:space="preserve">2. 估值回撤（下行轮、上市后破发）；</w:t>
      </w:r>
    </w:p>
    <w:p>
      <w:pPr>
        <w:spacing w:after="60" w:line="312" w:lineRule="auto"/>
        <w:ind w:left="840" w:hanging="300"/>
      </w:pPr>
      <w:r>
        <w:t xml:space="preserve">3. 并购整合。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：1–3 年内必然出现局部"消化或回撤"。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投资影响</w:t>
      </w:r>
      <w:r>
        <w:t xml:space="preserve">：未来 12–18 个月是估值重置和结构化投资的窗口；后期轮次要有下行保护。</w:t>
      </w:r>
    </w:p>
    <w:p>
      <w:pPr>
        <w:pStyle w:val="Heading2"/>
      </w:pPr>
      <w:bookmarkStart w:name="bm102" w:id="1102"/>
      <w:r>
        <w:t xml:space="preserve">11.6 基础模型通用化与企业差异化的矛盾</w:t>
      </w:r>
      <w:bookmarkEnd w:id="1102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形成原因</w:t>
      </w:r>
      <w:r>
        <w:t xml:space="preserve">：开源与大厂让基础模型能力趋同，整机和应用企业因此难以靠模型差异化。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利益相关者</w:t>
      </w:r>
      <w:r>
        <w:t xml:space="preserve">：大厂（希望生态）、模型创业公司（希望变现）、整机企业（希望低成本拿到好模型）。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解决路径</w:t>
      </w:r>
      <w:r>
        <w:t xml:space="preserve">：差异化从"模型"迁移到"数据闭环、场景 know-how、系统工程与服务"。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：2–3 年。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投资影响</w:t>
      </w:r>
      <w:r>
        <w:t xml:space="preserve">：纯模型公司估值溢价压缩；场景公司和系统集成能力的价值上升。</w:t>
      </w:r>
    </w:p>
    <w:p>
      <w:pPr>
        <w:pStyle w:val="Heading2"/>
      </w:pPr>
      <w:bookmarkStart w:name="bm103" w:id="1103"/>
      <w:r>
        <w:t xml:space="preserve">11.7 软硬件垂直整合与产业分工的矛盾</w:t>
      </w:r>
      <w:bookmarkEnd w:id="1103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形成原因</w:t>
      </w:r>
      <w:r>
        <w:t xml:space="preserve">：技术未收敛时，整合者迭代更快；可是整合需要巨额资本，又限制了生态的规模效应。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利益相关者</w:t>
      </w:r>
      <w:r>
        <w:t xml:space="preserve">：特斯拉式的整合者、专业零部件供应商、开放平台（NVIDIA）。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解决路径</w:t>
      </w:r>
      <w:r>
        <w:t xml:space="preserve">：2028 年前以整合为主，之后随标准化逐步分工（第七篇 7.6 节）。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：5 年以上。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投资影响</w:t>
      </w:r>
      <w:r>
        <w:t xml:space="preserve">：中游通用部件和通用模型创业公司面临"客户自制"风险；精密件与平台型软件长期受益于分工。</w:t>
      </w:r>
    </w:p>
    <w:p>
      <w:pPr>
        <w:pStyle w:val="Heading2"/>
      </w:pPr>
      <w:bookmarkStart w:name="bm104" w:id="1104"/>
      <w:r>
        <w:t xml:space="preserve">11.8 政策驱动需求与市场内生需求的矛盾（中国特有）</w:t>
      </w:r>
      <w:bookmarkEnd w:id="1104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形成原因</w:t>
      </w:r>
      <w:r>
        <w:t xml:space="preserve">：政策订单（数采中心、实训、示范）在 2025–2026 年构成重要收入，但它的采购逻辑与生产性客户完全不同。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利益相关者</w:t>
      </w:r>
      <w:r>
        <w:t xml:space="preserve">：地方政府、国资平台、整机企业、生产性客户。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解决路径</w:t>
      </w:r>
      <w:r>
        <w:t xml:space="preserve">：政策重心从"建设"转向"应用验证与常态化部署"（专项行动已有此导向），由政府场景过渡到国企生产场景，再到民企生产场景。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：2–3 年。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投资影响</w:t>
      </w:r>
      <w:r>
        <w:t xml:space="preserve">：政府收入按一次性收入估值；跟踪非政府收入占比。</w:t>
      </w:r>
    </w:p>
    <w:p>
      <w:pPr>
        <w:pStyle w:val="Heading2"/>
      </w:pPr>
      <w:bookmarkStart w:name="bm105" w:id="1105"/>
      <w:r>
        <w:t xml:space="preserve">11.9 矛盾之间的因果关系</w:t>
      </w:r>
      <w:bookmarkEnd w:id="1105"/>
    </w:p>
    <w:p>
      <w:pPr>
        <w:shd w:fill="F4F4F2" w:color="auto" w:val="clear"/>
        <w:spacing w:after="0" w:before="8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硬件慢于算法（11.1） ──▶ 演示领先部署 ──▶ 估值领先收入（11.5）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     │                                         ▲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     ▼                                         │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可靠性不足（11.4） ──▶ 场景不经济（11.3） ──▶ 政策订单填补需求（11.8）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     ▲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     │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数据贵（11.2） ──▶ 依赖部署回流 ──▶ 部署规模决定数据壁垒 ──▶ 头部集中</w:t>
      </w:r>
    </w:p>
    <w:p>
      <w:pPr>
        <w:shd w:fill="F4F4F2" w:color="auto" w:val="clear"/>
        <w:spacing w:after="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     │</w:t>
      </w:r>
    </w:p>
    <w:p>
      <w:pPr>
        <w:shd w:fill="F4F4F2" w:color="auto" w:val="clear"/>
        <w:spacing w:after="16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模型趋同（11.6） ──▶ 差异化转向系统工程与场景 ──▶ 垂直整合（11.7）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最核心的一环</w:t>
      </w:r>
      <w:r>
        <w:t xml:space="preserve">：</w:t>
      </w:r>
      <w:r>
        <w:rPr>
          <w:b/>
          <w:bCs/>
        </w:rPr>
        <w:t xml:space="preserve">可靠性与场景经济性</w:t>
      </w:r>
      <w:r>
        <w:t xml:space="preserve">。它是其他矛盾的"解锁点"。一旦某个场景跨过回本门槛：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真实需求出现，替代政策订单；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部署规模上升，数据飞轮形成；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收入增长消化估值。</w:t>
      </w:r>
    </w:p>
    <w:p>
      <w:pPr>
        <w:spacing w:after="120" w:line="324" w:lineRule="auto"/>
        <w:jc w:val="both"/>
      </w:pPr>
      <w:r>
        <w:t xml:space="preserve">因此，本报告建议把"</w:t>
      </w:r>
      <w:r>
        <w:rPr>
          <w:b/>
          <w:bCs/>
        </w:rPr>
        <w:t xml:space="preserve">场景回本证据</w:t>
      </w:r>
      <w:r>
        <w:t xml:space="preserve">"作为所有投资决策的核心变量。</w:t>
      </w:r>
    </w:p>
    <w:p>
      <w:pPr>
        <w:pStyle w:val="Heading1"/>
        <w:pageBreakBefore/>
      </w:pPr>
      <w:bookmarkStart w:name="bm106" w:id="1106"/>
      <w:r>
        <w:t xml:space="preserve">第十二篇　未来 3–10 年的产业发展情景</w:t>
      </w:r>
      <w:bookmarkEnd w:id="1106"/>
    </w:p>
    <w:p>
      <w:pPr>
        <w:pStyle w:val="Heading2"/>
      </w:pPr>
      <w:bookmarkStart w:name="bm107" w:id="1107"/>
      <w:r>
        <w:t xml:space="preserve">12.1 三种情景的设定逻辑</w:t>
      </w:r>
      <w:bookmarkEnd w:id="1107"/>
    </w:p>
    <w:p>
      <w:pPr>
        <w:spacing w:after="120" w:line="324" w:lineRule="auto"/>
        <w:jc w:val="both"/>
      </w:pPr>
      <w:r>
        <w:t xml:space="preserve">三种情景由两个</w:t>
      </w:r>
      <w:r>
        <w:rPr>
          <w:b/>
          <w:bCs/>
        </w:rPr>
        <w:t xml:space="preserve">核心不确定性</w:t>
      </w:r>
      <w:r>
        <w:t xml:space="preserve">组合而成：</w:t>
      </w:r>
    </w:p>
    <w:p>
      <w:pPr>
        <w:spacing w:after="60" w:line="312" w:lineRule="auto"/>
        <w:ind w:left="420" w:hanging="300"/>
      </w:pPr>
      <w:r>
        <w:t xml:space="preserve">1. </w:t>
      </w:r>
      <w:r>
        <w:rPr>
          <w:b/>
          <w:bCs/>
        </w:rPr>
        <w:t xml:space="preserve">可靠性与泛化能力的突破速度</w:t>
      </w:r>
      <w:r>
        <w:t xml:space="preserve">：开放环境整任务成功率、接管率、看护配比；</w:t>
      </w:r>
    </w:p>
    <w:p>
      <w:pPr>
        <w:spacing w:after="60" w:line="312" w:lineRule="auto"/>
        <w:ind w:left="420" w:hanging="300"/>
      </w:pPr>
      <w:r>
        <w:t xml:space="preserve">2. </w:t>
      </w:r>
      <w:r>
        <w:rPr>
          <w:b/>
          <w:bCs/>
        </w:rPr>
        <w:t xml:space="preserve">成本下降速度</w:t>
      </w:r>
      <w:r>
        <w:t xml:space="preserve">：单一企业的累计产量与学习率。</w:t>
      </w:r>
    </w:p>
    <w:p>
      <w:pPr>
        <w:spacing w:after="120" w:line="324" w:lineRule="auto"/>
        <w:jc w:val="both"/>
      </w:pPr>
      <w:r>
        <w:t xml:space="preserve">其他变量，包括政策、资本和地缘，作为放大器或抑制器叠加在上面。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2"/>
        <w:gridCol w:w="1865"/>
        <w:gridCol w:w="6841"/>
      </w:tblGrid>
      <w:tr>
        <w:trPr>
          <w:cantSplit w:val="false"/>
          <w:tblHeader/>
        </w:trPr>
        <w:tc>
          <w:tcPr>
            <w:tcW w:type="dxa" w:w="9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情景</w:t>
            </w:r>
          </w:p>
        </w:tc>
        <w:tc>
          <w:tcPr>
            <w:tcW w:type="dxa" w:w="1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概率（判断）</w:t>
            </w:r>
          </w:p>
        </w:tc>
        <w:tc>
          <w:tcPr>
            <w:tcW w:type="dxa" w:w="68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一句话描述</w:t>
            </w:r>
          </w:p>
        </w:tc>
      </w:tr>
      <w:tr>
        <w:trPr>
          <w:cantSplit w:val="false"/>
          <w:tblHeader w:val="false"/>
        </w:trPr>
        <w:tc>
          <w:tcPr>
            <w:tcW w:type="dxa" w:w="9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乐观</w:t>
            </w:r>
          </w:p>
        </w:tc>
        <w:tc>
          <w:tcPr>
            <w:tcW w:type="dxa" w:w="1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约 20%</w:t>
            </w:r>
          </w:p>
        </w:tc>
        <w:tc>
          <w:tcPr>
            <w:tcW w:type="dxa" w:w="68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2027 年出现可靠性跃迁，特斯拉与中国头部实现十万台级量产，工业 ROI 在多场景跨越门槛</w:t>
            </w:r>
          </w:p>
        </w:tc>
      </w:tr>
      <w:tr>
        <w:trPr>
          <w:cantSplit w:val="false"/>
          <w:tblHeader w:val="false"/>
        </w:trPr>
        <w:tc>
          <w:tcPr>
            <w:tcW w:type="dxa" w:w="9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基准</w:t>
            </w:r>
          </w:p>
        </w:tc>
        <w:tc>
          <w:tcPr>
            <w:tcW w:type="dxa" w:w="1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约 55%</w:t>
            </w:r>
          </w:p>
        </w:tc>
        <w:tc>
          <w:tcPr>
            <w:tcW w:type="dxa" w:w="68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技术渐进；2028 年前后物流、3C 等少数场景回本；行业出清后头部集中</w:t>
            </w:r>
          </w:p>
        </w:tc>
      </w:tr>
      <w:tr>
        <w:trPr>
          <w:cantSplit w:val="false"/>
          <w:tblHeader w:val="false"/>
        </w:trPr>
        <w:tc>
          <w:tcPr>
            <w:tcW w:type="dxa" w:w="9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悲观</w:t>
            </w:r>
          </w:p>
        </w:tc>
        <w:tc>
          <w:tcPr>
            <w:tcW w:type="dxa" w:w="18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约 25%</w:t>
            </w:r>
          </w:p>
        </w:tc>
        <w:tc>
          <w:tcPr>
            <w:tcW w:type="dxa" w:w="68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泛化与可靠性长期难以突破，需求停留在科研、教育和政策项目，资本退潮导致大规模出清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08" w:id="1108"/>
      <w:r>
        <w:t xml:space="preserve">12.2 三情景下的关键指标</w:t>
      </w:r>
      <w:bookmarkEnd w:id="110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2"/>
        <w:gridCol w:w="2891"/>
        <w:gridCol w:w="2998"/>
        <w:gridCol w:w="3107"/>
      </w:tblGrid>
      <w:tr>
        <w:trPr>
          <w:cantSplit w:val="false"/>
          <w:tblHeader/>
        </w:trPr>
        <w:tc>
          <w:tcPr>
            <w:tcW w:type="dxa" w:w="6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年份</w:t>
            </w:r>
          </w:p>
        </w:tc>
        <w:tc>
          <w:tcPr>
            <w:tcW w:type="dxa" w:w="2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悲观（出货/均价/规模）</w:t>
            </w:r>
          </w:p>
        </w:tc>
        <w:tc>
          <w:tcPr>
            <w:tcW w:type="dxa" w:w="29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基准</w:t>
            </w:r>
          </w:p>
        </w:tc>
        <w:tc>
          <w:tcPr>
            <w:tcW w:type="dxa" w:w="31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乐观</w:t>
            </w:r>
          </w:p>
        </w:tc>
      </w:tr>
      <w:tr>
        <w:trPr>
          <w:cantSplit w:val="false"/>
          <w:tblHeader w:val="false"/>
        </w:trPr>
        <w:tc>
          <w:tcPr>
            <w:tcW w:type="dxa" w:w="6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2025</w:t>
            </w:r>
          </w:p>
        </w:tc>
        <w:tc>
          <w:tcPr>
            <w:tcW w:type="dxa" w:w="2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1.8 万台 / 24.4k / 4 亿美元</w:t>
            </w:r>
          </w:p>
        </w:tc>
        <w:tc>
          <w:tcPr>
            <w:tcW w:type="dxa" w:w="29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1.8 万台 / 24.4k / 4 亿美元</w:t>
            </w:r>
          </w:p>
        </w:tc>
        <w:tc>
          <w:tcPr>
            <w:tcW w:type="dxa" w:w="31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1.8 万台 / 24.4k / 4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6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2026</w:t>
            </w:r>
          </w:p>
        </w:tc>
        <w:tc>
          <w:tcPr>
            <w:tcW w:type="dxa" w:w="2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4 万台 / 22k / 9 亿美元</w:t>
            </w:r>
          </w:p>
        </w:tc>
        <w:tc>
          <w:tcPr>
            <w:tcW w:type="dxa" w:w="29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5 万台 / 22k / 11 亿美元</w:t>
            </w:r>
          </w:p>
        </w:tc>
        <w:tc>
          <w:tcPr>
            <w:tcW w:type="dxa" w:w="31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5.5 万台 / 22k / 12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6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2027</w:t>
            </w:r>
          </w:p>
        </w:tc>
        <w:tc>
          <w:tcPr>
            <w:tcW w:type="dxa" w:w="2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5.5 万台 / 21k / 12 亿美元</w:t>
            </w:r>
          </w:p>
        </w:tc>
        <w:tc>
          <w:tcPr>
            <w:tcW w:type="dxa" w:w="29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9 万台 / 20.2k / 18 亿美元</w:t>
            </w:r>
          </w:p>
        </w:tc>
        <w:tc>
          <w:tcPr>
            <w:tcW w:type="dxa" w:w="31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14 万台 / 20k / 28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6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2028</w:t>
            </w:r>
          </w:p>
        </w:tc>
        <w:tc>
          <w:tcPr>
            <w:tcW w:type="dxa" w:w="2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7 万台 / 20k / 14 亿美元</w:t>
            </w:r>
          </w:p>
        </w:tc>
        <w:tc>
          <w:tcPr>
            <w:tcW w:type="dxa" w:w="29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15 万台 / 18.5k / 28 亿美元</w:t>
            </w:r>
          </w:p>
        </w:tc>
        <w:tc>
          <w:tcPr>
            <w:tcW w:type="dxa" w:w="31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32 万台 / 18k / 58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6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2030</w:t>
            </w:r>
          </w:p>
        </w:tc>
        <w:tc>
          <w:tcPr>
            <w:tcW w:type="dxa" w:w="2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12 万台 / 18k / 22 亿美元</w:t>
            </w:r>
          </w:p>
        </w:tc>
        <w:tc>
          <w:tcPr>
            <w:tcW w:type="dxa" w:w="29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38 万台 / 15k / 57 亿美元</w:t>
            </w:r>
          </w:p>
        </w:tc>
        <w:tc>
          <w:tcPr>
            <w:tcW w:type="dxa" w:w="31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120 万台 / 14k / 168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6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2033</w:t>
            </w:r>
          </w:p>
        </w:tc>
        <w:tc>
          <w:tcPr>
            <w:tcW w:type="dxa" w:w="2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24 万台 / 16.8k / 40 亿美元</w:t>
            </w:r>
          </w:p>
        </w:tc>
        <w:tc>
          <w:tcPr>
            <w:tcW w:type="dxa" w:w="29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95 万台 / 13.2k / 125 亿美元</w:t>
            </w:r>
          </w:p>
        </w:tc>
        <w:tc>
          <w:tcPr>
            <w:tcW w:type="dxa" w:w="31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470 万台 / 11.6k / 545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64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2035</w:t>
            </w:r>
          </w:p>
        </w:tc>
        <w:tc>
          <w:tcPr>
            <w:tcW w:type="dxa" w:w="28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40 万台 / 16k / 64 亿美元</w:t>
            </w:r>
          </w:p>
        </w:tc>
        <w:tc>
          <w:tcPr>
            <w:tcW w:type="dxa" w:w="29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170 万台 / 12k / 204 亿美元</w:t>
            </w:r>
          </w:p>
        </w:tc>
        <w:tc>
          <w:tcPr>
            <w:tcW w:type="dxa" w:w="31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800 万台 / 10k / 800 亿美元</w:t>
            </w:r>
          </w:p>
        </w:tc>
      </w:tr>
    </w:tbl>
    <w:p>
      <w:pPr>
        <w:spacing w:after="120"/>
      </w:pPr>
    </w:p>
    <w:p>
      <w:pPr>
        <w:spacing w:after="40" w:before="120"/>
        <w:jc w:val="center"/>
      </w:pPr>
      <w:r>
        <w:drawing>
          <wp:inline distT="0" distB="0" distL="0" distR="0">
            <wp:extent cx="6000750" cy="3152775"/>
            <wp:effectExtent t="0" r="0" b="0" l="0"/>
            <wp:docPr id="1" name="三情景出货预测" descr="三情景出货预测" title="三情景出货预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14E"/>
          <w:sz w:val="18"/>
          <w:szCs w:val="18"/>
        </w:rPr>
        <w:t xml:space="preserve">图 8　三情景出货预测</w:t>
      </w:r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2025 年为 IDC 实际值（约 1.8 万台、约 4.4 亿美元）。2026 年三个情景的分歧较小，因为上半年实际出货已超过 2.2 万台。其余年份为情景假设〔D〕。均价按"小尺寸占比下降，全尺寸价格下降"的综合判断设定。</w:t>
      </w:r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对照：高盛 2026 年把 2035 年出货预测上调到约 650 万台〔C，S69〕，介于本报告的基准情景（170 万台）与乐观情景（800 万台）之间。</w:t>
      </w:r>
    </w:p>
    <w:p>
      <w:pPr>
        <w:pStyle w:val="Heading2"/>
      </w:pPr>
      <w:bookmarkStart w:name="bm109" w:id="1109"/>
      <w:r>
        <w:t xml:space="preserve">12.3 三情景的完整叙事</w:t>
      </w:r>
      <w:bookmarkEnd w:id="110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82"/>
        <w:gridCol w:w="2718"/>
        <w:gridCol w:w="2718"/>
        <w:gridCol w:w="2720"/>
      </w:tblGrid>
      <w:tr>
        <w:trPr>
          <w:cantSplit w:val="false"/>
          <w:tblHeader/>
        </w:trPr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维度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乐观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基准</w:t>
            </w:r>
          </w:p>
        </w:tc>
        <w:tc>
          <w:tcPr>
            <w:tcW w:type="dxa" w:w="2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悲观</w:t>
            </w:r>
          </w:p>
        </w:tc>
      </w:tr>
      <w:tr>
        <w:trPr>
          <w:cantSplit w:val="false"/>
          <w:tblHeader w:val="false"/>
        </w:trPr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技术能力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2027 年陌生环境整任务成功率超过 90%，接管率低于 0.1 次/小时；灵巧手寿命达标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2028 年结构化工业任务成功率超过 99%，开放环境约 70%–80%；看护配比约 1:10–1:20</w:t>
            </w:r>
          </w:p>
        </w:tc>
        <w:tc>
          <w:tcPr>
            <w:tcW w:type="dxa" w:w="2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2030 年开放环境仍低于 60%；工业部署依赖看护和场景改造</w:t>
            </w:r>
          </w:p>
        </w:tc>
      </w:tr>
      <w:tr>
        <w:trPr>
          <w:cantSplit w:val="false"/>
          <w:tblHeader w:val="false"/>
        </w:trPr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机器人成本（全尺寸 BOM）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2030 年约 6–8 万元（约 1 万美元）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2030 年约 10–15 万元</w:t>
            </w:r>
          </w:p>
        </w:tc>
        <w:tc>
          <w:tcPr>
            <w:tcW w:type="dxa" w:w="2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2030 年约 15–20 万元</w:t>
            </w:r>
          </w:p>
        </w:tc>
      </w:tr>
      <w:tr>
        <w:trPr>
          <w:cantSplit w:val="false"/>
          <w:tblHeader w:val="false"/>
        </w:trPr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部署规模（全球年出货）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2030 年约 120 万台；2035 年约 800 万台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2030 年约 38 万台；2035 年约 170 万台</w:t>
            </w:r>
          </w:p>
        </w:tc>
        <w:tc>
          <w:tcPr>
            <w:tcW w:type="dxa" w:w="2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2030 年约 12 万台；2035 年约 40 万台</w:t>
            </w:r>
          </w:p>
        </w:tc>
      </w:tr>
      <w:tr>
        <w:trPr>
          <w:cantSplit w:val="false"/>
          <w:tblHeader w:val="false"/>
        </w:trPr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客户结构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工业与物流占 60% 以上，家庭开始起量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工业与物流约 40%–50%，科研教育约 25%，商业服务与其他为余</w:t>
            </w:r>
          </w:p>
        </w:tc>
        <w:tc>
          <w:tcPr>
            <w:tcW w:type="dxa" w:w="2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科研、教育、政策项目仍占 60% 以上</w:t>
            </w:r>
          </w:p>
        </w:tc>
      </w:tr>
      <w:tr>
        <w:trPr>
          <w:cantSplit w:val="false"/>
          <w:tblHeader w:val="false"/>
        </w:trPr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产业分工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平台化：头部整机加开放模型生态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垂直整合的头部 3–5 家，加场景专精者</w:t>
            </w:r>
          </w:p>
        </w:tc>
        <w:tc>
          <w:tcPr>
            <w:tcW w:type="dxa" w:w="2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尾部大规模出清，整合者也收缩</w:t>
            </w:r>
          </w:p>
        </w:tc>
      </w:tr>
      <w:tr>
        <w:trPr>
          <w:cantSplit w:val="false"/>
          <w:tblHeader w:val="false"/>
        </w:trPr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利润池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整机头部与平台（规模经济）；精密部件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精密部件、场景方案、头部整机</w:t>
            </w:r>
          </w:p>
        </w:tc>
        <w:tc>
          <w:tcPr>
            <w:tcW w:type="dxa" w:w="2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精密部件（依托工业存量）、科研教育整机</w:t>
            </w:r>
          </w:p>
        </w:tc>
      </w:tr>
      <w:tr>
        <w:trPr>
          <w:cantSplit w:val="false"/>
          <w:tblHeader w:val="false"/>
        </w:trPr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中国整机企业数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存活 20–30 家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存活约 10–20 家</w:t>
            </w:r>
          </w:p>
        </w:tc>
        <w:tc>
          <w:tcPr>
            <w:tcW w:type="dxa" w:w="2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存活不足 10 家</w:t>
            </w:r>
          </w:p>
        </w:tc>
      </w:tr>
      <w:tr>
        <w:trPr>
          <w:cantSplit w:val="false"/>
          <w:tblHeader w:val="false"/>
        </w:trPr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估值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头部估值被收入"消化"</w:t>
            </w:r>
          </w:p>
        </w:tc>
        <w:tc>
          <w:tcPr>
            <w:tcW w:type="dxa" w:w="27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头部稳定，尾部下行</w:t>
            </w:r>
          </w:p>
        </w:tc>
        <w:tc>
          <w:tcPr>
            <w:tcW w:type="dxa" w:w="2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普遍下行，二级市场破发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10" w:id="1110"/>
      <w:r>
        <w:t xml:space="preserve">12.4 敏感性：哪个变量最影响结局</w:t>
      </w:r>
      <w:bookmarkEnd w:id="11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15"/>
        <w:gridCol w:w="3545"/>
        <w:gridCol w:w="3878"/>
      </w:tblGrid>
      <w:tr>
        <w:trPr>
          <w:cantSplit w:val="false"/>
          <w:tblHeader/>
        </w:trPr>
        <w:tc>
          <w:tcPr>
            <w:tcW w:type="dxa" w:w="22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变量</w:t>
            </w:r>
          </w:p>
        </w:tc>
        <w:tc>
          <w:tcPr>
            <w:tcW w:type="dxa" w:w="35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对 2030 年市场规模的弹性（判断）</w:t>
            </w:r>
          </w:p>
        </w:tc>
        <w:tc>
          <w:tcPr>
            <w:tcW w:type="dxa" w:w="38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理由</w:t>
            </w:r>
          </w:p>
        </w:tc>
      </w:tr>
      <w:tr>
        <w:trPr>
          <w:cantSplit w:val="false"/>
          <w:tblHeader w:val="false"/>
        </w:trPr>
        <w:tc>
          <w:tcPr>
            <w:tcW w:type="dxa" w:w="22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看护配比与接管率</w:t>
            </w:r>
          </w:p>
        </w:tc>
        <w:tc>
          <w:tcPr>
            <w:tcW w:type="dxa" w:w="35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最高</w:t>
            </w:r>
          </w:p>
        </w:tc>
        <w:tc>
          <w:tcPr>
            <w:tcW w:type="dxa" w:w="38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决定 TCO 是否成立（第六篇敏感性表）</w:t>
            </w:r>
          </w:p>
        </w:tc>
      </w:tr>
      <w:tr>
        <w:trPr>
          <w:cantSplit w:val="false"/>
          <w:tblHeader w:val="false"/>
        </w:trPr>
        <w:tc>
          <w:tcPr>
            <w:tcW w:type="dxa" w:w="22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吞吐率（相对熟练工）</w:t>
            </w:r>
          </w:p>
        </w:tc>
        <w:tc>
          <w:tcPr>
            <w:tcW w:type="dxa" w:w="35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</w:t>
            </w:r>
          </w:p>
        </w:tc>
        <w:tc>
          <w:tcPr>
            <w:tcW w:type="dxa" w:w="38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同上</w:t>
            </w:r>
          </w:p>
        </w:tc>
      </w:tr>
      <w:tr>
        <w:trPr>
          <w:cantSplit w:val="false"/>
          <w:tblHeader w:val="false"/>
        </w:trPr>
        <w:tc>
          <w:tcPr>
            <w:tcW w:type="dxa" w:w="22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单台成本</w:t>
            </w:r>
          </w:p>
        </w:tc>
        <w:tc>
          <w:tcPr>
            <w:tcW w:type="dxa" w:w="35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中高</w:t>
            </w:r>
          </w:p>
        </w:tc>
        <w:tc>
          <w:tcPr>
            <w:tcW w:type="dxa" w:w="38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前两个变量达标后，价格决定渗透速度</w:t>
            </w:r>
          </w:p>
        </w:tc>
      </w:tr>
      <w:tr>
        <w:trPr>
          <w:cantSplit w:val="false"/>
          <w:tblHeader w:val="false"/>
        </w:trPr>
        <w:tc>
          <w:tcPr>
            <w:tcW w:type="dxa" w:w="22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特斯拉量产节奏</w:t>
            </w:r>
          </w:p>
        </w:tc>
        <w:tc>
          <w:tcPr>
            <w:tcW w:type="dxa" w:w="35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中高（对全球零部件需求）</w:t>
            </w:r>
          </w:p>
        </w:tc>
        <w:tc>
          <w:tcPr>
            <w:tcW w:type="dxa" w:w="38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单一企业可能占据大量份额</w:t>
            </w:r>
          </w:p>
        </w:tc>
      </w:tr>
      <w:tr>
        <w:trPr>
          <w:cantSplit w:val="false"/>
          <w:tblHeader w:val="false"/>
        </w:trPr>
        <w:tc>
          <w:tcPr>
            <w:tcW w:type="dxa" w:w="22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政策订单</w:t>
            </w:r>
          </w:p>
        </w:tc>
        <w:tc>
          <w:tcPr>
            <w:tcW w:type="dxa" w:w="35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中（对 2026–2028 年的中国）</w:t>
            </w:r>
          </w:p>
        </w:tc>
        <w:tc>
          <w:tcPr>
            <w:tcW w:type="dxa" w:w="38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一次性，长期弹性低</w:t>
            </w:r>
          </w:p>
        </w:tc>
      </w:tr>
      <w:tr>
        <w:trPr>
          <w:cantSplit w:val="false"/>
          <w:tblHeader w:val="false"/>
        </w:trPr>
        <w:tc>
          <w:tcPr>
            <w:tcW w:type="dxa" w:w="22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地缘限制</w:t>
            </w:r>
          </w:p>
        </w:tc>
        <w:tc>
          <w:tcPr>
            <w:tcW w:type="dxa" w:w="35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中（对中国企业海外收入）</w:t>
            </w:r>
          </w:p>
        </w:tc>
        <w:tc>
          <w:tcPr>
            <w:tcW w:type="dxa" w:w="38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市场分割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11" w:id="1111"/>
      <w:r>
        <w:t xml:space="preserve">12.5 前置指标与触发事件（用于动态修正判断）</w:t>
      </w:r>
      <w:bookmarkEnd w:id="11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61"/>
        <w:gridCol w:w="1957"/>
        <w:gridCol w:w="1280"/>
        <w:gridCol w:w="1280"/>
        <w:gridCol w:w="2260"/>
      </w:tblGrid>
      <w:tr>
        <w:trPr>
          <w:cantSplit w:val="false"/>
          <w:tblHeader/>
        </w:trPr>
        <w:tc>
          <w:tcPr>
            <w:tcW w:type="dxa" w:w="28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指标</w:t>
            </w:r>
          </w:p>
        </w:tc>
        <w:tc>
          <w:tcPr>
            <w:tcW w:type="dxa" w:w="19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乐观触发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基准区间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悲观触发</w:t>
            </w:r>
          </w:p>
        </w:tc>
        <w:tc>
          <w:tcPr>
            <w:tcW w:type="dxa" w:w="22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数据来源与频率</w:t>
            </w:r>
          </w:p>
        </w:tc>
      </w:tr>
      <w:tr>
        <w:trPr>
          <w:cantSplit w:val="false"/>
          <w:tblHeader w:val="false"/>
        </w:trPr>
        <w:tc>
          <w:tcPr>
            <w:tcW w:type="dxa" w:w="28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第三方大样本盲测的开放环境整任务成功率</w:t>
            </w:r>
          </w:p>
        </w:tc>
        <w:tc>
          <w:tcPr>
            <w:tcW w:type="dxa" w:w="19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2027 年超过 90%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70%–85%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2028 年仍低于 60%</w:t>
            </w:r>
          </w:p>
        </w:tc>
        <w:tc>
          <w:tcPr>
            <w:tcW w:type="dxa" w:w="22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学术挑战赛、第三方评测，每半年</w:t>
            </w:r>
          </w:p>
        </w:tc>
      </w:tr>
      <w:tr>
        <w:trPr>
          <w:cantSplit w:val="false"/>
          <w:tblHeader w:val="false"/>
        </w:trPr>
        <w:tc>
          <w:tcPr>
            <w:tcW w:type="dxa" w:w="28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公开披露的看护配比</w:t>
            </w:r>
          </w:p>
        </w:tc>
        <w:tc>
          <w:tcPr>
            <w:tcW w:type="dxa" w:w="19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达到 1:50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1:10–1:20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低于 1:5</w:t>
            </w:r>
          </w:p>
        </w:tc>
        <w:tc>
          <w:tcPr>
            <w:tcW w:type="dxa" w:w="22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企业披露、客户访谈，每季度</w:t>
            </w:r>
          </w:p>
        </w:tc>
      </w:tr>
      <w:tr>
        <w:trPr>
          <w:cantSplit w:val="false"/>
          <w:tblHeader w:val="false"/>
        </w:trPr>
        <w:tc>
          <w:tcPr>
            <w:tcW w:type="dxa" w:w="28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工业企业采购占比（公开中标）</w:t>
            </w:r>
          </w:p>
        </w:tc>
        <w:tc>
          <w:tcPr>
            <w:tcW w:type="dxa" w:w="19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2027 年超过 50%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30%–50%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低于 25%</w:t>
            </w:r>
          </w:p>
        </w:tc>
        <w:tc>
          <w:tcPr>
            <w:tcW w:type="dxa" w:w="22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联盟统计、招标网，每季度</w:t>
            </w:r>
          </w:p>
        </w:tc>
      </w:tr>
      <w:tr>
        <w:trPr>
          <w:cantSplit w:val="false"/>
          <w:tblHeader w:val="false"/>
        </w:trPr>
        <w:tc>
          <w:tcPr>
            <w:tcW w:type="dxa" w:w="28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单一工业客户复购台数</w:t>
            </w:r>
          </w:p>
        </w:tc>
        <w:tc>
          <w:tcPr>
            <w:tcW w:type="dxa" w:w="19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出现千台级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百台级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只有十台级试点</w:t>
            </w:r>
          </w:p>
        </w:tc>
        <w:tc>
          <w:tcPr>
            <w:tcW w:type="dxa" w:w="22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公告、访谈，每季度</w:t>
            </w:r>
          </w:p>
        </w:tc>
      </w:tr>
      <w:tr>
        <w:trPr>
          <w:cantSplit w:val="false"/>
          <w:tblHeader w:val="false"/>
        </w:trPr>
        <w:tc>
          <w:tcPr>
            <w:tcW w:type="dxa" w:w="28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特斯拉 Optimus 周产量</w:t>
            </w:r>
          </w:p>
        </w:tc>
        <w:tc>
          <w:tcPr>
            <w:tcW w:type="dxa" w:w="19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2027 年底超过 5,000 台/周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1,000–5,000 台/周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低于 500 台/周</w:t>
            </w:r>
          </w:p>
        </w:tc>
        <w:tc>
          <w:tcPr>
            <w:tcW w:type="dxa" w:w="22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财报，每季度</w:t>
            </w:r>
          </w:p>
        </w:tc>
      </w:tr>
      <w:tr>
        <w:trPr>
          <w:cantSplit w:val="false"/>
          <w:tblHeader w:val="false"/>
        </w:trPr>
        <w:tc>
          <w:tcPr>
            <w:tcW w:type="dxa" w:w="28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全尺寸人形均价</w:t>
            </w:r>
          </w:p>
        </w:tc>
        <w:tc>
          <w:tcPr>
            <w:tcW w:type="dxa" w:w="19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2028 年低于 15 万元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15–30 万元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高于 30 万元</w:t>
            </w:r>
          </w:p>
        </w:tc>
        <w:tc>
          <w:tcPr>
            <w:tcW w:type="dxa" w:w="22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招标、报价，每季度</w:t>
            </w:r>
          </w:p>
        </w:tc>
      </w:tr>
      <w:tr>
        <w:trPr>
          <w:cantSplit w:val="false"/>
          <w:tblHeader w:val="false"/>
        </w:trPr>
        <w:tc>
          <w:tcPr>
            <w:tcW w:type="dxa" w:w="28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上市人形企业估值/收入倍数</w:t>
            </w:r>
          </w:p>
        </w:tc>
        <w:tc>
          <w:tcPr>
            <w:tcW w:type="dxa" w:w="19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维持 30 倍以上且收入高增长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10–30 倍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低于 10 倍且破发</w:t>
            </w:r>
          </w:p>
        </w:tc>
        <w:tc>
          <w:tcPr>
            <w:tcW w:type="dxa" w:w="22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行情，每月</w:t>
            </w:r>
          </w:p>
        </w:tc>
      </w:tr>
      <w:tr>
        <w:trPr>
          <w:cantSplit w:val="false"/>
          <w:tblHeader w:val="false"/>
        </w:trPr>
        <w:tc>
          <w:tcPr>
            <w:tcW w:type="dxa" w:w="28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一级市场下行轮数量</w:t>
            </w:r>
          </w:p>
        </w:tc>
        <w:tc>
          <w:tcPr>
            <w:tcW w:type="dxa" w:w="19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很少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局部出现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普遍</w:t>
            </w:r>
          </w:p>
        </w:tc>
        <w:tc>
          <w:tcPr>
            <w:tcW w:type="dxa" w:w="22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投资网络，每季度</w:t>
            </w:r>
          </w:p>
        </w:tc>
      </w:tr>
      <w:tr>
        <w:trPr>
          <w:cantSplit w:val="false"/>
          <w:tblHeader w:val="false"/>
        </w:trPr>
        <w:tc>
          <w:tcPr>
            <w:tcW w:type="dxa" w:w="28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GXO、亚马逊等客户对人形的表态</w:t>
            </w:r>
          </w:p>
        </w:tc>
        <w:tc>
          <w:tcPr>
            <w:tcW w:type="dxa" w:w="19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宣布规模采购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扩大试点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停止试点</w:t>
            </w:r>
          </w:p>
        </w:tc>
        <w:tc>
          <w:tcPr>
            <w:tcW w:type="dxa" w:w="22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财报会，每季度</w:t>
            </w:r>
          </w:p>
        </w:tc>
      </w:tr>
      <w:tr>
        <w:trPr>
          <w:cantSplit w:val="false"/>
          <w:tblHeader w:val="false"/>
        </w:trPr>
        <w:tc>
          <w:tcPr>
            <w:tcW w:type="dxa" w:w="28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美国对中国机器人限制</w:t>
            </w:r>
          </w:p>
        </w:tc>
        <w:tc>
          <w:tcPr>
            <w:tcW w:type="dxa" w:w="19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明确豁免民用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采购禁令</w:t>
            </w:r>
          </w:p>
        </w:tc>
        <w:tc>
          <w:tcPr>
            <w:tcW w:type="dxa" w:w="12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全面进口禁令</w:t>
            </w:r>
          </w:p>
        </w:tc>
        <w:tc>
          <w:tcPr>
            <w:tcW w:type="dxa" w:w="22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法案、FCC 文件，实时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12" w:id="1112"/>
      <w:r>
        <w:t xml:space="preserve">12.6 不强行量化的部分</w:t>
      </w:r>
      <w:bookmarkEnd w:id="1112"/>
    </w:p>
    <w:p>
      <w:pPr>
        <w:spacing w:after="120" w:line="324" w:lineRule="auto"/>
        <w:jc w:val="both"/>
      </w:pPr>
      <w:r>
        <w:t xml:space="preserve">以下指标缺乏可信的建模基础，本报告</w:t>
      </w:r>
      <w:r>
        <w:rPr>
          <w:b/>
          <w:bCs/>
        </w:rPr>
        <w:t xml:space="preserve">只给方向、不给数字</w:t>
      </w:r>
      <w:r>
        <w:t xml:space="preserve">：家庭人形的渗透率、2035 年各环节的利润率、具体企业 2030 年的市场份额、通用人工智能对机器人能力的跃迁时点。</w:t>
      </w:r>
    </w:p>
    <w:p>
      <w:pPr>
        <w:pStyle w:val="Heading1"/>
        <w:pageBreakBefore/>
      </w:pPr>
      <w:bookmarkStart w:name="bm113" w:id="1113"/>
      <w:r>
        <w:t xml:space="preserve">第十三篇　投资机会地图与行业投资策略</w:t>
      </w:r>
      <w:bookmarkEnd w:id="1113"/>
    </w:p>
    <w:p>
      <w:pPr>
        <w:pStyle w:val="Heading2"/>
      </w:pPr>
      <w:bookmarkStart w:name="bm114" w:id="1114"/>
      <w:r>
        <w:t xml:space="preserve">13.1 四维投资机会矩阵</w:t>
      </w:r>
      <w:bookmarkEnd w:id="1114"/>
    </w:p>
    <w:p>
      <w:pPr>
        <w:pStyle w:val="Heading3"/>
      </w:pPr>
      <w:r>
        <w:t xml:space="preserve">维度一：按产业链环节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89"/>
        <w:gridCol w:w="2980"/>
        <w:gridCol w:w="2384"/>
        <w:gridCol w:w="2585"/>
      </w:tblGrid>
      <w:tr>
        <w:trPr>
          <w:cantSplit w:val="false"/>
          <w:tblHeader/>
        </w:trPr>
        <w:tc>
          <w:tcPr>
            <w:tcW w:type="dxa" w:w="1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环节</w:t>
            </w:r>
          </w:p>
        </w:tc>
        <w:tc>
          <w:tcPr>
            <w:tcW w:type="dxa" w:w="2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机会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风险</w:t>
            </w:r>
          </w:p>
        </w:tc>
        <w:tc>
          <w:tcPr>
            <w:tcW w:type="dxa" w:w="2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结论</w:t>
            </w:r>
          </w:p>
        </w:tc>
      </w:tr>
      <w:tr>
        <w:trPr>
          <w:cantSplit w:val="false"/>
          <w:tblHeader w:val="false"/>
        </w:trPr>
        <w:tc>
          <w:tcPr>
            <w:tcW w:type="dxa" w:w="1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上游精密部件</w:t>
            </w:r>
          </w:p>
        </w:tc>
        <w:tc>
          <w:tcPr>
            <w:tcW w:type="dxa" w:w="2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工艺壁垒、跨场景收入、国产替代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放量后价格战、客户自制</w:t>
            </w:r>
          </w:p>
        </w:tc>
        <w:tc>
          <w:tcPr>
            <w:tcW w:type="dxa" w:w="2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重点</w:t>
            </w:r>
            <w:r>
              <w:rPr>
                <w:sz w:val="16"/>
                <w:szCs w:val="16"/>
              </w:rPr>
              <w:t xml:space="preserve">（工艺件）</w:t>
            </w:r>
          </w:p>
        </w:tc>
      </w:tr>
      <w:tr>
        <w:trPr>
          <w:cantSplit w:val="false"/>
          <w:tblHeader w:val="false"/>
        </w:trPr>
        <w:tc>
          <w:tcPr>
            <w:tcW w:type="dxa" w:w="1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上游标准件</w:t>
            </w:r>
          </w:p>
        </w:tc>
        <w:tc>
          <w:tcPr>
            <w:tcW w:type="dxa" w:w="2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规模化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商品化</w:t>
            </w:r>
          </w:p>
        </w:tc>
        <w:tc>
          <w:tcPr>
            <w:tcW w:type="dxa" w:w="2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回避（除非是规模龙头）</w:t>
            </w:r>
          </w:p>
        </w:tc>
      </w:tr>
      <w:tr>
        <w:trPr>
          <w:cantSplit w:val="false"/>
          <w:tblHeader w:val="false"/>
        </w:trPr>
        <w:tc>
          <w:tcPr>
            <w:tcW w:type="dxa" w:w="1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端侧算力与工具链</w:t>
            </w:r>
          </w:p>
        </w:tc>
        <w:tc>
          <w:tcPr>
            <w:tcW w:type="dxa" w:w="2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国产替代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大厂与生态竞争</w:t>
            </w:r>
          </w:p>
        </w:tc>
        <w:tc>
          <w:tcPr>
            <w:tcW w:type="dxa" w:w="2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选择性</w:t>
            </w:r>
          </w:p>
        </w:tc>
      </w:tr>
      <w:tr>
        <w:trPr>
          <w:cantSplit w:val="false"/>
          <w:tblHeader w:val="false"/>
        </w:trPr>
        <w:tc>
          <w:tcPr>
            <w:tcW w:type="dxa" w:w="1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中游整机</w:t>
            </w:r>
          </w:p>
        </w:tc>
        <w:tc>
          <w:tcPr>
            <w:tcW w:type="dxa" w:w="2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头部规模经济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同质化、高估值、资本消耗</w:t>
            </w:r>
          </w:p>
        </w:tc>
        <w:tc>
          <w:tcPr>
            <w:tcW w:type="dxa" w:w="2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只投头部，且看价格</w:t>
            </w:r>
          </w:p>
        </w:tc>
      </w:tr>
      <w:tr>
        <w:trPr>
          <w:cantSplit w:val="false"/>
          <w:tblHeader w:val="false"/>
        </w:trPr>
        <w:tc>
          <w:tcPr>
            <w:tcW w:type="dxa" w:w="1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中游模型</w:t>
            </w:r>
          </w:p>
        </w:tc>
        <w:tc>
          <w:tcPr>
            <w:tcW w:type="dxa" w:w="2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前沿能力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开源、大厂、自研</w:t>
            </w:r>
          </w:p>
        </w:tc>
        <w:tc>
          <w:tcPr>
            <w:tcW w:type="dxa" w:w="2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早期低估值，并要求数据闭环</w:t>
            </w:r>
          </w:p>
        </w:tc>
      </w:tr>
      <w:tr>
        <w:trPr>
          <w:cantSplit w:val="false"/>
          <w:tblHeader w:val="false"/>
        </w:trPr>
        <w:tc>
          <w:tcPr>
            <w:tcW w:type="dxa" w:w="1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数据</w:t>
            </w:r>
          </w:p>
        </w:tc>
        <w:tc>
          <w:tcPr>
            <w:tcW w:type="dxa" w:w="2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工具链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采集商品化</w:t>
            </w:r>
          </w:p>
        </w:tc>
        <w:tc>
          <w:tcPr>
            <w:tcW w:type="dxa" w:w="2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选择性（工具）</w:t>
            </w:r>
          </w:p>
        </w:tc>
      </w:tr>
      <w:tr>
        <w:trPr>
          <w:cantSplit w:val="false"/>
          <w:tblHeader w:val="false"/>
        </w:trPr>
        <w:tc>
          <w:tcPr>
            <w:tcW w:type="dxa" w:w="1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场景方案</w:t>
            </w:r>
          </w:p>
        </w:tc>
        <w:tc>
          <w:tcPr>
            <w:tcW w:type="dxa" w:w="2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任务闭环、客户锁定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场景天花板</w:t>
            </w:r>
          </w:p>
        </w:tc>
        <w:tc>
          <w:tcPr>
            <w:tcW w:type="dxa" w:w="2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重点</w:t>
            </w:r>
          </w:p>
        </w:tc>
      </w:tr>
      <w:tr>
        <w:trPr>
          <w:cantSplit w:val="false"/>
          <w:tblHeader w:val="false"/>
        </w:trPr>
        <w:tc>
          <w:tcPr>
            <w:tcW w:type="dxa" w:w="1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运维、RaaS 与金融</w:t>
            </w:r>
          </w:p>
        </w:tc>
        <w:tc>
          <w:tcPr>
            <w:tcW w:type="dxa" w:w="29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存量规模化以后</w:t>
            </w:r>
          </w:p>
        </w:tc>
        <w:tc>
          <w:tcPr>
            <w:tcW w:type="dxa" w:w="23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早期利用率不足</w:t>
            </w:r>
          </w:p>
        </w:tc>
        <w:tc>
          <w:tcPr>
            <w:tcW w:type="dxa" w:w="2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2028 年以后布局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维度二：按应用场景</w:t>
      </w:r>
    </w:p>
    <w:p>
      <w:pPr>
        <w:spacing w:after="120" w:line="324" w:lineRule="auto"/>
        <w:jc w:val="both"/>
      </w:pPr>
      <w:r>
        <w:t xml:space="preserve">见第六篇 6.2 节和附录 4。优先级如下：</w:t>
      </w:r>
    </w:p>
    <w:p>
      <w:pPr>
        <w:spacing w:after="60" w:line="312" w:lineRule="auto"/>
        <w:ind w:left="420" w:hanging="300"/>
      </w:pPr>
      <w:r>
        <w:t xml:space="preserve">1. 特种巡检和作业；</w:t>
      </w:r>
    </w:p>
    <w:p>
      <w:pPr>
        <w:spacing w:after="60" w:line="312" w:lineRule="auto"/>
        <w:ind w:left="420" w:hanging="300"/>
      </w:pPr>
      <w:r>
        <w:t xml:space="preserve">2. 物流搬箱（形态中立）；</w:t>
      </w:r>
    </w:p>
    <w:p>
      <w:pPr>
        <w:spacing w:after="60" w:line="312" w:lineRule="auto"/>
        <w:ind w:left="420" w:hanging="300"/>
      </w:pPr>
      <w:r>
        <w:t xml:space="preserve">3. 3C 柔性上下料、实验室自动化；</w:t>
      </w:r>
    </w:p>
    <w:p>
      <w:pPr>
        <w:spacing w:after="60" w:line="312" w:lineRule="auto"/>
        <w:ind w:left="420" w:hanging="300"/>
      </w:pPr>
      <w:r>
        <w:t xml:space="preserve">4. 汽车制造；</w:t>
      </w:r>
    </w:p>
    <w:p>
      <w:pPr>
        <w:spacing w:after="60" w:line="312" w:lineRule="auto"/>
        <w:ind w:left="420" w:hanging="300"/>
      </w:pPr>
      <w:r>
        <w:t xml:space="preserve">5. 商业服务；</w:t>
      </w:r>
    </w:p>
    <w:p>
      <w:pPr>
        <w:spacing w:after="60" w:line="312" w:lineRule="auto"/>
        <w:ind w:left="420" w:hanging="300"/>
      </w:pPr>
      <w:r>
        <w:t xml:space="preserve">6. 家庭。</w:t>
      </w:r>
    </w:p>
    <w:p>
      <w:pPr>
        <w:pStyle w:val="Heading3"/>
      </w:pPr>
      <w:r>
        <w:t xml:space="preserve">维度三：按商业模式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74"/>
        <w:gridCol w:w="2196"/>
        <w:gridCol w:w="2928"/>
        <w:gridCol w:w="2440"/>
      </w:tblGrid>
      <w:tr>
        <w:trPr>
          <w:cantSplit w:val="false"/>
          <w:tblHeader/>
        </w:trPr>
        <w:tc>
          <w:tcPr>
            <w:tcW w:type="dxa" w:w="207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模式</w:t>
            </w:r>
          </w:p>
        </w:tc>
        <w:tc>
          <w:tcPr>
            <w:tcW w:type="dxa" w:w="21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适合的阶段与场景</w:t>
            </w:r>
          </w:p>
        </w:tc>
        <w:tc>
          <w:tcPr>
            <w:tcW w:type="dxa" w:w="29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关键指标</w:t>
            </w:r>
          </w:p>
        </w:tc>
        <w:tc>
          <w:tcPr>
            <w:tcW w:type="dxa" w:w="2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结论</w:t>
            </w:r>
          </w:p>
        </w:tc>
      </w:tr>
      <w:tr>
        <w:trPr>
          <w:cantSplit w:val="false"/>
          <w:tblHeader w:val="false"/>
        </w:trPr>
        <w:tc>
          <w:tcPr>
            <w:tcW w:type="dxa" w:w="207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硬件销售</w:t>
            </w:r>
          </w:p>
        </w:tc>
        <w:tc>
          <w:tcPr>
            <w:tcW w:type="dxa" w:w="21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科研教育、成熟场景</w:t>
            </w:r>
          </w:p>
        </w:tc>
        <w:tc>
          <w:tcPr>
            <w:tcW w:type="dxa" w:w="29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毛利率、复购</w:t>
            </w:r>
          </w:p>
        </w:tc>
        <w:tc>
          <w:tcPr>
            <w:tcW w:type="dxa" w:w="2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现金流好，天花板可见</w:t>
            </w:r>
          </w:p>
        </w:tc>
      </w:tr>
      <w:tr>
        <w:trPr>
          <w:cantSplit w:val="false"/>
          <w:tblHeader w:val="false"/>
        </w:trPr>
        <w:tc>
          <w:tcPr>
            <w:tcW w:type="dxa" w:w="207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硬件加软件订阅</w:t>
            </w:r>
          </w:p>
        </w:tc>
        <w:tc>
          <w:tcPr>
            <w:tcW w:type="dxa" w:w="21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工业</w:t>
            </w:r>
          </w:p>
        </w:tc>
        <w:tc>
          <w:tcPr>
            <w:tcW w:type="dxa" w:w="29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软件收入占比</w:t>
            </w:r>
          </w:p>
        </w:tc>
        <w:tc>
          <w:tcPr>
            <w:tcW w:type="dxa" w:w="2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长期方向</w:t>
            </w:r>
          </w:p>
        </w:tc>
      </w:tr>
      <w:tr>
        <w:trPr>
          <w:cantSplit w:val="false"/>
          <w:tblHeader w:val="false"/>
        </w:trPr>
        <w:tc>
          <w:tcPr>
            <w:tcW w:type="dxa" w:w="207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RaaS 或按任务计费</w:t>
            </w:r>
          </w:p>
        </w:tc>
        <w:tc>
          <w:tcPr>
            <w:tcW w:type="dxa" w:w="21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物流、工业</w:t>
            </w:r>
          </w:p>
        </w:tc>
        <w:tc>
          <w:tcPr>
            <w:tcW w:type="dxa" w:w="29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利用率、回收期</w:t>
            </w:r>
          </w:p>
        </w:tc>
        <w:tc>
          <w:tcPr>
            <w:tcW w:type="dxa" w:w="2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资本密集，要配套金融</w:t>
            </w:r>
          </w:p>
        </w:tc>
      </w:tr>
      <w:tr>
        <w:trPr>
          <w:cantSplit w:val="false"/>
          <w:tblHeader w:val="false"/>
        </w:trPr>
        <w:tc>
          <w:tcPr>
            <w:tcW w:type="dxa" w:w="207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项目制解决方案</w:t>
            </w:r>
          </w:p>
        </w:tc>
        <w:tc>
          <w:tcPr>
            <w:tcW w:type="dxa" w:w="21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政府、国企</w:t>
            </w:r>
          </w:p>
        </w:tc>
        <w:tc>
          <w:tcPr>
            <w:tcW w:type="dxa" w:w="29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回款、复购</w:t>
            </w:r>
          </w:p>
        </w:tc>
        <w:tc>
          <w:tcPr>
            <w:tcW w:type="dxa" w:w="2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收入波动大</w:t>
            </w:r>
          </w:p>
        </w:tc>
      </w:tr>
      <w:tr>
        <w:trPr>
          <w:cantSplit w:val="false"/>
          <w:tblHeader w:val="false"/>
        </w:trPr>
        <w:tc>
          <w:tcPr>
            <w:tcW w:type="dxa" w:w="207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模型授权或 API</w:t>
            </w:r>
          </w:p>
        </w:tc>
        <w:tc>
          <w:tcPr>
            <w:tcW w:type="dxa" w:w="21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平台型模型公司</w:t>
            </w:r>
          </w:p>
        </w:tc>
        <w:tc>
          <w:tcPr>
            <w:tcW w:type="dxa" w:w="29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第三方付费客户数</w:t>
            </w:r>
          </w:p>
        </w:tc>
        <w:tc>
          <w:tcPr>
            <w:tcW w:type="dxa" w:w="2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尚未验证</w:t>
            </w:r>
          </w:p>
        </w:tc>
      </w:tr>
      <w:tr>
        <w:trPr>
          <w:cantSplit w:val="false"/>
          <w:tblHeader w:val="false"/>
        </w:trPr>
        <w:tc>
          <w:tcPr>
            <w:tcW w:type="dxa" w:w="207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部件销售</w:t>
            </w:r>
          </w:p>
        </w:tc>
        <w:tc>
          <w:tcPr>
            <w:tcW w:type="dxa" w:w="21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零部件</w:t>
            </w:r>
          </w:p>
        </w:tc>
        <w:tc>
          <w:tcPr>
            <w:tcW w:type="dxa" w:w="292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客户数、良率、单价年降幅</w:t>
            </w:r>
          </w:p>
        </w:tc>
        <w:tc>
          <w:tcPr>
            <w:tcW w:type="dxa" w:w="2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稳健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维度四：按融资阶段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5"/>
        <w:gridCol w:w="3050"/>
        <w:gridCol w:w="2565"/>
        <w:gridCol w:w="2498"/>
      </w:tblGrid>
      <w:tr>
        <w:trPr>
          <w:cantSplit w:val="false"/>
          <w:tblHeader/>
        </w:trPr>
        <w:tc>
          <w:tcPr>
            <w:tcW w:type="dxa" w:w="15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阶段</w:t>
            </w:r>
          </w:p>
        </w:tc>
        <w:tc>
          <w:tcPr>
            <w:tcW w:type="dxa" w:w="30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适合投资的标的</w:t>
            </w:r>
          </w:p>
        </w:tc>
        <w:tc>
          <w:tcPr>
            <w:tcW w:type="dxa" w:w="25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估值纪律（参考）</w:t>
            </w:r>
          </w:p>
        </w:tc>
        <w:tc>
          <w:tcPr>
            <w:tcW w:type="dxa" w:w="24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核心验证点</w:t>
            </w:r>
          </w:p>
        </w:tc>
      </w:tr>
      <w:tr>
        <w:trPr>
          <w:cantSplit w:val="false"/>
          <w:tblHeader w:val="false"/>
        </w:trPr>
        <w:tc>
          <w:tcPr>
            <w:tcW w:type="dxa" w:w="15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天使轮到 A 轮</w:t>
            </w:r>
          </w:p>
        </w:tc>
        <w:tc>
          <w:tcPr>
            <w:tcW w:type="dxa" w:w="30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精密部件新工艺、触觉、数据工具、场景闭环的早期团队</w:t>
            </w:r>
          </w:p>
        </w:tc>
        <w:tc>
          <w:tcPr>
            <w:tcW w:type="dxa" w:w="25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投后 5–20 亿元</w:t>
            </w:r>
          </w:p>
        </w:tc>
        <w:tc>
          <w:tcPr>
            <w:tcW w:type="dxa" w:w="24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技术可行性、团队工程化能力、首批客户</w:t>
            </w:r>
          </w:p>
        </w:tc>
      </w:tr>
      <w:tr>
        <w:trPr>
          <w:cantSplit w:val="false"/>
          <w:tblHeader w:val="false"/>
        </w:trPr>
        <w:tc>
          <w:tcPr>
            <w:tcW w:type="dxa" w:w="15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B 轮到 C 轮</w:t>
            </w:r>
          </w:p>
        </w:tc>
        <w:tc>
          <w:tcPr>
            <w:tcW w:type="dxa" w:w="30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已有复购的场景公司、已有定点的部件公司</w:t>
            </w:r>
          </w:p>
        </w:tc>
        <w:tc>
          <w:tcPr>
            <w:tcW w:type="dxa" w:w="25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估值/收入 ≤10–15 倍</w:t>
            </w:r>
          </w:p>
        </w:tc>
        <w:tc>
          <w:tcPr>
            <w:tcW w:type="dxa" w:w="24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复购、毛利率、交付可复制性</w:t>
            </w:r>
          </w:p>
        </w:tc>
      </w:tr>
      <w:tr>
        <w:trPr>
          <w:cantSplit w:val="false"/>
          <w:tblHeader w:val="false"/>
        </w:trPr>
        <w:tc>
          <w:tcPr>
            <w:tcW w:type="dxa" w:w="15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Pre-IPO</w:t>
            </w:r>
          </w:p>
        </w:tc>
        <w:tc>
          <w:tcPr>
            <w:tcW w:type="dxa" w:w="30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收入质量高、满足窗口指导的公司</w:t>
            </w:r>
          </w:p>
        </w:tc>
        <w:tc>
          <w:tcPr>
            <w:tcW w:type="dxa" w:w="25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对标上市可比，并留出 30% 以上安全边际</w:t>
            </w:r>
          </w:p>
        </w:tc>
        <w:tc>
          <w:tcPr>
            <w:tcW w:type="dxa" w:w="24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经常性收入、亏损收窄</w:t>
            </w:r>
          </w:p>
        </w:tc>
      </w:tr>
      <w:tr>
        <w:trPr>
          <w:cantSplit w:val="false"/>
          <w:tblHeader w:val="false"/>
        </w:trPr>
        <w:tc>
          <w:tcPr>
            <w:tcW w:type="dxa" w:w="15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头部整机或平台的后期轮</w:t>
            </w:r>
          </w:p>
        </w:tc>
        <w:tc>
          <w:tcPr>
            <w:tcW w:type="dxa" w:w="305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只在估值重置时</w:t>
            </w:r>
          </w:p>
        </w:tc>
        <w:tc>
          <w:tcPr>
            <w:tcW w:type="dxa" w:w="25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要求优先清算权和回购等结构化条款</w:t>
            </w:r>
          </w:p>
        </w:tc>
        <w:tc>
          <w:tcPr>
            <w:tcW w:type="dxa" w:w="24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收入结构审计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15" w:id="1115"/>
      <w:r>
        <w:t xml:space="preserve">13.2 投资机会优先级矩阵</w:t>
      </w:r>
      <w:bookmarkEnd w:id="11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1"/>
        <w:gridCol w:w="405"/>
        <w:gridCol w:w="855"/>
        <w:gridCol w:w="270"/>
        <w:gridCol w:w="360"/>
        <w:gridCol w:w="720"/>
        <w:gridCol w:w="945"/>
        <w:gridCol w:w="585"/>
        <w:gridCol w:w="1531"/>
        <w:gridCol w:w="1170"/>
        <w:gridCol w:w="1266"/>
      </w:tblGrid>
      <w:tr>
        <w:trPr>
          <w:cantSplit w:val="false"/>
          <w:tblHeader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方向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环节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产业阶段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确定性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潜在回报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估值热度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被替代风险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优先级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建议阶段与估值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进入条件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放弃条件</w:t>
            </w:r>
          </w:p>
        </w:tc>
      </w:tr>
      <w:tr>
        <w:trPr>
          <w:cantSplit w:val="false"/>
          <w:tblHeader w:val="false"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精密传动（行星滚柱丝杠、微型丝杠、高端减速器）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上游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量产导入期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中高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中高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高（二级概念热）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中（Tier1/整机自制）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★★★★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成长期；以存量业务 PE 定价，人形为期权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良率/寿命数据+多客户定点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仅有人形概念收入、无存量业务</w:t>
            </w:r>
          </w:p>
        </w:tc>
      </w:tr>
      <w:tr>
        <w:trPr>
          <w:cantSplit w:val="false"/>
          <w:tblHeader w:val="false"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高自由度灵巧手+触觉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上游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工程化期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中（整机自研）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★★★★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A–B 轮；10–30 亿元区间更合理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寿命测试与多客户导入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仅低自由度、靠价格战</w:t>
            </w:r>
          </w:p>
        </w:tc>
      </w:tr>
      <w:tr>
        <w:trPr>
          <w:cantSplit w:val="false"/>
          <w:tblHeader w:val="false"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触觉传感/电子皮肤与触觉数据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上游+数据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技术探索→工程化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中低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天使–A 轮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标定/耐久性突破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无量产工艺</w:t>
            </w:r>
          </w:p>
        </w:tc>
      </w:tr>
      <w:tr>
        <w:trPr>
          <w:cantSplit w:val="false"/>
          <w:tblHeader w:val="false"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端侧计算平台（国产 SoC+工具链）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上游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量产导入期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中高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中（大厂芯片）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成长期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头部整机定点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无软件生态</w:t>
            </w:r>
          </w:p>
        </w:tc>
      </w:tr>
      <w:tr>
        <w:trPr>
          <w:cantSplit w:val="false"/>
          <w:tblHeader w:val="false"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六维力/关节力矩传感器国产替代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上游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量产期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中高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成长期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工业+人形双市场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价格战且无技术差异</w:t>
            </w:r>
          </w:p>
        </w:tc>
      </w:tr>
      <w:tr>
        <w:trPr>
          <w:cantSplit w:val="false"/>
          <w:tblHeader w:val="false"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轮式移动操作（任务闭环，工业/实验室）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中游+场景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商业验证期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中高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中高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★★★★★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A–C 轮；估值/收入 ≤10–15x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复购与回本证据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仅展示订单</w:t>
            </w:r>
          </w:p>
        </w:tc>
      </w:tr>
      <w:tr>
        <w:trPr>
          <w:cantSplit w:val="false"/>
          <w:tblHeader w:val="false"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物流搬箱/拆码垛具身系统（形态中立）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场景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商业验证期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中高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中（物流巨头自研）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★★★★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B–C 轮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生产环境部署与 RaaS 利用率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依赖单一客户试点</w:t>
            </w:r>
          </w:p>
        </w:tc>
      </w:tr>
      <w:tr>
        <w:trPr>
          <w:cantSplit w:val="false"/>
          <w:tblHeader w:val="false"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特种作业（巡检、电力、危化、矿山）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场景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早期规模化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中低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★★★★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 轮至 Pre-IPO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国企复购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政府项目依赖</w:t>
            </w:r>
          </w:p>
        </w:tc>
      </w:tr>
      <w:tr>
        <w:trPr>
          <w:cantSplit w:val="false"/>
          <w:tblHeader w:val="false"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数据工具链（采集设备、数据管理、评估）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数据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成长期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中（被开源/大厂替代）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A 轮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软件化收入与多客户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代采劳务型</w:t>
            </w:r>
          </w:p>
        </w:tc>
      </w:tr>
      <w:tr>
        <w:trPr>
          <w:cantSplit w:val="false"/>
          <w:tblHeader w:val="false"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第三方评测/仿真/安全认证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基础设施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早期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中低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中（国家队）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天使–A 轮小额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被采购方采纳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无独立性</w:t>
            </w:r>
          </w:p>
        </w:tc>
      </w:tr>
      <w:tr>
        <w:trPr>
          <w:cantSplit w:val="false"/>
          <w:tblHeader w:val="false"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头部整机/平台（估值重置后）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中游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资本扩张末期→验证期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很高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低（头部）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★★★（看价格）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仅在重置估值+结构化条款下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收入质量与复购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估值/收入 &gt;50x 且无条款保护</w:t>
            </w:r>
          </w:p>
        </w:tc>
      </w:tr>
      <w:tr>
        <w:trPr>
          <w:cantSplit w:val="false"/>
          <w:tblHeader w:val="false"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机器人基础模型（纯模型）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中游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技术探索期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很高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很高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高（开源/大厂）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仅早期、低估值、有数据闭环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第三方付费授权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100 亿元以上估值无收入</w:t>
            </w:r>
          </w:p>
        </w:tc>
      </w:tr>
      <w:tr>
        <w:trPr>
          <w:cantSplit w:val="false"/>
          <w:tblHeader w:val="false"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同质化双足全尺寸整机新项目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中游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过热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很高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回避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 w:val="false"/>
          <w:tblHeader w:val="false"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家庭通用人形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中游+场景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技术探索期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很高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★（期权）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仅小额期权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家庭使用数据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依赖遥操作且无下降曲线</w:t>
            </w:r>
          </w:p>
        </w:tc>
      </w:tr>
      <w:tr>
        <w:trPr>
          <w:cantSplit w:val="false"/>
          <w:tblHeader w:val="false"/>
        </w:trPr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文娱/商演租赁</w:t>
            </w:r>
          </w:p>
        </w:tc>
        <w:tc>
          <w:tcPr>
            <w:tcW w:type="dxa" w:w="4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场景</w:t>
            </w:r>
          </w:p>
        </w:tc>
        <w:tc>
          <w:tcPr>
            <w:tcW w:type="dxa" w:w="8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价格崩塌</w:t>
            </w:r>
          </w:p>
        </w:tc>
        <w:tc>
          <w:tcPr>
            <w:tcW w:type="dxa" w:w="2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3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9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5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☆</w:t>
            </w:r>
          </w:p>
        </w:tc>
        <w:tc>
          <w:tcPr>
            <w:tcW w:type="dxa" w:w="15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回避</w:t>
            </w:r>
          </w:p>
        </w:tc>
        <w:tc>
          <w:tcPr>
            <w:tcW w:type="dxa" w:w="11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2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16" w:id="1116"/>
      <w:r>
        <w:t xml:space="preserve">13.3 逐一回答十个投资问题</w:t>
      </w:r>
      <w:bookmarkEnd w:id="1116"/>
    </w:p>
    <w:p>
      <w:pPr>
        <w:spacing w:after="120" w:line="324" w:lineRule="auto"/>
        <w:jc w:val="both"/>
      </w:pPr>
      <w:r>
        <w:rPr>
          <w:b/>
          <w:bCs/>
        </w:rPr>
        <w:t xml:space="preserve">1. 未来最值得投资的细分赛道是哪些？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任务闭环的轮式移动操作与场景系统；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精密部件（行星滚柱丝杠、高自由度灵巧手加触觉、六维力）；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特种作业；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国产端侧计算平台；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数据与评测工具链。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2. 各赛道的投资逻辑是什么？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场景系统</w:t>
      </w:r>
      <w:r>
        <w:t xml:space="preserve">：用客户的 ROI 而不是叙事来定价，可复制的部署形成数据与客户锁定。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精密部件</w:t>
      </w:r>
      <w:r>
        <w:t xml:space="preserve">：用存量工业业务给估值托底，把人形需求作为期权，赢在工艺壁垒。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特种作业</w:t>
      </w:r>
      <w:r>
        <w:t xml:space="preserve">：高危替代价值明确，国企采购稳定。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端侧计算</w:t>
      </w:r>
      <w:r>
        <w:t xml:space="preserve">：出口管制带来国产替代，赢在生态。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工具链</w:t>
      </w:r>
      <w:r>
        <w:t xml:space="preserve">：部署规模扩大时，软件毛利随之释放。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3. 哪些方向处于早期，但潜在回报高？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高自由度灵巧手加触觉；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触觉数据闭环；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世界模型驱动的仿真与评测工具；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机器人可靠性与车队管理软件；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估值重置后的头部模型或整机平台（高赔率）。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4. 哪些方向的商业化确定性更高？</w:t>
      </w:r>
    </w:p>
    <w:p>
      <w:pPr>
        <w:spacing w:after="120" w:line="324" w:lineRule="auto"/>
        <w:jc w:val="both"/>
      </w:pPr>
      <w:r>
        <w:t xml:space="preserve">特种巡检（已有盈利样本，如云深处）、仓储 AMR 与物流自动化（极智嘉）、科研教育硬件（宇树），以及有存量业务的精密部件。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5. 哪些环节投资过热，估值可能已透支预期？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同质化双足整机；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估值 100 亿元以上的纯模型公司；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后期整机轮次（200–500 亿元级）；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二级市场的零部件概念股；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文娱租赁。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6. 哪些赛道技术重要，但利润可能被下游拿走？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基础模型（被整机与大厂内部化）；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标准关节模组（被整机压价）；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数据采集（被补贴压价）；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低自由度灵巧手（价格战）。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7. 哪些方向可能出现长期垄断或寡头优势？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端侧算力（NVIDIA 加一两家国产替代）；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头部整机（规模经济，CR5 在 80% 以上）；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精密部件的细分品类（每类 2–4 家）；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单一场景里部署密度最高的场景公司。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8. 哪些创业公司可能被大厂开源、纵向整合或供应链竞争替代？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纯模型公司（被开源和大厂替代）；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通用关节和整机代工（被头部整机自制替代，例如现代自产执行器）；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数据外包（被数采中心替代）；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通用遥操作设备（标准化）；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低端灵巧手（被价格战淘汰）。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9. 不同阶段的项目，应采用什么估值和投资框架？</w:t>
      </w:r>
    </w:p>
    <w:p>
      <w:pPr>
        <w:spacing w:after="120" w:line="324" w:lineRule="auto"/>
        <w:jc w:val="both"/>
      </w:pPr>
      <w:r>
        <w:t xml:space="preserve">见第十四篇。简要来说：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早期</w:t>
      </w:r>
      <w:r>
        <w:t xml:space="preserve">：用风险调整的情景法（VC 法），按"平台化概率 × 退出估值"倒推入场价；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成长期</w:t>
      </w:r>
      <w:r>
        <w:t xml:space="preserve">：估值/收入与毛利模型，对标上市可比并扣除流动性折价；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成熟期</w:t>
      </w:r>
      <w:r>
        <w:t xml:space="preserve">：PE 和 DCF；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零部件</w:t>
      </w:r>
      <w:r>
        <w:t xml:space="preserve">：用存量业务的 PE 托底，加上人形期权。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10. 中国一级市场投资机构应在什么时机进入，什么条件下放弃？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进入条件</w:t>
      </w:r>
      <w:r>
        <w:t xml:space="preserve">（满足任意两项即可推进尽调）：</w:t>
      </w:r>
    </w:p>
    <w:p>
      <w:pPr>
        <w:spacing w:after="60" w:line="312" w:lineRule="auto"/>
        <w:ind w:left="420" w:hanging="300"/>
      </w:pPr>
      <w:r>
        <w:t xml:space="preserve">1. 可审计的非关联生产性收入；</w:t>
      </w:r>
    </w:p>
    <w:p>
      <w:pPr>
        <w:spacing w:after="60" w:line="312" w:lineRule="auto"/>
        <w:ind w:left="420" w:hanging="300"/>
      </w:pPr>
      <w:r>
        <w:t xml:space="preserve">2. 单一客户发生复购；</w:t>
      </w:r>
    </w:p>
    <w:p>
      <w:pPr>
        <w:spacing w:after="60" w:line="312" w:lineRule="auto"/>
        <w:ind w:left="420" w:hanging="300"/>
      </w:pPr>
      <w:r>
        <w:t xml:space="preserve">3. 看护配比达到 1:10 以上，或接管率可量化地下降；</w:t>
      </w:r>
    </w:p>
    <w:p>
      <w:pPr>
        <w:spacing w:after="60" w:line="312" w:lineRule="auto"/>
        <w:ind w:left="420" w:hanging="300"/>
      </w:pPr>
      <w:r>
        <w:t xml:space="preserve">4. 估值/收入不超过 15 倍，或估值重置 30% 以上；</w:t>
      </w:r>
    </w:p>
    <w:p>
      <w:pPr>
        <w:spacing w:after="60" w:line="312" w:lineRule="auto"/>
        <w:ind w:left="420" w:hanging="300"/>
      </w:pPr>
      <w:r>
        <w:t xml:space="preserve">5. 拥有精密部件的多客户定点。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放弃条件</w:t>
      </w:r>
      <w:r>
        <w:t xml:space="preserve">（任意一项即否决）：</w:t>
      </w:r>
    </w:p>
    <w:p>
      <w:pPr>
        <w:spacing w:after="60" w:line="312" w:lineRule="auto"/>
        <w:ind w:left="420" w:hanging="300"/>
      </w:pPr>
      <w:r>
        <w:t xml:space="preserve">1. 人工接管未披露，或演示有剪辑造假；</w:t>
      </w:r>
    </w:p>
    <w:p>
      <w:pPr>
        <w:spacing w:after="60" w:line="312" w:lineRule="auto"/>
        <w:ind w:left="420" w:hanging="300"/>
      </w:pPr>
      <w:r>
        <w:t xml:space="preserve">2. 关联方收入超过 50% 且无下降计划；</w:t>
      </w:r>
    </w:p>
    <w:p>
      <w:pPr>
        <w:spacing w:after="60" w:line="312" w:lineRule="auto"/>
        <w:ind w:left="420" w:hanging="300"/>
      </w:pPr>
      <w:r>
        <w:t xml:space="preserve">3. 订单以框架协议为主，转化率低于 20%；</w:t>
      </w:r>
    </w:p>
    <w:p>
      <w:pPr>
        <w:spacing w:after="60" w:line="312" w:lineRule="auto"/>
        <w:ind w:left="420" w:hanging="300"/>
      </w:pPr>
      <w:r>
        <w:t xml:space="preserve">4. 核心团队没有量产或交付经验，且没有补强计划；</w:t>
      </w:r>
    </w:p>
    <w:p>
      <w:pPr>
        <w:spacing w:after="60" w:line="312" w:lineRule="auto"/>
        <w:ind w:left="420" w:hanging="300"/>
      </w:pPr>
      <w:r>
        <w:t xml:space="preserve">5. 现金跑道不足 12 个月，并依赖本轮"续命"；</w:t>
      </w:r>
    </w:p>
    <w:p>
      <w:pPr>
        <w:spacing w:after="60" w:line="312" w:lineRule="auto"/>
        <w:ind w:left="420" w:hanging="300"/>
      </w:pPr>
      <w:r>
        <w:t xml:space="preserve">6. 估值/收入超过 50 倍，且没有任何下行保护条款。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时机判断</w:t>
      </w:r>
      <w:r>
        <w:t xml:space="preserve">：未来 6–18 个月（2026Q4–2028H1）是</w:t>
      </w:r>
      <w:r>
        <w:rPr>
          <w:b/>
          <w:bCs/>
        </w:rPr>
        <w:t xml:space="preserve">估值重置窗口</w:t>
      </w:r>
      <w:r>
        <w:t xml:space="preserve">。在头部整机和模型公司出现下行轮或平价轮、IPO 排队拉长、尾部出清之前，优先投资场景闭环和精密部件；</w:t>
      </w:r>
      <w:r>
        <w:rPr>
          <w:b/>
          <w:bCs/>
        </w:rPr>
        <w:t xml:space="preserve">为头部重置轮预留 20%–25% 的额度</w:t>
      </w:r>
      <w:r>
        <w:t xml:space="preserve">。</w:t>
      </w:r>
    </w:p>
    <w:p>
      <w:pPr>
        <w:pStyle w:val="Heading2"/>
      </w:pPr>
      <w:bookmarkStart w:name="bm117" w:id="1117"/>
      <w:r>
        <w:t xml:space="preserve">13.4 项目筛选评分体系（分赛道权重）</w:t>
      </w:r>
      <w:bookmarkEnd w:id="11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81"/>
        <w:gridCol w:w="907"/>
        <w:gridCol w:w="1587"/>
        <w:gridCol w:w="907"/>
        <w:gridCol w:w="907"/>
        <w:gridCol w:w="1249"/>
      </w:tblGrid>
      <w:tr>
        <w:trPr>
          <w:cantSplit w:val="false"/>
          <w:tblHeader/>
        </w:trPr>
        <w:tc>
          <w:tcPr>
            <w:tcW w:type="dxa" w:w="40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维度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精密部件</w:t>
            </w:r>
          </w:p>
        </w:tc>
        <w:tc>
          <w:tcPr>
            <w:tcW w:type="dxa" w:w="15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场景闭环机器人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整机平台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基础模型</w:t>
            </w:r>
          </w:p>
        </w:tc>
        <w:tc>
          <w:tcPr>
            <w:tcW w:type="dxa" w:w="12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数据/工具链</w:t>
            </w:r>
          </w:p>
        </w:tc>
      </w:tr>
      <w:tr>
        <w:trPr>
          <w:cantSplit w:val="false"/>
          <w:tblHeader w:val="false"/>
        </w:trPr>
        <w:tc>
          <w:tcPr>
            <w:tcW w:type="dxa" w:w="40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技术能力与壁垒（可验证）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type="dxa" w:w="15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30</w:t>
            </w:r>
          </w:p>
        </w:tc>
        <w:tc>
          <w:tcPr>
            <w:tcW w:type="dxa" w:w="12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</w:t>
            </w:r>
          </w:p>
        </w:tc>
      </w:tr>
      <w:tr>
        <w:trPr>
          <w:cantSplit w:val="false"/>
          <w:tblHeader w:val="false"/>
        </w:trPr>
        <w:tc>
          <w:tcPr>
            <w:tcW w:type="dxa" w:w="40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产品成熟度（可靠性、良率、MTBF）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type="dxa" w:w="15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2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</w:t>
            </w:r>
          </w:p>
        </w:tc>
      </w:tr>
      <w:tr>
        <w:trPr>
          <w:cantSplit w:val="false"/>
          <w:tblHeader w:val="false"/>
        </w:trPr>
        <w:tc>
          <w:tcPr>
            <w:tcW w:type="dxa" w:w="40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团队（工程化与量产/交付经验）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5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type="dxa" w:w="12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</w:t>
            </w:r>
          </w:p>
        </w:tc>
      </w:tr>
      <w:tr>
        <w:trPr>
          <w:cantSplit w:val="false"/>
          <w:tblHeader w:val="false"/>
        </w:trPr>
        <w:tc>
          <w:tcPr>
            <w:tcW w:type="dxa" w:w="40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真实订单与收入质量（非关联、已验收）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type="dxa" w:w="15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2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</w:t>
            </w:r>
          </w:p>
        </w:tc>
      </w:tr>
      <w:tr>
        <w:trPr>
          <w:cantSplit w:val="false"/>
          <w:tblHeader w:val="false"/>
        </w:trPr>
        <w:tc>
          <w:tcPr>
            <w:tcW w:type="dxa" w:w="40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客户复购与扩量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5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2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</w:t>
            </w:r>
          </w:p>
        </w:tc>
      </w:tr>
      <w:tr>
        <w:trPr>
          <w:cantSplit w:val="false"/>
          <w:tblHeader w:val="false"/>
        </w:trPr>
        <w:tc>
          <w:tcPr>
            <w:tcW w:type="dxa" w:w="40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数据壁垒（部署回流）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5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</w:t>
            </w:r>
          </w:p>
        </w:tc>
        <w:tc>
          <w:tcPr>
            <w:tcW w:type="dxa" w:w="12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</w:t>
            </w:r>
          </w:p>
        </w:tc>
      </w:tr>
      <w:tr>
        <w:trPr>
          <w:cantSplit w:val="false"/>
          <w:tblHeader w:val="false"/>
        </w:trPr>
        <w:tc>
          <w:tcPr>
            <w:tcW w:type="dxa" w:w="40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供应链与成本控制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5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2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</w:t>
            </w:r>
          </w:p>
        </w:tc>
      </w:tr>
      <w:tr>
        <w:trPr>
          <w:cantSplit w:val="false"/>
          <w:tblHeader w:val="false"/>
        </w:trPr>
        <w:tc>
          <w:tcPr>
            <w:tcW w:type="dxa" w:w="40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毛利率与单位经济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5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2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</w:t>
            </w:r>
          </w:p>
        </w:tc>
      </w:tr>
      <w:tr>
        <w:trPr>
          <w:cantSplit w:val="false"/>
          <w:tblHeader w:val="false"/>
        </w:trPr>
        <w:tc>
          <w:tcPr>
            <w:tcW w:type="dxa" w:w="40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资金效率（收入/累计融资、跑道）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5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2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</w:t>
            </w:r>
          </w:p>
        </w:tc>
      </w:tr>
      <w:tr>
        <w:trPr>
          <w:cantSplit w:val="false"/>
          <w:tblHeader w:val="false"/>
        </w:trPr>
        <w:tc>
          <w:tcPr>
            <w:tcW w:type="dxa" w:w="40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估值合理性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5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12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</w:t>
            </w:r>
          </w:p>
        </w:tc>
      </w:tr>
      <w:tr>
        <w:trPr>
          <w:cantSplit w:val="false"/>
          <w:tblHeader w:val="false"/>
        </w:trPr>
        <w:tc>
          <w:tcPr>
            <w:tcW w:type="dxa" w:w="40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退出可能性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5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2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>
        <w:trPr>
          <w:cantSplit w:val="false"/>
          <w:tblHeader w:val="false"/>
        </w:trPr>
        <w:tc>
          <w:tcPr>
            <w:tcW w:type="dxa" w:w="40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合计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100</w:t>
            </w:r>
          </w:p>
        </w:tc>
        <w:tc>
          <w:tcPr>
            <w:tcW w:type="dxa" w:w="158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100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100</w:t>
            </w:r>
          </w:p>
        </w:tc>
        <w:tc>
          <w:tcPr>
            <w:tcW w:type="dxa" w:w="9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100</w:t>
            </w:r>
          </w:p>
        </w:tc>
        <w:tc>
          <w:tcPr>
            <w:tcW w:type="dxa" w:w="124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100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使用方法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每个维度按 1–5 分打分，乘以所属赛道的权重；加权分 </w:t>
      </w:r>
      <w:r>
        <w:rPr>
          <w:b/>
          <w:bCs/>
        </w:rPr>
        <w:t xml:space="preserve">≥3.8</w:t>
      </w:r>
      <w:r>
        <w:t xml:space="preserve"> 进入投委会讨论。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一票否决项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接管率或演示造假；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关联方收入超过 50%；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核心团队无量产经验且没有补强计划；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跑道不足 12 个月，且本轮资金不足以抵达下一个可验证里程碑。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为什么要分赛道</w:t>
      </w:r>
      <w:r>
        <w:t xml:space="preserve">：基础模型公司没有收入是正常的，但它的技术壁垒必须</w:t>
      </w:r>
      <w:r>
        <w:rPr>
          <w:b/>
          <w:bCs/>
        </w:rPr>
        <w:t xml:space="preserve">可验证</w:t>
      </w:r>
      <w:r>
        <w:t xml:space="preserve">（第三方盲测、开源对照的消融实验）；而场景公司技术平平也可以，关键看复购和单位经济。一套统一的评分会掩盖这些差异。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评分维度的证据要求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1"/>
        <w:gridCol w:w="1801"/>
        <w:gridCol w:w="2432"/>
        <w:gridCol w:w="3784"/>
      </w:tblGrid>
      <w:tr>
        <w:trPr>
          <w:cantSplit w:val="false"/>
          <w:tblHeader/>
        </w:trPr>
        <w:tc>
          <w:tcPr>
            <w:tcW w:type="dxa" w:w="16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维度</w:t>
            </w:r>
          </w:p>
        </w:tc>
        <w:tc>
          <w:tcPr>
            <w:tcW w:type="dxa" w:w="18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 分</w:t>
            </w:r>
          </w:p>
        </w:tc>
        <w:tc>
          <w:tcPr>
            <w:tcW w:type="dxa" w:w="24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 分</w:t>
            </w:r>
          </w:p>
        </w:tc>
        <w:tc>
          <w:tcPr>
            <w:tcW w:type="dxa" w:w="37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5 分</w:t>
            </w:r>
          </w:p>
        </w:tc>
      </w:tr>
      <w:tr>
        <w:trPr>
          <w:cantSplit w:val="false"/>
          <w:tblHeader w:val="false"/>
        </w:trPr>
        <w:tc>
          <w:tcPr>
            <w:tcW w:type="dxa" w:w="16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技术能力（可验证）</w:t>
            </w:r>
          </w:p>
        </w:tc>
        <w:tc>
          <w:tcPr>
            <w:tcW w:type="dxa" w:w="18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只有自建演示</w:t>
            </w:r>
          </w:p>
        </w:tc>
        <w:tc>
          <w:tcPr>
            <w:tcW w:type="dxa" w:w="24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公开评测排名靠前</w:t>
            </w:r>
          </w:p>
        </w:tc>
        <w:tc>
          <w:tcPr>
            <w:tcW w:type="dxa" w:w="37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第三方盲测领先，且有可复现的消融实验</w:t>
            </w:r>
          </w:p>
        </w:tc>
      </w:tr>
      <w:tr>
        <w:trPr>
          <w:cantSplit w:val="false"/>
          <w:tblHeader w:val="false"/>
        </w:trPr>
        <w:tc>
          <w:tcPr>
            <w:tcW w:type="dxa" w:w="16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产品成熟度</w:t>
            </w:r>
          </w:p>
        </w:tc>
        <w:tc>
          <w:tcPr>
            <w:tcW w:type="dxa" w:w="18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样机</w:t>
            </w:r>
          </w:p>
        </w:tc>
        <w:tc>
          <w:tcPr>
            <w:tcW w:type="dxa" w:w="24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客户试点稳定运行 3 个月以上</w:t>
            </w:r>
          </w:p>
        </w:tc>
        <w:tc>
          <w:tcPr>
            <w:tcW w:type="dxa" w:w="37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MTBF 有统计，可用率 ≥95%</w:t>
            </w:r>
          </w:p>
        </w:tc>
      </w:tr>
      <w:tr>
        <w:trPr>
          <w:cantSplit w:val="false"/>
          <w:tblHeader w:val="false"/>
        </w:trPr>
        <w:tc>
          <w:tcPr>
            <w:tcW w:type="dxa" w:w="16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真实订单与收入质量</w:t>
            </w:r>
          </w:p>
        </w:tc>
        <w:tc>
          <w:tcPr>
            <w:tcW w:type="dxa" w:w="18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只有框架协议</w:t>
            </w:r>
          </w:p>
        </w:tc>
        <w:tc>
          <w:tcPr>
            <w:tcW w:type="dxa" w:w="24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有验收收入但客户集中</w:t>
            </w:r>
          </w:p>
        </w:tc>
        <w:tc>
          <w:tcPr>
            <w:tcW w:type="dxa" w:w="37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非关联、已回款、多客户</w:t>
            </w:r>
          </w:p>
        </w:tc>
      </w:tr>
      <w:tr>
        <w:trPr>
          <w:cantSplit w:val="false"/>
          <w:tblHeader w:val="false"/>
        </w:trPr>
        <w:tc>
          <w:tcPr>
            <w:tcW w:type="dxa" w:w="16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复购</w:t>
            </w:r>
          </w:p>
        </w:tc>
        <w:tc>
          <w:tcPr>
            <w:tcW w:type="dxa" w:w="18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无</w:t>
            </w:r>
          </w:p>
        </w:tc>
        <w:tc>
          <w:tcPr>
            <w:tcW w:type="dxa" w:w="24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1–2 个客户复购</w:t>
            </w:r>
          </w:p>
        </w:tc>
        <w:tc>
          <w:tcPr>
            <w:tcW w:type="dxa" w:w="37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复购成为主要收入来源</w:t>
            </w:r>
          </w:p>
        </w:tc>
      </w:tr>
      <w:tr>
        <w:trPr>
          <w:cantSplit w:val="false"/>
          <w:tblHeader w:val="false"/>
        </w:trPr>
        <w:tc>
          <w:tcPr>
            <w:tcW w:type="dxa" w:w="16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数据壁垒</w:t>
            </w:r>
          </w:p>
        </w:tc>
        <w:tc>
          <w:tcPr>
            <w:tcW w:type="dxa" w:w="18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只有采集数据</w:t>
            </w:r>
          </w:p>
        </w:tc>
        <w:tc>
          <w:tcPr>
            <w:tcW w:type="dxa" w:w="24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有部分部署回流</w:t>
            </w:r>
          </w:p>
        </w:tc>
        <w:tc>
          <w:tcPr>
            <w:tcW w:type="dxa" w:w="37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部署回流是训练数据的主要来源，且有合同授权</w:t>
            </w:r>
          </w:p>
        </w:tc>
      </w:tr>
      <w:tr>
        <w:trPr>
          <w:cantSplit w:val="false"/>
          <w:tblHeader w:val="false"/>
        </w:trPr>
        <w:tc>
          <w:tcPr>
            <w:tcW w:type="dxa" w:w="16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资金效率</w:t>
            </w:r>
          </w:p>
        </w:tc>
        <w:tc>
          <w:tcPr>
            <w:tcW w:type="dxa" w:w="180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收入/累计融资低于 2%</w:t>
            </w:r>
          </w:p>
        </w:tc>
        <w:tc>
          <w:tcPr>
            <w:tcW w:type="dxa" w:w="24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5%–15%</w:t>
            </w:r>
          </w:p>
        </w:tc>
        <w:tc>
          <w:tcPr>
            <w:tcW w:type="dxa" w:w="37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15% 以上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18" w:id="1118"/>
      <w:r>
        <w:t xml:space="preserve">13.5 投资组合构建建议</w:t>
      </w:r>
      <w:bookmarkEnd w:id="11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45"/>
        <w:gridCol w:w="1593"/>
        <w:gridCol w:w="2230"/>
        <w:gridCol w:w="2470"/>
      </w:tblGrid>
      <w:tr>
        <w:trPr>
          <w:cantSplit w:val="false"/>
          <w:tblHeader/>
        </w:trPr>
        <w:tc>
          <w:tcPr>
            <w:tcW w:type="dxa" w:w="33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资产类型</w:t>
            </w:r>
          </w:p>
        </w:tc>
        <w:tc>
          <w:tcPr>
            <w:tcW w:type="dxa" w:w="15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配置比例（建议区间）</w:t>
            </w:r>
          </w:p>
        </w:tc>
        <w:tc>
          <w:tcPr>
            <w:tcW w:type="dxa" w:w="22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预期回报特征</w:t>
            </w:r>
          </w:p>
        </w:tc>
        <w:tc>
          <w:tcPr>
            <w:tcW w:type="dxa" w:w="24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典型标的特征</w:t>
            </w:r>
          </w:p>
        </w:tc>
      </w:tr>
      <w:tr>
        <w:trPr>
          <w:cantSplit w:val="false"/>
          <w:tblHeader w:val="false"/>
        </w:trPr>
        <w:tc>
          <w:tcPr>
            <w:tcW w:type="dxa" w:w="33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精密部件与工具链（"卖铲子"）</w:t>
            </w:r>
          </w:p>
        </w:tc>
        <w:tc>
          <w:tcPr>
            <w:tcW w:type="dxa" w:w="15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30%–35%</w:t>
            </w:r>
          </w:p>
        </w:tc>
        <w:tc>
          <w:tcPr>
            <w:tcW w:type="dxa" w:w="22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中等回报、确定性高、下行有限</w:t>
            </w:r>
          </w:p>
        </w:tc>
        <w:tc>
          <w:tcPr>
            <w:tcW w:type="dxa" w:w="24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存量业务托底，多客户定点</w:t>
            </w:r>
          </w:p>
        </w:tc>
      </w:tr>
      <w:tr>
        <w:trPr>
          <w:cantSplit w:val="false"/>
          <w:tblHeader w:val="false"/>
        </w:trPr>
        <w:tc>
          <w:tcPr>
            <w:tcW w:type="dxa" w:w="33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场景闭环公司</w:t>
            </w:r>
          </w:p>
        </w:tc>
        <w:tc>
          <w:tcPr>
            <w:tcW w:type="dxa" w:w="15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30%–35%</w:t>
            </w:r>
          </w:p>
        </w:tc>
        <w:tc>
          <w:tcPr>
            <w:tcW w:type="dxa" w:w="22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中高回报、可复制</w:t>
            </w:r>
          </w:p>
        </w:tc>
        <w:tc>
          <w:tcPr>
            <w:tcW w:type="dxa" w:w="24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复购、单位经济为正</w:t>
            </w:r>
          </w:p>
        </w:tc>
      </w:tr>
      <w:tr>
        <w:trPr>
          <w:cantSplit w:val="false"/>
          <w:tblHeader w:val="false"/>
        </w:trPr>
        <w:tc>
          <w:tcPr>
            <w:tcW w:type="dxa" w:w="33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头部平台或整机（重置估值加结构化条款）</w:t>
            </w:r>
          </w:p>
        </w:tc>
        <w:tc>
          <w:tcPr>
            <w:tcW w:type="dxa" w:w="15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20%–25%</w:t>
            </w:r>
          </w:p>
        </w:tc>
        <w:tc>
          <w:tcPr>
            <w:tcW w:type="dxa" w:w="22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高回报、高波动</w:t>
            </w:r>
          </w:p>
        </w:tc>
        <w:tc>
          <w:tcPr>
            <w:tcW w:type="dxa" w:w="24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头部 3–5 家，只在估值回落时进入</w:t>
            </w:r>
          </w:p>
        </w:tc>
      </w:tr>
      <w:tr>
        <w:trPr>
          <w:cantSplit w:val="false"/>
          <w:tblHeader w:val="false"/>
        </w:trPr>
        <w:tc>
          <w:tcPr>
            <w:tcW w:type="dxa" w:w="33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前沿期权（模型、触觉、世界模型工具、家庭）</w:t>
            </w:r>
          </w:p>
        </w:tc>
        <w:tc>
          <w:tcPr>
            <w:tcW w:type="dxa" w:w="15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10%–15%</w:t>
            </w:r>
          </w:p>
        </w:tc>
        <w:tc>
          <w:tcPr>
            <w:tcW w:type="dxa" w:w="22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极高赔率、低胜率</w:t>
            </w:r>
          </w:p>
        </w:tc>
        <w:tc>
          <w:tcPr>
            <w:tcW w:type="dxa" w:w="24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小额、早期、低估值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组合层面的纪律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单一项目不超过基金规模的 8%；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同一技术路线不超过 25%；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对美国收入依赖高的项目合计不超过 15%；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每半年用第十二篇的前置指标重估一次各类资产的配置。</w:t>
      </w:r>
    </w:p>
    <w:p>
      <w:pPr>
        <w:pStyle w:val="Heading2"/>
      </w:pPr>
      <w:bookmarkStart w:name="bm119" w:id="1119"/>
      <w:r>
        <w:t xml:space="preserve">13.6 反证检查</w:t>
      </w:r>
      <w:bookmarkEnd w:id="1119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如果乐观情景出现，"头部平台和整机"这一档的回报会远超其他资产，20%–25% 的配置可能偏低。我们的应对是：为头部重置轮预留弹性额度，并在触发事件出现时（第十二篇 12.5 节）把这一档上调到 35%。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如果悲观情景出现，精密部件也会受到人形需求不及预期的影响。但它的存量工业业务提供了下行保护，这正是"存量托底"成为筛选条件的原因。</w:t>
      </w:r>
    </w:p>
    <w:p>
      <w:pPr>
        <w:pStyle w:val="Heading1"/>
        <w:pageBreakBefore/>
      </w:pPr>
      <w:bookmarkStart w:name="bm120" w:id="1120"/>
      <w:r>
        <w:t xml:space="preserve">第十四篇　企业估值、资金效率与投资回报模型</w:t>
      </w:r>
      <w:bookmarkEnd w:id="1120"/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本篇所有模型参数都是</w:t>
      </w:r>
      <w:r>
        <w:rPr>
          <w:b/>
          <w:bCs/>
          <w:color w:val="3A3F4A"/>
          <w:sz w:val="18"/>
          <w:szCs w:val="18"/>
        </w:rPr>
        <w:t xml:space="preserve">示例性研究假设〔D〕</w:t>
      </w:r>
      <w:r>
        <w:rPr>
          <w:color w:val="3A3F4A"/>
          <w:sz w:val="18"/>
          <w:szCs w:val="18"/>
        </w:rPr>
        <w:t xml:space="preserve">，不代表任何真实企业的财务信息。公开数据只用于设定可比区间和校验量级。</w:t>
      </w:r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模型代码见 </w:t>
      </w:r>
      <w:r>
        <w:rPr>
          <w:rFonts w:ascii="Consolas" w:cs="Consolas" w:eastAsia="SimSun" w:hAnsi="Consolas"/>
          <w:color w:val="8A3B12"/>
          <w:sz w:val="18"/>
          <w:szCs w:val="18"/>
        </w:rPr>
        <w:t xml:space="preserve">scripts/models.py</w:t>
      </w:r>
      <w:r>
        <w:rPr>
          <w:color w:val="3A3F4A"/>
          <w:sz w:val="18"/>
          <w:szCs w:val="18"/>
        </w:rPr>
        <w:t xml:space="preserve">，数据见数据底表 11–14。</w:t>
      </w:r>
    </w:p>
    <w:p>
      <w:pPr>
        <w:pStyle w:val="Heading2"/>
      </w:pPr>
      <w:bookmarkStart w:name="bm121" w:id="1121"/>
      <w:r>
        <w:t xml:space="preserve">14.1 估值方法的适用性</w:t>
      </w:r>
      <w:bookmarkEnd w:id="11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065"/>
        <w:gridCol w:w="1376"/>
        <w:gridCol w:w="3788"/>
      </w:tblGrid>
      <w:tr>
        <w:trPr>
          <w:cantSplit w:val="false"/>
          <w:tblHeader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20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适用对象</w:t>
            </w:r>
          </w:p>
        </w:tc>
        <w:tc>
          <w:tcPr>
            <w:tcW w:type="dxa" w:w="13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不适用对象</w:t>
            </w:r>
          </w:p>
        </w:tc>
        <w:tc>
          <w:tcPr>
            <w:tcW w:type="dxa" w:w="37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在具身智能中的问题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可比交易（一级市场）</w:t>
            </w:r>
          </w:p>
        </w:tc>
        <w:tc>
          <w:tcPr>
            <w:tcW w:type="dxa" w:w="20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所有阶段的参照</w:t>
            </w:r>
          </w:p>
        </w:tc>
        <w:tc>
          <w:tcPr>
            <w:tcW w:type="dxa" w:w="13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作为唯一依据</w:t>
            </w:r>
          </w:p>
        </w:tc>
        <w:tc>
          <w:tcPr>
            <w:tcW w:type="dxa" w:w="37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2025–2026 年的可比交易本身处于高位，会循环推高估值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可比公司（二级市场）</w:t>
            </w:r>
          </w:p>
        </w:tc>
        <w:tc>
          <w:tcPr>
            <w:tcW w:type="dxa" w:w="20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成长期、Pre-IPO</w:t>
            </w:r>
          </w:p>
        </w:tc>
        <w:tc>
          <w:tcPr>
            <w:tcW w:type="dxa" w:w="13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早期</w:t>
            </w:r>
          </w:p>
        </w:tc>
        <w:tc>
          <w:tcPr>
            <w:tcW w:type="dxa" w:w="37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可比样本少（宇树、优必选、云深处待上市）；宇树的估值包含稀缺性溢价，需要折价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收入倍数（EV/S）</w:t>
            </w:r>
          </w:p>
        </w:tc>
        <w:tc>
          <w:tcPr>
            <w:tcW w:type="dxa" w:w="20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有收入的整机、场景公司</w:t>
            </w:r>
          </w:p>
        </w:tc>
        <w:tc>
          <w:tcPr>
            <w:tcW w:type="dxa" w:w="13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无收入的模型公司</w:t>
            </w:r>
          </w:p>
        </w:tc>
        <w:tc>
          <w:tcPr>
            <w:tcW w:type="dxa" w:w="37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必须区分收入质量：政府一次性收入与经常性收入应给不同倍数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毛利模型（EV/毛利）</w:t>
            </w:r>
          </w:p>
        </w:tc>
        <w:tc>
          <w:tcPr>
            <w:tcW w:type="dxa" w:w="20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毛利率差异大的公司</w:t>
            </w:r>
          </w:p>
        </w:tc>
        <w:tc>
          <w:tcPr>
            <w:tcW w:type="dxa" w:w="13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7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比 EV/S 更能区分硬件与软件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DCF</w:t>
            </w:r>
          </w:p>
        </w:tc>
        <w:tc>
          <w:tcPr>
            <w:tcW w:type="dxa" w:w="20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成熟零部件企业、盈利企业</w:t>
            </w:r>
          </w:p>
        </w:tc>
        <w:tc>
          <w:tcPr>
            <w:tcW w:type="dxa" w:w="13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早期</w:t>
            </w:r>
          </w:p>
        </w:tc>
        <w:tc>
          <w:tcPr>
            <w:tcW w:type="dxa" w:w="37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对终值和折现率极度敏感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情景估值（风险调整的 VC 法）</w:t>
            </w:r>
          </w:p>
        </w:tc>
        <w:tc>
          <w:tcPr>
            <w:tcW w:type="dxa" w:w="20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sz w:val="16"/>
                <w:szCs w:val="16"/>
              </w:rPr>
              <w:t xml:space="preserve">早期与成长期项目</w:t>
            </w:r>
          </w:p>
        </w:tc>
        <w:tc>
          <w:tcPr>
            <w:tcW w:type="dxa" w:w="13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7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需要诚实地估计失败概率</w:t>
            </w:r>
          </w:p>
        </w:tc>
      </w:tr>
      <w:tr>
        <w:trPr>
          <w:cantSplit w:val="false"/>
          <w:tblHeader w:val="false"/>
        </w:trPr>
        <w:tc>
          <w:tcPr>
            <w:tcW w:type="dxa" w:w="24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期权估值</w:t>
            </w:r>
          </w:p>
        </w:tc>
        <w:tc>
          <w:tcPr>
            <w:tcW w:type="dxa" w:w="206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前沿技术项目</w:t>
            </w:r>
          </w:p>
        </w:tc>
        <w:tc>
          <w:tcPr>
            <w:tcW w:type="dxa" w:w="13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7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参数难以估计，用于思维框架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推荐组合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早期：情景法为主；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成长期：情景法加 EV/毛利（按收入质量分层）；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零部件：存量业务 PE 加人形期权；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Pre-IPO：二级可比，扣除 30% 以上的稀缺性与流动性折价。</w:t>
      </w:r>
    </w:p>
    <w:p>
      <w:pPr>
        <w:pStyle w:val="Heading2"/>
      </w:pPr>
      <w:bookmarkStart w:name="bm122" w:id="1122"/>
      <w:r>
        <w:t xml:space="preserve">14.2 收入质量分层：同样一元收入，价值不同</w:t>
      </w:r>
      <w:bookmarkEnd w:id="11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31"/>
        <w:gridCol w:w="1568"/>
        <w:gridCol w:w="3139"/>
      </w:tblGrid>
      <w:tr>
        <w:trPr>
          <w:cantSplit w:val="false"/>
          <w:tblHeader/>
        </w:trPr>
        <w:tc>
          <w:tcPr>
            <w:tcW w:type="dxa" w:w="4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收入类型</w:t>
            </w:r>
          </w:p>
        </w:tc>
        <w:tc>
          <w:tcPr>
            <w:tcW w:type="dxa" w:w="15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可持续性</w:t>
            </w:r>
          </w:p>
        </w:tc>
        <w:tc>
          <w:tcPr>
            <w:tcW w:type="dxa" w:w="31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建议倍数调整（相对基准倍数）</w:t>
            </w:r>
          </w:p>
        </w:tc>
      </w:tr>
      <w:tr>
        <w:trPr>
          <w:cantSplit w:val="false"/>
          <w:tblHeader w:val="false"/>
        </w:trPr>
        <w:tc>
          <w:tcPr>
            <w:tcW w:type="dxa" w:w="4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生产性客户的经常性收入（复购、订阅、RaaS 续约）</w:t>
            </w:r>
          </w:p>
        </w:tc>
        <w:tc>
          <w:tcPr>
            <w:tcW w:type="dxa" w:w="15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</w:t>
            </w:r>
          </w:p>
        </w:tc>
        <w:tc>
          <w:tcPr>
            <w:tcW w:type="dxa" w:w="31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1.0x 到 1.3x</w:t>
            </w:r>
          </w:p>
        </w:tc>
      </w:tr>
      <w:tr>
        <w:trPr>
          <w:cantSplit w:val="false"/>
          <w:tblHeader w:val="false"/>
        </w:trPr>
        <w:tc>
          <w:tcPr>
            <w:tcW w:type="dxa" w:w="4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生产性客户的首单与试点收入</w:t>
            </w:r>
          </w:p>
        </w:tc>
        <w:tc>
          <w:tcPr>
            <w:tcW w:type="dxa" w:w="15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</w:t>
            </w:r>
          </w:p>
        </w:tc>
        <w:tc>
          <w:tcPr>
            <w:tcW w:type="dxa" w:w="31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0.6x</w:t>
            </w:r>
          </w:p>
        </w:tc>
      </w:tr>
      <w:tr>
        <w:trPr>
          <w:cantSplit w:val="false"/>
          <w:tblHeader w:val="false"/>
        </w:trPr>
        <w:tc>
          <w:tcPr>
            <w:tcW w:type="dxa" w:w="4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科研教育硬件收入</w:t>
            </w:r>
          </w:p>
        </w:tc>
        <w:tc>
          <w:tcPr>
            <w:tcW w:type="dxa" w:w="15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中（有天花板）</w:t>
            </w:r>
          </w:p>
        </w:tc>
        <w:tc>
          <w:tcPr>
            <w:tcW w:type="dxa" w:w="31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0.7x</w:t>
            </w:r>
          </w:p>
        </w:tc>
      </w:tr>
      <w:tr>
        <w:trPr>
          <w:cantSplit w:val="false"/>
          <w:tblHeader w:val="false"/>
        </w:trPr>
        <w:tc>
          <w:tcPr>
            <w:tcW w:type="dxa" w:w="4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政府数采中心与训练场项目</w:t>
            </w:r>
          </w:p>
        </w:tc>
        <w:tc>
          <w:tcPr>
            <w:tcW w:type="dxa" w:w="15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低（一次性）</w:t>
            </w:r>
          </w:p>
        </w:tc>
        <w:tc>
          <w:tcPr>
            <w:tcW w:type="dxa" w:w="31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0.3x</w:t>
            </w:r>
          </w:p>
        </w:tc>
      </w:tr>
      <w:tr>
        <w:trPr>
          <w:cantSplit w:val="false"/>
          <w:tblHeader w:val="false"/>
        </w:trPr>
        <w:tc>
          <w:tcPr>
            <w:tcW w:type="dxa" w:w="4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关联方或股东客户收入</w:t>
            </w:r>
          </w:p>
        </w:tc>
        <w:tc>
          <w:tcPr>
            <w:tcW w:type="dxa" w:w="15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低</w:t>
            </w:r>
          </w:p>
        </w:tc>
        <w:tc>
          <w:tcPr>
            <w:tcW w:type="dxa" w:w="31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0.2x（或剔除）</w:t>
            </w:r>
          </w:p>
        </w:tc>
      </w:tr>
      <w:tr>
        <w:trPr>
          <w:cantSplit w:val="false"/>
          <w:tblHeader w:val="false"/>
        </w:trPr>
        <w:tc>
          <w:tcPr>
            <w:tcW w:type="dxa" w:w="4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文娱租赁</w:t>
            </w:r>
          </w:p>
        </w:tc>
        <w:tc>
          <w:tcPr>
            <w:tcW w:type="dxa" w:w="15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很低</w:t>
            </w:r>
          </w:p>
        </w:tc>
        <w:tc>
          <w:tcPr>
            <w:tcW w:type="dxa" w:w="31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0.1x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示例</w:t>
      </w:r>
      <w:r>
        <w:t xml:space="preserve">〔D〕：一家公司收入 10 亿元，其中政府数采 6 亿元、教育 2 亿元、工业复购 2 亿元。若基准 EV/S 为 15 倍，调整后的估值约为 (6×0.3 + 2×0.7 + 2×1.15) × 15 ≈ </w:t>
      </w:r>
      <w:r>
        <w:rPr>
          <w:b/>
          <w:bCs/>
        </w:rPr>
        <w:t xml:space="preserve">83 亿元</w:t>
      </w:r>
      <w:r>
        <w:t xml:space="preserve">，而不是"10 亿元 × 15 = 150 亿元"。</w:t>
      </w:r>
    </w:p>
    <w:p>
      <w:pPr>
        <w:pStyle w:val="Heading2"/>
      </w:pPr>
      <w:bookmarkStart w:name="bm123" w:id="1123"/>
      <w:r>
        <w:t xml:space="preserve">14.3 三类典型项目的假设投资模型</w:t>
      </w:r>
      <w:bookmarkEnd w:id="1123"/>
    </w:p>
    <w:p>
      <w:pPr>
        <w:pStyle w:val="Heading3"/>
      </w:pPr>
      <w:r>
        <w:t xml:space="preserve">关键假设（示例）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1"/>
        <w:gridCol w:w="1994"/>
        <w:gridCol w:w="2437"/>
        <w:gridCol w:w="1329"/>
        <w:gridCol w:w="1497"/>
      </w:tblGrid>
      <w:tr>
        <w:trPr>
          <w:cantSplit w:val="false"/>
          <w:tblHeader/>
        </w:trPr>
        <w:tc>
          <w:tcPr>
            <w:tcW w:type="dxa" w:w="23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项目</w:t>
            </w:r>
          </w:p>
        </w:tc>
        <w:tc>
          <w:tcPr>
            <w:tcW w:type="dxa" w:w="19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研发与资本消耗</w:t>
            </w:r>
          </w:p>
        </w:tc>
        <w:tc>
          <w:tcPr>
            <w:tcW w:type="dxa" w:w="24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收入路径</w:t>
            </w:r>
          </w:p>
        </w:tc>
        <w:tc>
          <w:tcPr>
            <w:tcW w:type="dxa" w:w="13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毛利率</w:t>
            </w:r>
          </w:p>
        </w:tc>
        <w:tc>
          <w:tcPr>
            <w:tcW w:type="dxa" w:w="14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融资需求与稀释</w:t>
            </w:r>
          </w:p>
        </w:tc>
      </w:tr>
      <w:tr>
        <w:trPr>
          <w:cantSplit w:val="false"/>
          <w:tblHeader w:val="false"/>
        </w:trPr>
        <w:tc>
          <w:tcPr>
            <w:tcW w:type="dxa" w:w="23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A. 机器人基础模型初创（A 轮）</w:t>
            </w:r>
          </w:p>
        </w:tc>
        <w:tc>
          <w:tcPr>
            <w:tcW w:type="dxa" w:w="19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年消耗 3–5 亿元（算力加人才）</w:t>
            </w:r>
          </w:p>
        </w:tc>
        <w:tc>
          <w:tcPr>
            <w:tcW w:type="dxa" w:w="24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2028 年前收入很少；平台化情景下 2031 年约 30 亿元</w:t>
            </w:r>
          </w:p>
        </w:tc>
        <w:tc>
          <w:tcPr>
            <w:tcW w:type="dxa" w:w="13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软件 60%–70%（若平台化）</w:t>
            </w:r>
          </w:p>
        </w:tc>
        <w:tc>
          <w:tcPr>
            <w:tcW w:type="dxa" w:w="14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后续 3 轮，每轮稀释 12%–15%</w:t>
            </w:r>
          </w:p>
        </w:tc>
      </w:tr>
      <w:tr>
        <w:trPr>
          <w:cantSplit w:val="false"/>
          <w:tblHeader w:val="false"/>
        </w:trPr>
        <w:tc>
          <w:tcPr>
            <w:tcW w:type="dxa" w:w="23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B. 人形整机初创（B 轮）</w:t>
            </w:r>
          </w:p>
        </w:tc>
        <w:tc>
          <w:tcPr>
            <w:tcW w:type="dxa" w:w="19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年消耗 8–15 亿元（研发、产线、交付）</w:t>
            </w:r>
          </w:p>
        </w:tc>
        <w:tc>
          <w:tcPr>
            <w:tcW w:type="dxa" w:w="24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头部情景下 2030 年约 40 亿元</w:t>
            </w:r>
          </w:p>
        </w:tc>
        <w:tc>
          <w:tcPr>
            <w:tcW w:type="dxa" w:w="13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25%–35%</w:t>
            </w:r>
          </w:p>
        </w:tc>
        <w:tc>
          <w:tcPr>
            <w:tcW w:type="dxa" w:w="14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后续 4 轮，每轮稀释 10%–15%</w:t>
            </w:r>
          </w:p>
        </w:tc>
      </w:tr>
      <w:tr>
        <w:trPr>
          <w:cantSplit w:val="false"/>
          <w:tblHeader w:val="false"/>
        </w:trPr>
        <w:tc>
          <w:tcPr>
            <w:tcW w:type="dxa" w:w="23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C. 已有真实客户的工业场景机器人公司（B 轮）</w:t>
            </w:r>
          </w:p>
        </w:tc>
        <w:tc>
          <w:tcPr>
            <w:tcW w:type="dxa" w:w="19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年消耗 1–2 亿元</w:t>
            </w:r>
          </w:p>
        </w:tc>
        <w:tc>
          <w:tcPr>
            <w:tcW w:type="dxa" w:w="24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2026 年约 1.5 亿元，年增长约 60%，2030 年约 10 亿元</w:t>
            </w:r>
          </w:p>
        </w:tc>
        <w:tc>
          <w:tcPr>
            <w:tcW w:type="dxa" w:w="13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约 40%</w:t>
            </w:r>
          </w:p>
        </w:tc>
        <w:tc>
          <w:tcPr>
            <w:tcW w:type="dxa" w:w="14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后续 2 轮，每轮稀释 10%–12%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情景回报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A. 机器人基础模型初创（A 轮）</w:t>
      </w:r>
      <w:r>
        <w:t xml:space="preserve">：投后估值 40 亿元，投资 2 亿元，初始持股 5.00%，经后续稀释退出时持股 3.18%。期望 MOIC </w:t>
      </w:r>
      <w:r>
        <w:rPr>
          <w:b/>
          <w:bCs/>
        </w:rPr>
        <w:t xml:space="preserve">1.33x</w:t>
      </w:r>
      <w:r>
        <w:t xml:space="preserve">，6 年对应 IRR 约 </w:t>
      </w:r>
      <w:r>
        <w:rPr>
          <w:b/>
          <w:bCs/>
        </w:rPr>
        <w:t xml:space="preserve">5%</w:t>
      </w:r>
      <w:r>
        <w:t xml:space="preserve">（并购情景按 1x 优先清算权近似、IPO 情景按持股比例）。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48"/>
        <w:gridCol w:w="688"/>
        <w:gridCol w:w="1835"/>
        <w:gridCol w:w="1376"/>
        <w:gridCol w:w="691"/>
      </w:tblGrid>
      <w:tr>
        <w:trPr>
          <w:cantSplit w:val="false"/>
          <w:tblHeader/>
        </w:trPr>
        <w:tc>
          <w:tcPr>
            <w:tcW w:type="dxa" w:w="50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退出情景</w:t>
            </w:r>
          </w:p>
        </w:tc>
        <w:tc>
          <w:tcPr>
            <w:tcW w:type="dxa" w:w="6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概率</w:t>
            </w:r>
          </w:p>
        </w:tc>
        <w:tc>
          <w:tcPr>
            <w:tcW w:type="dxa" w:w="18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退出估值（亿元）</w:t>
            </w:r>
          </w:p>
        </w:tc>
        <w:tc>
          <w:tcPr>
            <w:tcW w:type="dxa" w:w="13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回收（亿元）</w:t>
            </w:r>
          </w:p>
        </w:tc>
        <w:tc>
          <w:tcPr>
            <w:tcW w:type="dxa" w:w="6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MOIC</w:t>
            </w:r>
          </w:p>
        </w:tc>
      </w:tr>
      <w:tr>
        <w:trPr>
          <w:cantSplit w:val="false"/>
          <w:tblHeader w:val="false"/>
        </w:trPr>
        <w:tc>
          <w:tcPr>
            <w:tcW w:type="dxa" w:w="50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成为平台型公司并上市：2031 年收入 30 亿元，EV/S 15x</w:t>
            </w:r>
          </w:p>
        </w:tc>
        <w:tc>
          <w:tcPr>
            <w:tcW w:type="dxa" w:w="6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10%</w:t>
            </w:r>
          </w:p>
        </w:tc>
        <w:tc>
          <w:tcPr>
            <w:tcW w:type="dxa" w:w="18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450</w:t>
            </w:r>
          </w:p>
        </w:tc>
        <w:tc>
          <w:tcPr>
            <w:tcW w:type="dxa" w:w="13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14.31</w:t>
            </w:r>
          </w:p>
        </w:tc>
        <w:tc>
          <w:tcPr>
            <w:tcW w:type="dxa" w:w="6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7.15x</w:t>
            </w:r>
          </w:p>
        </w:tc>
      </w:tr>
      <w:tr>
        <w:trPr>
          <w:cantSplit w:val="false"/>
          <w:tblHeader w:val="false"/>
        </w:trPr>
        <w:tc>
          <w:tcPr>
            <w:tcW w:type="dxa" w:w="50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被大厂/整机企业战略收购</w:t>
            </w:r>
          </w:p>
        </w:tc>
        <w:tc>
          <w:tcPr>
            <w:tcW w:type="dxa" w:w="6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25%</w:t>
            </w:r>
          </w:p>
        </w:tc>
        <w:tc>
          <w:tcPr>
            <w:tcW w:type="dxa" w:w="18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80.0</w:t>
            </w:r>
          </w:p>
        </w:tc>
        <w:tc>
          <w:tcPr>
            <w:tcW w:type="dxa" w:w="13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2.54</w:t>
            </w:r>
          </w:p>
        </w:tc>
        <w:tc>
          <w:tcPr>
            <w:tcW w:type="dxa" w:w="6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1.27x</w:t>
            </w:r>
          </w:p>
        </w:tc>
      </w:tr>
      <w:tr>
        <w:trPr>
          <w:cantSplit w:val="false"/>
          <w:tblHeader w:val="false"/>
        </w:trPr>
        <w:tc>
          <w:tcPr>
            <w:tcW w:type="dxa" w:w="50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技术团队收购/平价退出</w:t>
            </w:r>
          </w:p>
        </w:tc>
        <w:tc>
          <w:tcPr>
            <w:tcW w:type="dxa" w:w="6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30%</w:t>
            </w:r>
          </w:p>
        </w:tc>
        <w:tc>
          <w:tcPr>
            <w:tcW w:type="dxa" w:w="18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30.0</w:t>
            </w:r>
          </w:p>
        </w:tc>
        <w:tc>
          <w:tcPr>
            <w:tcW w:type="dxa" w:w="13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2.00</w:t>
            </w:r>
          </w:p>
        </w:tc>
        <w:tc>
          <w:tcPr>
            <w:tcW w:type="dxa" w:w="6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1.00x</w:t>
            </w:r>
          </w:p>
        </w:tc>
      </w:tr>
      <w:tr>
        <w:trPr>
          <w:cantSplit w:val="false"/>
          <w:tblHeader w:val="false"/>
        </w:trPr>
        <w:tc>
          <w:tcPr>
            <w:tcW w:type="dxa" w:w="50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失败清算</w:t>
            </w:r>
          </w:p>
        </w:tc>
        <w:tc>
          <w:tcPr>
            <w:tcW w:type="dxa" w:w="68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35%</w:t>
            </w:r>
          </w:p>
        </w:tc>
        <w:tc>
          <w:tcPr>
            <w:tcW w:type="dxa" w:w="18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0.0</w:t>
            </w:r>
          </w:p>
        </w:tc>
        <w:tc>
          <w:tcPr>
            <w:tcW w:type="dxa" w:w="13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0.00</w:t>
            </w:r>
          </w:p>
        </w:tc>
        <w:tc>
          <w:tcPr>
            <w:tcW w:type="dxa" w:w="69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0.00x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B. 人形整机初创（B 轮）</w:t>
      </w:r>
      <w:r>
        <w:t xml:space="preserve">：投后估值 80 亿元，投资 3 亿元，初始持股 3.75%，经后续稀释退出时持股 2.15%。期望 MOIC </w:t>
      </w:r>
      <w:r>
        <w:rPr>
          <w:b/>
          <w:bCs/>
        </w:rPr>
        <w:t xml:space="preserve">0.73x</w:t>
      </w:r>
      <w:r>
        <w:t xml:space="preserve">，5 年对应 IRR 约 </w:t>
      </w:r>
      <w:r>
        <w:rPr>
          <w:b/>
          <w:bCs/>
        </w:rPr>
        <w:t xml:space="preserve">-6%</w:t>
      </w:r>
      <w:r>
        <w:t xml:space="preserve">（并购情景按 1x 优先清算权近似、IPO 情景按持股比例）。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93"/>
        <w:gridCol w:w="696"/>
        <w:gridCol w:w="1857"/>
        <w:gridCol w:w="1393"/>
        <w:gridCol w:w="699"/>
      </w:tblGrid>
      <w:tr>
        <w:trPr>
          <w:cantSplit w:val="false"/>
          <w:tblHeader/>
        </w:trPr>
        <w:tc>
          <w:tcPr>
            <w:tcW w:type="dxa" w:w="49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退出情景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概率</w:t>
            </w:r>
          </w:p>
        </w:tc>
        <w:tc>
          <w:tcPr>
            <w:tcW w:type="dxa" w:w="18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退出估值（亿元）</w:t>
            </w:r>
          </w:p>
        </w:tc>
        <w:tc>
          <w:tcPr>
            <w:tcW w:type="dxa" w:w="1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回收（亿元）</w:t>
            </w:r>
          </w:p>
        </w:tc>
        <w:tc>
          <w:tcPr>
            <w:tcW w:type="dxa" w:w="6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MOIC</w:t>
            </w:r>
          </w:p>
        </w:tc>
      </w:tr>
      <w:tr>
        <w:trPr>
          <w:cantSplit w:val="false"/>
          <w:tblHeader w:val="false"/>
        </w:trPr>
        <w:tc>
          <w:tcPr>
            <w:tcW w:type="dxa" w:w="49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头部上市：收入 40 亿元、毛利率 30%，EV/S 6x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20%</w:t>
            </w:r>
          </w:p>
        </w:tc>
        <w:tc>
          <w:tcPr>
            <w:tcW w:type="dxa" w:w="18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5.15</w:t>
            </w:r>
          </w:p>
        </w:tc>
        <w:tc>
          <w:tcPr>
            <w:tcW w:type="dxa" w:w="6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1.72x</w:t>
            </w:r>
          </w:p>
        </w:tc>
      </w:tr>
      <w:tr>
        <w:trPr>
          <w:cantSplit w:val="false"/>
          <w:tblHeader w:val="false"/>
        </w:trPr>
        <w:tc>
          <w:tcPr>
            <w:tcW w:type="dxa" w:w="49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中等上市：收入 15 亿元，EV/S 5x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25%</w:t>
            </w:r>
          </w:p>
        </w:tc>
        <w:tc>
          <w:tcPr>
            <w:tcW w:type="dxa" w:w="18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75.0</w:t>
            </w:r>
          </w:p>
        </w:tc>
        <w:tc>
          <w:tcPr>
            <w:tcW w:type="dxa" w:w="1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1.61</w:t>
            </w:r>
          </w:p>
        </w:tc>
        <w:tc>
          <w:tcPr>
            <w:tcW w:type="dxa" w:w="6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0.54x</w:t>
            </w:r>
          </w:p>
        </w:tc>
      </w:tr>
      <w:tr>
        <w:trPr>
          <w:cantSplit w:val="false"/>
          <w:tblHeader w:val="false"/>
        </w:trPr>
        <w:tc>
          <w:tcPr>
            <w:tcW w:type="dxa" w:w="49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行业整合中被并购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25%</w:t>
            </w:r>
          </w:p>
        </w:tc>
        <w:tc>
          <w:tcPr>
            <w:tcW w:type="dxa" w:w="18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40.0</w:t>
            </w:r>
          </w:p>
        </w:tc>
        <w:tc>
          <w:tcPr>
            <w:tcW w:type="dxa" w:w="1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3.00</w:t>
            </w:r>
          </w:p>
        </w:tc>
        <w:tc>
          <w:tcPr>
            <w:tcW w:type="dxa" w:w="6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1.00x</w:t>
            </w:r>
          </w:p>
        </w:tc>
      </w:tr>
      <w:tr>
        <w:trPr>
          <w:cantSplit w:val="false"/>
          <w:tblHeader w:val="false"/>
        </w:trPr>
        <w:tc>
          <w:tcPr>
            <w:tcW w:type="dxa" w:w="49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失败/僵尸化</w:t>
            </w:r>
          </w:p>
        </w:tc>
        <w:tc>
          <w:tcPr>
            <w:tcW w:type="dxa" w:w="6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30%</w:t>
            </w:r>
          </w:p>
        </w:tc>
        <w:tc>
          <w:tcPr>
            <w:tcW w:type="dxa" w:w="185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0.0</w:t>
            </w:r>
          </w:p>
        </w:tc>
        <w:tc>
          <w:tcPr>
            <w:tcW w:type="dxa" w:w="1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0.00</w:t>
            </w:r>
          </w:p>
        </w:tc>
        <w:tc>
          <w:tcPr>
            <w:tcW w:type="dxa" w:w="6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0.00x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C. 已有真实客户的工业场景机器人公司（B 轮）</w:t>
      </w:r>
      <w:r>
        <w:t xml:space="preserve">：投后估值 15 亿元，投资 1 亿元，初始持股 6.67%，经后续稀释退出时持股 5.28%。期望 MOIC </w:t>
      </w:r>
      <w:r>
        <w:rPr>
          <w:b/>
          <w:bCs/>
        </w:rPr>
        <w:t xml:space="preserve">1.44x</w:t>
      </w:r>
      <w:r>
        <w:t xml:space="preserve">，5 年对应 IRR 约 </w:t>
      </w:r>
      <w:r>
        <w:rPr>
          <w:b/>
          <w:bCs/>
        </w:rPr>
        <w:t xml:space="preserve">8%</w:t>
      </w:r>
      <w:r>
        <w:t xml:space="preserve">（并购情景按 1x 优先清算权近似、IPO 情景按持股比例）。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8"/>
        <w:gridCol w:w="732"/>
        <w:gridCol w:w="1952"/>
        <w:gridCol w:w="1464"/>
        <w:gridCol w:w="732"/>
      </w:tblGrid>
      <w:tr>
        <w:trPr>
          <w:cantSplit w:val="false"/>
          <w:tblHeader/>
        </w:trPr>
        <w:tc>
          <w:tcPr>
            <w:tcW w:type="dxa" w:w="47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退出情景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概率</w:t>
            </w:r>
          </w:p>
        </w:tc>
        <w:tc>
          <w:tcPr>
            <w:tcW w:type="dxa" w:w="19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退出估值（亿元）</w:t>
            </w:r>
          </w:p>
        </w:tc>
        <w:tc>
          <w:tcPr>
            <w:tcW w:type="dxa" w:w="14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回收（亿元）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MOIC</w:t>
            </w:r>
          </w:p>
        </w:tc>
      </w:tr>
      <w:tr>
        <w:trPr>
          <w:cantSplit w:val="false"/>
          <w:tblHeader w:val="false"/>
        </w:trPr>
        <w:tc>
          <w:tcPr>
            <w:tcW w:type="dxa" w:w="47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上市：收入 10 亿元、毛利率 40%，EV/S 5x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35%</w:t>
            </w:r>
          </w:p>
        </w:tc>
        <w:tc>
          <w:tcPr>
            <w:tcW w:type="dxa" w:w="19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50.0</w:t>
            </w:r>
          </w:p>
        </w:tc>
        <w:tc>
          <w:tcPr>
            <w:tcW w:type="dxa" w:w="14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2.64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2.64x</w:t>
            </w:r>
          </w:p>
        </w:tc>
      </w:tr>
      <w:tr>
        <w:trPr>
          <w:cantSplit w:val="false"/>
          <w:tblHeader w:val="false"/>
        </w:trPr>
        <w:tc>
          <w:tcPr>
            <w:tcW w:type="dxa" w:w="47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增长放缓上市：收入 5 亿元，EV/S 4x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30%</w:t>
            </w:r>
          </w:p>
        </w:tc>
        <w:tc>
          <w:tcPr>
            <w:tcW w:type="dxa" w:w="19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20.0</w:t>
            </w:r>
          </w:p>
        </w:tc>
        <w:tc>
          <w:tcPr>
            <w:tcW w:type="dxa" w:w="14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1.06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1.06x</w:t>
            </w:r>
          </w:p>
        </w:tc>
      </w:tr>
      <w:tr>
        <w:trPr>
          <w:cantSplit w:val="false"/>
          <w:tblHeader w:val="false"/>
        </w:trPr>
        <w:tc>
          <w:tcPr>
            <w:tcW w:type="dxa" w:w="47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产业并购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20%</w:t>
            </w:r>
          </w:p>
        </w:tc>
        <w:tc>
          <w:tcPr>
            <w:tcW w:type="dxa" w:w="19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12.0</w:t>
            </w:r>
          </w:p>
        </w:tc>
        <w:tc>
          <w:tcPr>
            <w:tcW w:type="dxa" w:w="14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1.00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1.00x</w:t>
            </w:r>
          </w:p>
        </w:tc>
      </w:tr>
      <w:tr>
        <w:trPr>
          <w:cantSplit w:val="false"/>
          <w:tblHeader w:val="false"/>
        </w:trPr>
        <w:tc>
          <w:tcPr>
            <w:tcW w:type="dxa" w:w="47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失败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15%</w:t>
            </w:r>
          </w:p>
        </w:tc>
        <w:tc>
          <w:tcPr>
            <w:tcW w:type="dxa" w:w="19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0.0</w:t>
            </w:r>
          </w:p>
        </w:tc>
        <w:tc>
          <w:tcPr>
            <w:tcW w:type="dxa" w:w="146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0.00</w:t>
            </w:r>
          </w:p>
        </w:tc>
        <w:tc>
          <w:tcPr>
            <w:tcW w:type="dxa" w:w="7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0.00x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解读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A 类（纯模型）</w:t>
      </w:r>
      <w:r>
        <w:t xml:space="preserve">：40 亿元入场，期望 MOIC 约 1.33x，IRR 约 5%。</w:t>
      </w:r>
      <w:r>
        <w:rPr>
          <w:b/>
          <w:bCs/>
        </w:rPr>
        <w:t xml:space="preserve">回报几乎全部来自 10% 的平台化概率</w:t>
      </w:r>
      <w:r>
        <w:t xml:space="preserve">。如果平台化概率只有 5%，期望 MOIC 降到约 1.0x。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B 类（整机）</w:t>
      </w:r>
      <w:r>
        <w:t xml:space="preserve">：80 亿元入场，期望 MOIC 约 0.73x。即使在"头部上市、收入 40 亿元"的情景里，MOIC 也只有约 1.7x。原因有两个：大量后续稀释，以及上市估值对收入的倍数有限。</w:t>
      </w:r>
      <w:r>
        <w:rPr>
          <w:b/>
          <w:bCs/>
        </w:rPr>
        <w:t xml:space="preserve">以当前后期价格投资整机，期望回报为负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C 类（场景公司）</w:t>
      </w:r>
      <w:r>
        <w:t xml:space="preserve">：15 亿元入场，期望 MOIC 约 1.44x，IRR 约 8%。期望值不高，但</w:t>
      </w:r>
      <w:r>
        <w:rPr>
          <w:b/>
          <w:bCs/>
        </w:rPr>
        <w:t xml:space="preserve">分布集中、下行有限</w:t>
      </w:r>
      <w:r>
        <w:t xml:space="preserve">（失败概率 15%）。如果入场估值降到 10 亿元，或增长更快，回报会显著提升。</w:t>
      </w:r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情景模型中，</w:t>
      </w:r>
      <w:r>
        <w:rPr>
          <w:b/>
          <w:bCs/>
          <w:color w:val="3A3F4A"/>
          <w:sz w:val="18"/>
          <w:szCs w:val="18"/>
        </w:rPr>
        <w:t xml:space="preserve">并购</w:t>
      </w:r>
      <w:r>
        <w:rPr>
          <w:color w:val="3A3F4A"/>
          <w:sz w:val="18"/>
          <w:szCs w:val="18"/>
        </w:rPr>
        <w:t xml:space="preserve">按 1x 优先清算权近似计算（假设与后续轮次同级）；</w:t>
      </w:r>
      <w:r>
        <w:rPr>
          <w:b/>
          <w:bCs/>
          <w:color w:val="3A3F4A"/>
          <w:sz w:val="18"/>
          <w:szCs w:val="18"/>
        </w:rPr>
        <w:t xml:space="preserve">IPO</w:t>
      </w:r>
      <w:r>
        <w:rPr>
          <w:color w:val="3A3F4A"/>
          <w:sz w:val="18"/>
          <w:szCs w:val="18"/>
        </w:rPr>
        <w:t xml:space="preserve"> 按持股比例计算。真实条款中，后续轮次往往享有更优先的清算顺序，所以模型对早期投资人可能偏乐观。</w:t>
      </w:r>
    </w:p>
    <w:p>
      <w:pPr>
        <w:pStyle w:val="Heading3"/>
      </w:pPr>
      <w:r>
        <w:t xml:space="preserve">敏感性：A 类项目，入场估值 × 平台化概率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17"/>
        <w:gridCol w:w="1180"/>
        <w:gridCol w:w="1180"/>
        <w:gridCol w:w="1180"/>
        <w:gridCol w:w="1181"/>
      </w:tblGrid>
      <w:tr>
        <w:trPr>
          <w:cantSplit w:val="false"/>
          <w:tblHeader/>
        </w:trPr>
        <w:tc>
          <w:tcPr>
            <w:tcW w:type="dxa" w:w="4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入场投后估值 \ 平台化概率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5%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10%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20%</w:t>
            </w:r>
          </w:p>
        </w:tc>
        <w:tc>
          <w:tcPr>
            <w:tcW w:type="dxa" w:w="11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30%</w:t>
            </w:r>
          </w:p>
        </w:tc>
      </w:tr>
      <w:tr>
        <w:trPr>
          <w:cantSplit w:val="false"/>
          <w:tblHeader w:val="false"/>
        </w:trPr>
        <w:tc>
          <w:tcPr>
            <w:tcW w:type="dxa" w:w="4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 亿元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1.71x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2.37x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3.69x</w:t>
            </w:r>
          </w:p>
        </w:tc>
        <w:tc>
          <w:tcPr>
            <w:tcW w:type="dxa" w:w="11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5.02x</w:t>
            </w:r>
          </w:p>
        </w:tc>
      </w:tr>
      <w:tr>
        <w:trPr>
          <w:cantSplit w:val="false"/>
          <w:tblHeader w:val="false"/>
        </w:trPr>
        <w:tc>
          <w:tcPr>
            <w:tcW w:type="dxa" w:w="4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30 亿元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1.24x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1.68x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2.55x</w:t>
            </w:r>
          </w:p>
        </w:tc>
        <w:tc>
          <w:tcPr>
            <w:tcW w:type="dxa" w:w="11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3.42x</w:t>
            </w:r>
          </w:p>
        </w:tc>
      </w:tr>
      <w:tr>
        <w:trPr>
          <w:cantSplit w:val="false"/>
          <w:tblHeader w:val="false"/>
        </w:trPr>
        <w:tc>
          <w:tcPr>
            <w:tcW w:type="dxa" w:w="4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40 亿元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1.01x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1.33x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1.98x</w:t>
            </w:r>
          </w:p>
        </w:tc>
        <w:tc>
          <w:tcPr>
            <w:tcW w:type="dxa" w:w="11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2.63x</w:t>
            </w:r>
          </w:p>
        </w:tc>
      </w:tr>
      <w:tr>
        <w:trPr>
          <w:cantSplit w:val="false"/>
          <w:tblHeader w:val="false"/>
        </w:trPr>
        <w:tc>
          <w:tcPr>
            <w:tcW w:type="dxa" w:w="4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60 亿元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0.82x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1.03x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1.44x</w:t>
            </w:r>
          </w:p>
        </w:tc>
        <w:tc>
          <w:tcPr>
            <w:tcW w:type="dxa" w:w="11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1.86x</w:t>
            </w:r>
          </w:p>
        </w:tc>
      </w:tr>
      <w:tr>
        <w:trPr>
          <w:cantSplit w:val="false"/>
          <w:tblHeader w:val="false"/>
        </w:trPr>
        <w:tc>
          <w:tcPr>
            <w:tcW w:type="dxa" w:w="4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100 亿元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0.72x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0.84x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1.06x</w:t>
            </w:r>
          </w:p>
        </w:tc>
        <w:tc>
          <w:tcPr>
            <w:tcW w:type="dxa" w:w="11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1.29x</w:t>
            </w:r>
          </w:p>
        </w:tc>
      </w:tr>
      <w:tr>
        <w:trPr>
          <w:cantSplit w:val="false"/>
          <w:tblHeader w:val="false"/>
        </w:trPr>
        <w:tc>
          <w:tcPr>
            <w:tcW w:type="dxa" w:w="4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150 亿元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0.67x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0.74x</w:t>
            </w:r>
          </w:p>
        </w:tc>
        <w:tc>
          <w:tcPr>
            <w:tcW w:type="dxa" w:w="118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0.87x</w:t>
            </w:r>
          </w:p>
        </w:tc>
        <w:tc>
          <w:tcPr>
            <w:tcW w:type="dxa" w:w="11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1.00x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敏感性：B 类项目，入场估值 × 头部情景退出估值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66"/>
        <w:gridCol w:w="917"/>
        <w:gridCol w:w="917"/>
        <w:gridCol w:w="917"/>
        <w:gridCol w:w="921"/>
      </w:tblGrid>
      <w:tr>
        <w:trPr>
          <w:cantSplit w:val="false"/>
          <w:tblHeader/>
        </w:trPr>
        <w:tc>
          <w:tcPr>
            <w:tcW w:type="dxa" w:w="5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入场投后估值 \ 头部情景退出估值（亿元）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120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240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400</w:t>
            </w:r>
          </w:p>
        </w:tc>
        <w:tc>
          <w:tcPr>
            <w:tcW w:type="dxa" w:w="9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800</w:t>
            </w:r>
          </w:p>
        </w:tc>
      </w:tr>
      <w:tr>
        <w:trPr>
          <w:cantSplit w:val="false"/>
          <w:tblHeader w:val="false"/>
        </w:trPr>
        <w:tc>
          <w:tcPr>
            <w:tcW w:type="dxa" w:w="5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30 亿元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1.07x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1.52x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2.13x</w:t>
            </w:r>
          </w:p>
        </w:tc>
        <w:tc>
          <w:tcPr>
            <w:tcW w:type="dxa" w:w="9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3.66x</w:t>
            </w:r>
          </w:p>
        </w:tc>
      </w:tr>
      <w:tr>
        <w:trPr>
          <w:cantSplit w:val="false"/>
          <w:tblHeader w:val="false"/>
        </w:trPr>
        <w:tc>
          <w:tcPr>
            <w:tcW w:type="dxa" w:w="5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50 亿元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0.74x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1.01x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1.38x</w:t>
            </w:r>
          </w:p>
        </w:tc>
        <w:tc>
          <w:tcPr>
            <w:tcW w:type="dxa" w:w="9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2.30x</w:t>
            </w:r>
          </w:p>
        </w:tc>
      </w:tr>
      <w:tr>
        <w:trPr>
          <w:cantSplit w:val="false"/>
          <w:tblHeader w:val="false"/>
        </w:trPr>
        <w:tc>
          <w:tcPr>
            <w:tcW w:type="dxa" w:w="5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80 亿元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0.56x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0.73x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0.96x</w:t>
            </w:r>
          </w:p>
        </w:tc>
        <w:tc>
          <w:tcPr>
            <w:tcW w:type="dxa" w:w="9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1.53x</w:t>
            </w:r>
          </w:p>
        </w:tc>
      </w:tr>
      <w:tr>
        <w:trPr>
          <w:cantSplit w:val="false"/>
          <w:tblHeader w:val="false"/>
        </w:trPr>
        <w:tc>
          <w:tcPr>
            <w:tcW w:type="dxa" w:w="5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120 亿元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0.45x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0.57x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0.72x</w:t>
            </w:r>
          </w:p>
        </w:tc>
        <w:tc>
          <w:tcPr>
            <w:tcW w:type="dxa" w:w="9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1.10x</w:t>
            </w:r>
          </w:p>
        </w:tc>
      </w:tr>
      <w:tr>
        <w:trPr>
          <w:cantSplit w:val="false"/>
          <w:tblHeader w:val="false"/>
        </w:trPr>
        <w:tc>
          <w:tcPr>
            <w:tcW w:type="dxa" w:w="5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200 亿元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0.37x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0.44x</w:t>
            </w:r>
          </w:p>
        </w:tc>
        <w:tc>
          <w:tcPr>
            <w:tcW w:type="dxa" w:w="9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0.53x</w:t>
            </w:r>
          </w:p>
        </w:tc>
        <w:tc>
          <w:tcPr>
            <w:tcW w:type="dxa" w:w="9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0.76x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两张表的决策含义</w:t>
      </w:r>
      <w:r>
        <w:t xml:space="preserve">：</w:t>
      </w:r>
    </w:p>
    <w:p>
      <w:pPr>
        <w:spacing w:after="60" w:line="312" w:lineRule="auto"/>
        <w:ind w:left="420" w:hanging="300"/>
      </w:pPr>
      <w:r>
        <w:t xml:space="preserve">1. </w:t>
      </w:r>
      <w:r>
        <w:rPr>
          <w:b/>
          <w:bCs/>
        </w:rPr>
        <w:t xml:space="preserve">对纯模型项目</w:t>
      </w:r>
      <w:r>
        <w:t xml:space="preserve">：要获得 3 倍以上的期望回报，要么入场估值不超过 20–30 亿元且平台化概率达到 20%–30%，要么拿到更高的平台化概率——这需要第三方证据支撑，而不是创始人的信心。</w:t>
      </w:r>
    </w:p>
    <w:p>
      <w:pPr>
        <w:spacing w:after="60" w:line="312" w:lineRule="auto"/>
        <w:ind w:left="420" w:hanging="300"/>
      </w:pPr>
      <w:r>
        <w:t xml:space="preserve">2. </w:t>
      </w:r>
      <w:r>
        <w:rPr>
          <w:b/>
          <w:bCs/>
        </w:rPr>
        <w:t xml:space="preserve">对整机项目</w:t>
      </w:r>
      <w:r>
        <w:t xml:space="preserve">：要获得 2 倍以上的期望回报，需要在 30 亿元左右入场且头部退出估值达到 400 亿元以上，或者入场估值不超过 50 亿元且头部退出估值达到 800 亿元。在 80 亿元以上入场，几乎只有"千亿级退出"才能带来令人满意的回报。</w:t>
      </w:r>
    </w:p>
    <w:p>
      <w:pPr>
        <w:spacing w:after="60" w:line="312" w:lineRule="auto"/>
        <w:ind w:left="420" w:hanging="300"/>
      </w:pPr>
      <w:r>
        <w:t xml:space="preserve">3. </w:t>
      </w:r>
      <w:r>
        <w:rPr>
          <w:b/>
          <w:bCs/>
        </w:rPr>
        <w:t xml:space="preserve">这正是"等待估值重置"的量化依据</w:t>
      </w:r>
      <w:r>
        <w:t xml:space="preserve">。</w:t>
      </w:r>
    </w:p>
    <w:p>
      <w:pPr>
        <w:pStyle w:val="Heading2"/>
      </w:pPr>
      <w:bookmarkStart w:name="bm124" w:id="1124"/>
      <w:r>
        <w:t xml:space="preserve">14.4 资金效率指标</w:t>
      </w:r>
      <w:bookmarkEnd w:id="11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5"/>
        <w:gridCol w:w="2681"/>
        <w:gridCol w:w="1173"/>
        <w:gridCol w:w="3689"/>
      </w:tblGrid>
      <w:tr>
        <w:trPr>
          <w:cantSplit w:val="false"/>
          <w:tblHeader/>
        </w:trPr>
        <w:tc>
          <w:tcPr>
            <w:tcW w:type="dxa" w:w="20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指标</w:t>
            </w:r>
          </w:p>
        </w:tc>
        <w:tc>
          <w:tcPr>
            <w:tcW w:type="dxa" w:w="26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定义</w:t>
            </w:r>
          </w:p>
        </w:tc>
        <w:tc>
          <w:tcPr>
            <w:tcW w:type="dxa" w:w="11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合格线（参考）</w:t>
            </w:r>
          </w:p>
        </w:tc>
        <w:tc>
          <w:tcPr>
            <w:tcW w:type="dxa" w:w="3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cantSplit w:val="false"/>
          <w:tblHeader w:val="false"/>
        </w:trPr>
        <w:tc>
          <w:tcPr>
            <w:tcW w:type="dxa" w:w="20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收入/累计融资</w:t>
            </w:r>
          </w:p>
        </w:tc>
        <w:tc>
          <w:tcPr>
            <w:tcW w:type="dxa" w:w="26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年收入 ÷ 累计融资</w:t>
            </w:r>
          </w:p>
        </w:tc>
        <w:tc>
          <w:tcPr>
            <w:tcW w:type="dxa" w:w="11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成长期 ≥15%</w:t>
            </w:r>
          </w:p>
        </w:tc>
        <w:tc>
          <w:tcPr>
            <w:tcW w:type="dxa" w:w="3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宇树 2025 年远高于此；多数模型公司低于 2%</w:t>
            </w:r>
          </w:p>
        </w:tc>
      </w:tr>
      <w:tr>
        <w:trPr>
          <w:cantSplit w:val="false"/>
          <w:tblHeader w:val="false"/>
        </w:trPr>
        <w:tc>
          <w:tcPr>
            <w:tcW w:type="dxa" w:w="20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烧钱倍数（Burn Multiple）</w:t>
            </w:r>
          </w:p>
        </w:tc>
        <w:tc>
          <w:tcPr>
            <w:tcW w:type="dxa" w:w="26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净消耗 ÷ 新增收入</w:t>
            </w:r>
          </w:p>
        </w:tc>
        <w:tc>
          <w:tcPr>
            <w:tcW w:type="dxa" w:w="11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≤2</w:t>
            </w:r>
          </w:p>
        </w:tc>
        <w:tc>
          <w:tcPr>
            <w:tcW w:type="dxa" w:w="3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硬件公司的合理区间比软件更高</w:t>
            </w:r>
          </w:p>
        </w:tc>
      </w:tr>
      <w:tr>
        <w:trPr>
          <w:cantSplit w:val="false"/>
          <w:tblHeader w:val="false"/>
        </w:trPr>
        <w:tc>
          <w:tcPr>
            <w:tcW w:type="dxa" w:w="20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单台贡献毛利</w:t>
            </w:r>
          </w:p>
        </w:tc>
        <w:tc>
          <w:tcPr>
            <w:tcW w:type="dxa" w:w="26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(单价 − 单台完全成本 − 部署成本)</w:t>
            </w:r>
          </w:p>
        </w:tc>
        <w:tc>
          <w:tcPr>
            <w:tcW w:type="dxa" w:w="11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为正</w:t>
            </w:r>
          </w:p>
        </w:tc>
        <w:tc>
          <w:tcPr>
            <w:tcW w:type="dxa" w:w="3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RaaS 按"单台年毛利 × 寿命"计算</w:t>
            </w:r>
          </w:p>
        </w:tc>
      </w:tr>
      <w:tr>
        <w:trPr>
          <w:cantSplit w:val="false"/>
          <w:tblHeader w:val="false"/>
        </w:trPr>
        <w:tc>
          <w:tcPr>
            <w:tcW w:type="dxa" w:w="20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回收期（RaaS）</w:t>
            </w:r>
          </w:p>
        </w:tc>
        <w:tc>
          <w:tcPr>
            <w:tcW w:type="dxa" w:w="26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硬件成本 ÷ 单台年毛利</w:t>
            </w:r>
          </w:p>
        </w:tc>
        <w:tc>
          <w:tcPr>
            <w:tcW w:type="dxa" w:w="11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≤2 年</w:t>
            </w:r>
          </w:p>
        </w:tc>
        <w:tc>
          <w:tcPr>
            <w:tcW w:type="dxa" w:w="3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见第六篇</w:t>
            </w:r>
          </w:p>
        </w:tc>
      </w:tr>
      <w:tr>
        <w:trPr>
          <w:cantSplit w:val="false"/>
          <w:tblHeader w:val="false"/>
        </w:trPr>
        <w:tc>
          <w:tcPr>
            <w:tcW w:type="dxa" w:w="20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研发资本化率</w:t>
            </w:r>
          </w:p>
        </w:tc>
        <w:tc>
          <w:tcPr>
            <w:tcW w:type="dxa" w:w="26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资本化研发 ÷ 总研发</w:t>
            </w:r>
          </w:p>
        </w:tc>
        <w:tc>
          <w:tcPr>
            <w:tcW w:type="dxa" w:w="11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越低越好</w:t>
            </w:r>
          </w:p>
        </w:tc>
        <w:tc>
          <w:tcPr>
            <w:tcW w:type="dxa" w:w="3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衡量利润质量</w:t>
            </w:r>
          </w:p>
        </w:tc>
      </w:tr>
      <w:tr>
        <w:trPr>
          <w:cantSplit w:val="false"/>
          <w:tblHeader w:val="false"/>
        </w:trPr>
        <w:tc>
          <w:tcPr>
            <w:tcW w:type="dxa" w:w="20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现金跑道</w:t>
            </w:r>
          </w:p>
        </w:tc>
        <w:tc>
          <w:tcPr>
            <w:tcW w:type="dxa" w:w="26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现金 ÷ 月消耗</w:t>
            </w:r>
          </w:p>
        </w:tc>
        <w:tc>
          <w:tcPr>
            <w:tcW w:type="dxa" w:w="11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≥18 个月</w:t>
            </w:r>
          </w:p>
        </w:tc>
        <w:tc>
          <w:tcPr>
            <w:tcW w:type="dxa" w:w="36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低于 12 个月一票否决（除非本轮资金足以抵达里程碑）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25" w:id="1125"/>
      <w:r>
        <w:t xml:space="preserve">14.5 公开可比的估值横截面</w:t>
      </w:r>
      <w:bookmarkEnd w:id="112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7"/>
        <w:gridCol w:w="1005"/>
        <w:gridCol w:w="2010"/>
        <w:gridCol w:w="709"/>
        <w:gridCol w:w="1892"/>
        <w:gridCol w:w="532"/>
        <w:gridCol w:w="1953"/>
      </w:tblGrid>
      <w:tr>
        <w:trPr>
          <w:cantSplit w:val="false"/>
          <w:tblHeader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公司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估值/市值（亿元）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估值口径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收入（亿元）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收入口径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估值/收入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备注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宇树科技（IPO 发行价）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610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发行价对应总市值，2026-08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17.08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36x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发行市盈率 219 倍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宇树科技（首日开盘）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4,449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开盘价 1,100 元，2026-08-19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17.08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260x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峰值情绪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宇树科技（9 月 18 日收盘）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2,083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514.98 元 × 4.04 亿股（推算）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17.08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122x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较开盘高点回撤约 53%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云深处（IPO 前估值）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139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按募资额与发行比例推算，2026-05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3.37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41x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年首次盈利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乐聚智能（最近一轮）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43.3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2025-10 投后估值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2.58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创业板第四套标准首单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智元（传闻新一轮）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500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媒体报道约 500 亿元，2026-10，未获公司确认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10.50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年营收（公司口径）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48x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对 2026E 45 亿元收入约 11x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Agility（SPAC）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178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25 亿美元，2026-06 协议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0.13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 180 万美元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1,389x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订单储备 3 亿美元以上（里程碑式）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Skild AI（C 轮）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994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140 亿美元+，2026-01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2.13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年未审计收入约 3,000 万美元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467x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公司称年化收入运行率已过 1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15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极智嘉（对照：AMR）</w:t>
            </w:r>
          </w:p>
        </w:tc>
        <w:tc>
          <w:tcPr>
            <w:tcW w:type="dxa" w:w="100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0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港股上市公司（市值以实时行情为准）</w:t>
            </w:r>
          </w:p>
        </w:tc>
        <w:tc>
          <w:tcPr>
            <w:tcW w:type="dxa" w:w="7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31.71</w:t>
            </w:r>
          </w:p>
        </w:tc>
        <w:tc>
          <w:tcPr>
            <w:tcW w:type="dxa" w:w="18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5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9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毛利率 35.5%，经调整净利润转正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怎么用这张表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宇树 IPO 发行价对应约 36 倍市销率（219 倍 PE），是"</w:t>
      </w:r>
      <w:r>
        <w:rPr>
          <w:b/>
          <w:bCs/>
        </w:rPr>
        <w:t xml:space="preserve">监管可接受的上市定价</w:t>
      </w:r>
      <w:r>
        <w:t xml:space="preserve">"参照；首日开盘的 260 倍和 9 月中旬的约 122 倍则包含情绪溢价。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云深处（约 41 倍）和乐聚（约 17 倍）反映了"</w:t>
      </w:r>
      <w:r>
        <w:rPr>
          <w:b/>
          <w:bCs/>
        </w:rPr>
        <w:t xml:space="preserve">有收入的非头部公司</w:t>
      </w:r>
      <w:r>
        <w:t xml:space="preserve">"的定价区间。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对一级市场项目，本报告建议以"</w:t>
      </w:r>
      <w:r>
        <w:rPr>
          <w:b/>
          <w:bCs/>
        </w:rPr>
        <w:t xml:space="preserve">上市定价参照（约 20–40 倍收入），扣除 30%–50% 的流动性与稀缺性折价</w:t>
      </w:r>
      <w:r>
        <w:t xml:space="preserve">"作为后期轮次的估值上限，再按收入质量分层调整（14.2 节）。</w:t>
      </w:r>
    </w:p>
    <w:p>
      <w:pPr>
        <w:pStyle w:val="Heading2"/>
      </w:pPr>
      <w:bookmarkStart w:name="bm126" w:id="1126"/>
      <w:r>
        <w:t xml:space="preserve">14.6 反证检查</w:t>
      </w:r>
      <w:bookmarkEnd w:id="1126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如果宇树在 2027–2028 年保持 50% 以上的增长和 60% 左右的毛利率，并维持高估值，那么二级市场对人形的定价中枢会上移，本报告的估值纪律就显得偏保守。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模型对稀释的假设可能高估了头部公司的融资需求：如果头部公司依靠盈利或政府资金扩张，早期投资人的稀释会更少。</w:t>
      </w:r>
    </w:p>
    <w:p>
      <w:pPr>
        <w:pStyle w:val="Heading1"/>
        <w:pageBreakBefore/>
      </w:pPr>
      <w:bookmarkStart w:name="bm127" w:id="1127"/>
      <w:r>
        <w:t xml:space="preserve">第十五篇　尽职调查方法论与重大风险识别</w:t>
      </w:r>
      <w:bookmarkEnd w:id="1127"/>
    </w:p>
    <w:p>
      <w:pPr>
        <w:pStyle w:val="Heading2"/>
      </w:pPr>
      <w:bookmarkStart w:name="bm128" w:id="1128"/>
      <w:r>
        <w:t xml:space="preserve">15.1 尽调流程：五步法</w:t>
      </w:r>
      <w:bookmarkEnd w:id="112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2808"/>
        <w:gridCol w:w="2808"/>
        <w:gridCol w:w="2810"/>
      </w:tblGrid>
      <w:tr>
        <w:trPr>
          <w:cantSplit w:val="false"/>
          <w:tblHeader/>
        </w:trPr>
        <w:tc>
          <w:tcPr>
            <w:tcW w:type="dxa" w:w="1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步骤</w:t>
            </w:r>
          </w:p>
        </w:tc>
        <w:tc>
          <w:tcPr>
            <w:tcW w:type="dxa" w:w="28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目标</w:t>
            </w:r>
          </w:p>
        </w:tc>
        <w:tc>
          <w:tcPr>
            <w:tcW w:type="dxa" w:w="28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关键动作</w:t>
            </w:r>
          </w:p>
        </w:tc>
        <w:tc>
          <w:tcPr>
            <w:tcW w:type="dxa" w:w="2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产出</w:t>
            </w:r>
          </w:p>
        </w:tc>
      </w:tr>
      <w:tr>
        <w:trPr>
          <w:cantSplit w:val="false"/>
          <w:tblHeader w:val="false"/>
        </w:trPr>
        <w:tc>
          <w:tcPr>
            <w:tcW w:type="dxa" w:w="1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1. 定位</w:t>
            </w:r>
          </w:p>
        </w:tc>
        <w:tc>
          <w:tcPr>
            <w:tcW w:type="dxa" w:w="28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判断项目处于产业链哪个位置、解决什么真实问题</w:t>
            </w:r>
          </w:p>
        </w:tc>
        <w:tc>
          <w:tcPr>
            <w:tcW w:type="dxa" w:w="28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用第一篇的产业地图和第六篇的"十问"做初筛</w:t>
            </w:r>
          </w:p>
        </w:tc>
        <w:tc>
          <w:tcPr>
            <w:tcW w:type="dxa" w:w="2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一页纸定位卡：环节、场景、商业模式、成熟度等级</w:t>
            </w:r>
          </w:p>
        </w:tc>
      </w:tr>
      <w:tr>
        <w:trPr>
          <w:cantSplit w:val="false"/>
          <w:tblHeader w:val="false"/>
        </w:trPr>
        <w:tc>
          <w:tcPr>
            <w:tcW w:type="dxa" w:w="1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2. 技术与演示核验</w:t>
            </w:r>
          </w:p>
        </w:tc>
        <w:tc>
          <w:tcPr>
            <w:tcW w:type="dxa" w:w="28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区分"演示能力"与"部署能力"</w:t>
            </w:r>
          </w:p>
        </w:tc>
        <w:tc>
          <w:tcPr>
            <w:tcW w:type="dxa" w:w="28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现场盲测（投资方指定物体和场景，连续 30 次以上）；索取接管日志</w:t>
            </w:r>
          </w:p>
        </w:tc>
        <w:tc>
          <w:tcPr>
            <w:tcW w:type="dxa" w:w="2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技术核验报告</w:t>
            </w:r>
          </w:p>
        </w:tc>
      </w:tr>
      <w:tr>
        <w:trPr>
          <w:cantSplit w:val="false"/>
          <w:tblHeader w:val="false"/>
        </w:trPr>
        <w:tc>
          <w:tcPr>
            <w:tcW w:type="dxa" w:w="1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3. 客户与订单核验</w:t>
            </w:r>
          </w:p>
        </w:tc>
        <w:tc>
          <w:tcPr>
            <w:tcW w:type="dxa" w:w="28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区分订单的七个环节，识别关联方</w:t>
            </w:r>
          </w:p>
        </w:tc>
        <w:tc>
          <w:tcPr>
            <w:tcW w:type="dxa" w:w="28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客户访谈（使用方和采购方分开）；合同、验收单、回款流水交叉核对</w:t>
            </w:r>
          </w:p>
        </w:tc>
        <w:tc>
          <w:tcPr>
            <w:tcW w:type="dxa" w:w="2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订单瀑布表</w:t>
            </w:r>
          </w:p>
        </w:tc>
      </w:tr>
      <w:tr>
        <w:trPr>
          <w:cantSplit w:val="false"/>
          <w:tblHeader w:val="false"/>
        </w:trPr>
        <w:tc>
          <w:tcPr>
            <w:tcW w:type="dxa" w:w="1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4. 财务与单位经济</w:t>
            </w:r>
          </w:p>
        </w:tc>
        <w:tc>
          <w:tcPr>
            <w:tcW w:type="dxa" w:w="28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收入质量、毛利结构、现金跑道</w:t>
            </w:r>
          </w:p>
        </w:tc>
        <w:tc>
          <w:tcPr>
            <w:tcW w:type="dxa" w:w="28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分用途、分客户的收入与毛利；单台贡献毛利</w:t>
            </w:r>
          </w:p>
        </w:tc>
        <w:tc>
          <w:tcPr>
            <w:tcW w:type="dxa" w:w="2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收入质量分层估值（第十四篇 14.2 节）</w:t>
            </w:r>
          </w:p>
        </w:tc>
      </w:tr>
      <w:tr>
        <w:trPr>
          <w:cantSplit w:val="false"/>
          <w:tblHeader w:val="false"/>
        </w:trPr>
        <w:tc>
          <w:tcPr>
            <w:tcW w:type="dxa" w:w="12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5. 团队、股权与退出</w:t>
            </w:r>
          </w:p>
        </w:tc>
        <w:tc>
          <w:tcPr>
            <w:tcW w:type="dxa" w:w="28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工程化能力、治理和退出路径</w:t>
            </w:r>
          </w:p>
        </w:tc>
        <w:tc>
          <w:tcPr>
            <w:tcW w:type="dxa" w:w="28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背调、股东协议审查、对照上市门槛</w:t>
            </w:r>
          </w:p>
        </w:tc>
        <w:tc>
          <w:tcPr>
            <w:tcW w:type="dxa" w:w="2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投委会备忘录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29" w:id="1129"/>
      <w:r>
        <w:t xml:space="preserve">15.2 订单瀑布表：识别订单水分的核心工具</w:t>
      </w:r>
      <w:bookmarkEnd w:id="1129"/>
    </w:p>
    <w:p>
      <w:pPr>
        <w:shd w:fill="F4F4F2" w:color="auto" w:val="clear"/>
        <w:spacing w:after="0" w:before="8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意向/合作备忘录 ─▶ 框架协议 ─▶ 正式合同（有金额、交付期、验收标准）</w:t>
      </w:r>
    </w:p>
    <w:p>
      <w:pPr>
        <w:shd w:fill="F4F4F2" w:color="auto" w:val="clear"/>
        <w:spacing w:after="160" w:before="0" w:line="240" w:lineRule="auto"/>
      </w:pPr>
      <w:r>
        <w:rPr>
          <w:rFonts w:ascii="Consolas" w:cs="Consolas" w:eastAsia="SimSun" w:hAnsi="Consolas"/>
          <w:color w:val="333333"/>
          <w:sz w:val="15"/>
          <w:szCs w:val="15"/>
        </w:rPr>
        <w:t xml:space="preserve">   ─▶ 发货 ─▶ 安装调试 ─▶ 客户验收 ─▶ 确认收入 ─▶ 回款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要求企业对每个环节分别给出台数与金额</w:t>
      </w:r>
      <w:r>
        <w:t xml:space="preserve">，并计算每一级的转化率。经验参考〔D〕：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意向和框架协议到正式合同的转化率，在 10%–30% 之间较为常见；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正式合同到验收的转化率，应在 70% 以上。</w:t>
      </w:r>
    </w:p>
    <w:p>
      <w:pPr>
        <w:spacing w:after="120" w:line="324" w:lineRule="auto"/>
        <w:jc w:val="both"/>
      </w:pPr>
      <w:r>
        <w:t xml:space="preserve">公开案例对照：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Agility：里程碑式订单超过 3 亿美元，2025 年收入 180 万美元〔B，S35〕；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优必选：2025 年 Walker 订单约 13 亿元，全尺寸人形收入 8.21 亿元〔B/C，S08/S10〕。</w:t>
      </w:r>
    </w:p>
    <w:p>
      <w:pPr>
        <w:pStyle w:val="Heading2"/>
      </w:pPr>
      <w:bookmarkStart w:name="bm130" w:id="1130"/>
      <w:r>
        <w:t xml:space="preserve">15.3 十类重大风险及识别方法</w:t>
      </w:r>
      <w:bookmarkEnd w:id="11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95"/>
        <w:gridCol w:w="2673"/>
        <w:gridCol w:w="2673"/>
        <w:gridCol w:w="3097"/>
      </w:tblGrid>
      <w:tr>
        <w:trPr>
          <w:cantSplit w:val="false"/>
          <w:tblHeader/>
        </w:trPr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风险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典型表现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识别方法</w:t>
            </w:r>
          </w:p>
        </w:tc>
        <w:tc>
          <w:tcPr>
            <w:tcW w:type="dxa" w:w="30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可索取的底层证据</w:t>
            </w:r>
          </w:p>
        </w:tc>
      </w:tr>
      <w:tr>
        <w:trPr>
          <w:cantSplit w:val="false"/>
          <w:tblHeader w:val="false"/>
        </w:trPr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1. 技术演示造假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剪辑、加速播放、多次重试只展示成功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现场盲测；要求原始未剪辑视频及时间戳</w:t>
            </w:r>
          </w:p>
        </w:tc>
        <w:tc>
          <w:tcPr>
            <w:tcW w:type="dxa" w:w="30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原始视频、失败记录</w:t>
            </w:r>
          </w:p>
        </w:tc>
      </w:tr>
      <w:tr>
        <w:trPr>
          <w:cantSplit w:val="false"/>
          <w:tblHeader w:val="false"/>
        </w:trPr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2. 人工接管未披露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"自主率"无定义；遥操作链路隐藏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断开遥操作链路复测；查日志</w:t>
            </w:r>
          </w:p>
        </w:tc>
        <w:tc>
          <w:tcPr>
            <w:tcW w:type="dxa" w:w="30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系统日志、遥操作设备清单</w:t>
            </w:r>
          </w:p>
        </w:tc>
      </w:tr>
      <w:tr>
        <w:trPr>
          <w:cantSplit w:val="false"/>
          <w:tblHeader w:val="false"/>
        </w:trPr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3. 口径不一致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出货、销量、产量混用；"台"包含小机器人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要求按型号和用途拆分</w:t>
            </w:r>
          </w:p>
        </w:tc>
        <w:tc>
          <w:tcPr>
            <w:tcW w:type="dxa" w:w="30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出货明细、型号表（参照优必选 921 台对 16,123 台的口径差异）</w:t>
            </w:r>
          </w:p>
        </w:tc>
      </w:tr>
      <w:tr>
        <w:trPr>
          <w:cantSplit w:val="false"/>
          <w:tblHeader w:val="false"/>
        </w:trPr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4. 关联方采购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股东即客户；地方基金返投与采购绑定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股东名册与客户名单交叉比对；查工商信息</w:t>
            </w:r>
          </w:p>
        </w:tc>
        <w:tc>
          <w:tcPr>
            <w:tcW w:type="dxa" w:w="30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客户合同、股东协议（参照银河通用案例）</w:t>
            </w:r>
          </w:p>
        </w:tc>
      </w:tr>
      <w:tr>
        <w:trPr>
          <w:cantSplit w:val="false"/>
          <w:tblHeader w:val="false"/>
        </w:trPr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5. 政策依赖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数采中心、实训、示范收入占比高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查合同用途和付款来源</w:t>
            </w:r>
          </w:p>
        </w:tc>
        <w:tc>
          <w:tcPr>
            <w:tcW w:type="dxa" w:w="30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合同、补贴文件</w:t>
            </w:r>
          </w:p>
        </w:tc>
      </w:tr>
      <w:tr>
        <w:trPr>
          <w:cantSplit w:val="false"/>
          <w:tblHeader w:val="false"/>
        </w:trPr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6. 订单不具约束力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框架协议、无预付款、无违约条款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订单瀑布表；查预付款</w:t>
            </w:r>
          </w:p>
        </w:tc>
        <w:tc>
          <w:tcPr>
            <w:tcW w:type="dxa" w:w="30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合同条款、银行流水</w:t>
            </w:r>
          </w:p>
        </w:tc>
      </w:tr>
      <w:tr>
        <w:trPr>
          <w:cantSplit w:val="false"/>
          <w:tblHeader w:val="false"/>
        </w:trPr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7. 数据能力夸大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"百万小时"无模态拆分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要求数据目录和规模—性能曲线</w:t>
            </w:r>
          </w:p>
        </w:tc>
        <w:tc>
          <w:tcPr>
            <w:tcW w:type="dxa" w:w="30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数据湖目录、训练日志</w:t>
            </w:r>
          </w:p>
        </w:tc>
      </w:tr>
      <w:tr>
        <w:trPr>
          <w:cantSplit w:val="false"/>
          <w:tblHeader w:val="false"/>
        </w:trPr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8. 客户复购缺失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全部收入来自首单试点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多期合同核查</w:t>
            </w:r>
          </w:p>
        </w:tc>
        <w:tc>
          <w:tcPr>
            <w:tcW w:type="dxa" w:w="30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客户采购历史</w:t>
            </w:r>
          </w:p>
        </w:tc>
      </w:tr>
      <w:tr>
        <w:trPr>
          <w:cantSplit w:val="false"/>
          <w:tblHeader w:val="false"/>
        </w:trPr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9. 财务不透明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没有审计、研发大量资本化、存货快速增长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审计报告、存货盘点</w:t>
            </w:r>
          </w:p>
        </w:tc>
        <w:tc>
          <w:tcPr>
            <w:tcW w:type="dxa" w:w="30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审计底稿</w:t>
            </w:r>
          </w:p>
        </w:tc>
      </w:tr>
      <w:tr>
        <w:trPr>
          <w:cantSplit w:val="false"/>
          <w:tblHeader w:val="false"/>
        </w:trPr>
        <w:tc>
          <w:tcPr>
            <w:tcW w:type="dxa" w:w="11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10. 长期资本消耗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跑道短，依赖下一轮"续命"</w:t>
            </w:r>
          </w:p>
        </w:tc>
        <w:tc>
          <w:tcPr>
            <w:tcW w:type="dxa" w:w="26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月度现金流与里程碑对照</w:t>
            </w:r>
          </w:p>
        </w:tc>
        <w:tc>
          <w:tcPr>
            <w:tcW w:type="dxa" w:w="309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银行对账单、预算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"互保式"注水订单的识别</w:t>
      </w:r>
      <w:r>
        <w:t xml:space="preserve">：有媒体调查揭示过这样的结构——零部件商以"试用加采购"留住整机大客户，整机厂再向零部件厂"反哺"整机订单〔C，S56〕。识别方法是：</w:t>
      </w:r>
      <w:r>
        <w:rPr>
          <w:b/>
          <w:bCs/>
        </w:rPr>
        <w:t xml:space="preserve">对照企业的前十大客户与前十大供应商，看是否存在交叉</w:t>
      </w:r>
      <w:r>
        <w:t xml:space="preserve">。</w:t>
      </w:r>
    </w:p>
    <w:p>
      <w:pPr>
        <w:pStyle w:val="Heading2"/>
      </w:pPr>
      <w:bookmarkStart w:name="bm131" w:id="1131"/>
      <w:r>
        <w:t xml:space="preserve">15.4 关键尽调问题（★ 问题完整展开）</w:t>
      </w:r>
      <w:bookmarkEnd w:id="1131"/>
    </w:p>
    <w:p>
      <w:pPr>
        <w:spacing w:after="120" w:line="324" w:lineRule="auto"/>
        <w:jc w:val="both"/>
      </w:pPr>
      <w:r>
        <w:t xml:space="preserve">以下 13 个关键问题，按"问法、为何必须问、验证的假设、积极信号、风险信号、底层证据与独立验证"展开。完整的 89 题问题库见附录 8 和数据底表 15。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Q01（技术）请在我们指定的、贵司未见过的场景与物体上，现场完成三项任务，各连续执行 30 次，全程录像不剪辑。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为何必须问／验证的假设：演示能力≠泛化能力；验证'未见场景成功率'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积极信号：未事先布置、成功率稳定、失败模式可解释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风险信号：只允许在自家展厅演示；拒绝更换物体；以视频代替现场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底层证据与独立验证：原始未剪辑视频、失败记录；投资方自带物体与场景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Q02（技术）演示与部署中是否有人工遥操作或人工接管？接管频率（次/小时）与平均接管时长是多少？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为何必须问／验证的假设：识别'人工接管未披露'这一最大造假风险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积极信号：主动披露接管率，且随版本下降有曲线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风险信号：回避、仅给'自主率'百分比而无定义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底层证据与独立验证：带时间戳的系统日志、遥操作链路记录；现场断开遥操作链路复测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Q03（技术）主力产品的任务成功率定义是什么？按子任务还是整任务？样本量与置信区间多少？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为何必须问／验证的假设：统一口径，防止子任务成功率冒充整任务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积极信号：整任务定义、样本 ≥100、有置信区间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风险信号：只报最好一次、无样本量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底层证据与独立验证：评测协议文档、评测原始表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Q17（数据）累计数据量按模态拆分（真机遥操作/无本体/人类视频/仿真）各多少小时？每小时采集成本是多少？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为何必须问／验证的假设：数据规模与经济性；防止口径混用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积极信号：分模态披露、单位成本清晰且下降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风险信号：只给总小时数或'帧数'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底层证据与独立验证：数据湖目录、采集工单、成本台账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Q26（硬件）当前单台 BOM 与完全成本（含装配、测试、良率、保修）是多少？未来 3 年降本路线分项是什么？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为何必须问／验证的假设：毛利率与价格战耐受度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积极信号：分项清晰、关键件有二供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风险信号：只给售价不给成本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底层证据与独立验证：BOM 表、采购合同、发票抽样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Q38（商业化）订单按'意向—框架—正式合同—发货—验收—确认收入—回款'七个环节分别是多少金额与台数？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为何必须问／验证的假设：识别订单水分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积极信号：各环节逐级披露、转化率可追溯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风险信号：只有'签约金额'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底层证据与独立验证：合同、发货单、验收单、银行回单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Q39（商业化）前十大客户名单、收入占比、是否为股东或关联方？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为何必须问／验证的假设：识别关联方收入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积极信号：非关联客户占比高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风险信号：股东客户占大头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底层证据与独立验证：股东名册与客户名单交叉比对；工商信息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Q40（商业化）收入中政府/国资数据采集中心、教育科研、展厅展示、工业生产性用途各占多少？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为何必须问／验证的假设：区分政策驱动与真实需求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积极信号：生产性用途收入占比提升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风险信号：以数采中心与展示为主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底层证据与独立验证：合同用途条款、交付地点实地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Q41（商业化）有多少客户完成第二次及以上采购？复购的台数与金额？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为何必须问／验证的假设：复购是需求真实性最强证据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积极信号：复购率与扩量明确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风险信号：全部为首单试点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底层证据与独立验证：多期合同、回款记录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Q56（财务）月度现金消耗、现金余额与跑道（月）？下一轮融资前的里程碑？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为何必须问／验证的假设：资本效率与生存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积极信号：跑道 ≥18 个月、里程碑可验证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风险信号：跑道 &lt;12 个月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底层证据与独立验证：银行对账单、预算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Q66（组织）创始团队中谁对'量产与交付'负责？他过去交付过多少台复杂机电产品？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为何必须问／验证的假设：工程化领导力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积极信号：有量产交付记录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风险信号：仅研究背景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底层证据与独立验证：背调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Q73（融资）历轮融资估值、金额、领投方、实际到账时间？是否存在'宣布未到账'？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为何必须问／验证的假设：区分宣布与交割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积极信号：到账与宣布一致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风险信号：宣布金额远大于到账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底层证据与独立验证：验资报告、银行流水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Q85（退出）计划在哪个板块上市？对照证监会'经常性收入、亏损收窄或真正创新'的窗口指导要求，差距在哪？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为何必须问／验证的假设：退出可行性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积极信号：清晰对标且差距可在 2–3 年内弥补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风险信号：依赖市场情绪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底层证据与独立验证：上市辅导机构意见</w:t>
      </w:r>
    </w:p>
    <w:p>
      <w:pPr>
        <w:pStyle w:val="Heading2"/>
      </w:pPr>
      <w:bookmarkStart w:name="bm132" w:id="1132"/>
      <w:r>
        <w:t xml:space="preserve">15.5 访谈技巧：与创始人、专家、客户对话</w:t>
      </w:r>
      <w:bookmarkEnd w:id="1132"/>
    </w:p>
    <w:p>
      <w:pPr>
        <w:spacing w:after="120" w:line="324" w:lineRule="auto"/>
        <w:jc w:val="both"/>
      </w:pPr>
      <w:r>
        <w:rPr>
          <w:b/>
          <w:bCs/>
        </w:rPr>
        <w:t xml:space="preserve">与创始人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问"</w:t>
      </w:r>
      <w:r>
        <w:rPr>
          <w:b/>
          <w:bCs/>
        </w:rPr>
        <w:t xml:space="preserve">最大的错误决策</w:t>
      </w:r>
      <w:r>
        <w:t xml:space="preserve">"和"</w:t>
      </w:r>
      <w:r>
        <w:rPr>
          <w:b/>
          <w:bCs/>
        </w:rPr>
        <w:t xml:space="preserve">何时会放弃人形</w:t>
      </w:r>
      <w:r>
        <w:t xml:space="preserve">"，可以检验战略理性。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问"</w:t>
      </w:r>
      <w:r>
        <w:rPr>
          <w:b/>
          <w:bCs/>
        </w:rPr>
        <w:t xml:space="preserve">最常见的三种失败模式</w:t>
      </w:r>
      <w:r>
        <w:t xml:space="preserve">"，可以检验工程成熟度。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不要问"你们的技术有什么优势"，要问"</w:t>
      </w:r>
      <w:r>
        <w:rPr>
          <w:b/>
          <w:bCs/>
        </w:rPr>
        <w:t xml:space="preserve">同样的任务，客户为什么不用协作臂加 AGV</w:t>
      </w:r>
      <w:r>
        <w:t xml:space="preserve">"。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与产业专家</w:t>
      </w:r>
      <w:r>
        <w:t xml:space="preserve">：要求对方给出</w:t>
      </w:r>
      <w:r>
        <w:rPr>
          <w:b/>
          <w:bCs/>
        </w:rPr>
        <w:t xml:space="preserve">具体的数字区间</w:t>
      </w:r>
      <w:r>
        <w:t xml:space="preserve">（成本、良率、看护配比），而不是趋势判断；交叉验证企业给出的数字。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与客户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分别访谈使用方（车间主任）和采购方（采购或财务）。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问"</w:t>
      </w:r>
      <w:r>
        <w:rPr>
          <w:b/>
          <w:bCs/>
        </w:rPr>
        <w:t xml:space="preserve">如果明天撤掉机器人，你会怎么做</w:t>
      </w:r>
      <w:r>
        <w:t xml:space="preserve">"，可以检验依赖程度。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t xml:space="preserve">问"</w:t>
      </w:r>
      <w:r>
        <w:rPr>
          <w:b/>
          <w:bCs/>
        </w:rPr>
        <w:t xml:space="preserve">第二次采购的决策依据</w:t>
      </w:r>
      <w:r>
        <w:t xml:space="preserve">"，可以检验 ROI 是否真实存在。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与前员工</w:t>
      </w:r>
      <w:r>
        <w:t xml:space="preserve">：了解演示的准备过程、接管的实际频率和组织问题。</w:t>
      </w:r>
    </w:p>
    <w:p>
      <w:pPr>
        <w:pStyle w:val="Heading2"/>
      </w:pPr>
      <w:bookmarkStart w:name="bm133" w:id="1133"/>
      <w:r>
        <w:t xml:space="preserve">15.6 投委会材料模板（简版）</w:t>
      </w:r>
      <w:bookmarkEnd w:id="1133"/>
    </w:p>
    <w:p>
      <w:pPr>
        <w:spacing w:after="60" w:line="312" w:lineRule="auto"/>
        <w:ind w:left="420" w:hanging="300"/>
      </w:pPr>
      <w:r>
        <w:t xml:space="preserve">1. </w:t>
      </w:r>
      <w:r>
        <w:rPr>
          <w:b/>
          <w:bCs/>
        </w:rPr>
        <w:t xml:space="preserve">定位卡</w:t>
      </w:r>
      <w:r>
        <w:t xml:space="preserve">：环节、场景、模式、成熟度等级（L1–L5）、证据等级；</w:t>
      </w:r>
    </w:p>
    <w:p>
      <w:pPr>
        <w:spacing w:after="60" w:line="312" w:lineRule="auto"/>
        <w:ind w:left="420" w:hanging="300"/>
      </w:pPr>
      <w:r>
        <w:t xml:space="preserve">2. </w:t>
      </w:r>
      <w:r>
        <w:rPr>
          <w:b/>
          <w:bCs/>
        </w:rPr>
        <w:t xml:space="preserve">核心投资假设</w:t>
      </w:r>
      <w:r>
        <w:t xml:space="preserve">（不超过 3 条），并给出每条假设的推翻条件；</w:t>
      </w:r>
    </w:p>
    <w:p>
      <w:pPr>
        <w:spacing w:after="60" w:line="312" w:lineRule="auto"/>
        <w:ind w:left="420" w:hanging="300"/>
      </w:pPr>
      <w:r>
        <w:t xml:space="preserve">3. </w:t>
      </w:r>
      <w:r>
        <w:rPr>
          <w:b/>
          <w:bCs/>
        </w:rPr>
        <w:t xml:space="preserve">订单瀑布表与收入质量分层</w:t>
      </w:r>
      <w:r>
        <w:t xml:space="preserve">；</w:t>
      </w:r>
    </w:p>
    <w:p>
      <w:pPr>
        <w:spacing w:after="60" w:line="312" w:lineRule="auto"/>
        <w:ind w:left="420" w:hanging="300"/>
      </w:pPr>
      <w:r>
        <w:t xml:space="preserve">4. </w:t>
      </w:r>
      <w:r>
        <w:rPr>
          <w:b/>
          <w:bCs/>
        </w:rPr>
        <w:t xml:space="preserve">单位经济</w:t>
      </w:r>
      <w:r>
        <w:t xml:space="preserve">（单台贡献毛利、回本期）与 TCO 敏感性；</w:t>
      </w:r>
    </w:p>
    <w:p>
      <w:pPr>
        <w:spacing w:after="60" w:line="312" w:lineRule="auto"/>
        <w:ind w:left="420" w:hanging="300"/>
      </w:pPr>
      <w:r>
        <w:t xml:space="preserve">5. </w:t>
      </w:r>
      <w:r>
        <w:rPr>
          <w:b/>
          <w:bCs/>
        </w:rPr>
        <w:t xml:space="preserve">估值</w:t>
      </w:r>
      <w:r>
        <w:t xml:space="preserve">：情景法加可比公司，附敏感性表；</w:t>
      </w:r>
    </w:p>
    <w:p>
      <w:pPr>
        <w:spacing w:after="60" w:line="312" w:lineRule="auto"/>
        <w:ind w:left="420" w:hanging="300"/>
      </w:pPr>
      <w:r>
        <w:t xml:space="preserve">6. </w:t>
      </w:r>
      <w:r>
        <w:rPr>
          <w:b/>
          <w:bCs/>
        </w:rPr>
        <w:t xml:space="preserve">评分卡</w:t>
      </w:r>
      <w:r>
        <w:t xml:space="preserve">（分赛道权重）和一票否决项核查；</w:t>
      </w:r>
    </w:p>
    <w:p>
      <w:pPr>
        <w:spacing w:after="60" w:line="312" w:lineRule="auto"/>
        <w:ind w:left="420" w:hanging="300"/>
      </w:pPr>
      <w:r>
        <w:t xml:space="preserve">7. </w:t>
      </w:r>
      <w:r>
        <w:rPr>
          <w:b/>
          <w:bCs/>
        </w:rPr>
        <w:t xml:space="preserve">主要风险与缓释措施</w:t>
      </w:r>
      <w:r>
        <w:t xml:space="preserve">（条款、分期、对赌）；</w:t>
      </w:r>
    </w:p>
    <w:p>
      <w:pPr>
        <w:spacing w:after="60" w:line="312" w:lineRule="auto"/>
        <w:ind w:left="420" w:hanging="300"/>
      </w:pPr>
      <w:r>
        <w:t xml:space="preserve">8. </w:t>
      </w:r>
      <w:r>
        <w:rPr>
          <w:b/>
          <w:bCs/>
        </w:rPr>
        <w:t xml:space="preserve">投后监测指标</w:t>
      </w:r>
      <w:r>
        <w:t xml:space="preserve">（来自第十二篇前置指标）。</w:t>
      </w:r>
    </w:p>
    <w:p>
      <w:pPr>
        <w:pStyle w:val="Heading1"/>
        <w:pageBreakBefore/>
      </w:pPr>
      <w:bookmarkStart w:name="bm134" w:id="1134"/>
      <w:r>
        <w:t xml:space="preserve">第十六篇　综合判断：建立自己的具身智能投资认知体系</w:t>
      </w:r>
      <w:bookmarkEnd w:id="1134"/>
    </w:p>
    <w:p>
      <w:pPr>
        <w:pStyle w:val="Heading2"/>
      </w:pPr>
      <w:bookmarkStart w:name="bm135" w:id="1135"/>
      <w:r>
        <w:t xml:space="preserve">16.1 26 条可验证的投资命题</w:t>
      </w:r>
      <w:bookmarkEnd w:id="1135"/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每条命题都包含：结论、核心事实、机制、反面证据或替代解释、成立的必要条件、时间尺度、领先指标、对环节与企业的影响、投资指导、推翻证据和置信度。命题汇总及反证清单见附录 7，数据底表 16 提供可筛选版本。</w:t>
      </w:r>
    </w:p>
    <w:p>
      <w:pPr>
        <w:pStyle w:val="Heading3"/>
      </w:pPr>
      <w:r>
        <w:t xml:space="preserve">T01　当前人形机器人市场本质上是'研发工具、展示与政策项目市场'，而非'劳动力替代市场'。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：2025 年全球人形出货约 1.8 万台、销售额约 4.4 亿美元，超八成流向文娱科研（IDC，转引）；2026H1 国内公开中标中教育科研占 55.5%、政府及国资平台 20.6%、工业企业仅 21.1%；GXO 称 2026 年生产环境中人形为零。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：在价格/性能低于劳动替代阈值时，只有预算不以 ROI 为约束的买方（科研经费、财政项目、营销预算）会购买。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：智元、优必选披露了工厂部署；现代计划部署 2.5 万台以上 Atlas——但多为 2028 年以后或大客户内部消化。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：人形综合成本与吞吐率在 2028 年前达不到 TCO 模型中的回本门槛。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：2026–2028　｜　</w:t>
      </w:r>
      <w:r>
        <w:rPr>
          <w:b/>
          <w:bCs/>
        </w:rPr>
        <w:t xml:space="preserve">置信度</w:t>
      </w:r>
      <w:r>
        <w:t xml:space="preserve">：高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：工业生产性收入占比；工业客户复购台数；中标结构中企业订单占比。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：当前收入领先者（卖给科研/教育/政府者）不一定是 2028 年后的赢家；估值不应外推当前收入增速。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：对整机公司按'非 ROI 型需求'与'生产性需求'拆分收入，分别估值；后者给予溢价。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：2027 年底前工业企业采购占比超过 50%，且出现单客户百台级复购。</w:t>
      </w:r>
    </w:p>
    <w:p>
      <w:pPr>
        <w:pStyle w:val="Heading3"/>
      </w:pPr>
      <w:r>
        <w:t xml:space="preserve">T02　2026 年下半年是整机赛道由'资本扩张期'转入'商业验证期'的拐点，估值将分化而非整体崩塌。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：宇树上市后自开盘高点回撤约 53%；证监会窗口指导提高人形 IPO 门槛；1X 估值由 100 亿美元目标降至约 60 亿美元洽谈；租赁日租由万元级跌至千元级；与此同时智元传出约 500 亿元新一轮、Generalist 估值上调。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：二级市场价格发现与 IPO 门槛提高，反向传导到一级市场后期轮次定价；资金向少数头部集中。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：国家创投引导基金与地方产业基金可能托底估值，延迟出清。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：退出渠道持续收紧，且 2027 年订单兑现率低于预期。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：2026Q4–2028　｜　</w:t>
      </w:r>
      <w:r>
        <w:rPr>
          <w:b/>
          <w:bCs/>
        </w:rPr>
        <w:t xml:space="preserve">置信度</w:t>
      </w:r>
      <w:r>
        <w:t xml:space="preserve">：中高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：下轮估值持平或下调的案例数；老股折价；IPO 过会率；地方基金出资节奏。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：尾部整机企业融资断档；头部企业估值溢价扩大；产业资本主导的并购增多。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：未来 12–18 个月只在估值重置后入场，并要求优先清算权、回购等结构化条款。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：2027 年出现多家人形企业以高于前轮估值顺利上市，且上市后股价稳定。</w:t>
      </w:r>
    </w:p>
    <w:p>
      <w:pPr>
        <w:pStyle w:val="Heading3"/>
      </w:pPr>
      <w:r>
        <w:t xml:space="preserve">T03　人形形态在结构化工厂中的必要性被高估；2030 年前多数工业具身需求将被轮式移动操作与专用自动化拿走。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：TCO 模型：2026 年人形在双班物料搬运中不回本，轮式移动操作约 2.7 年、固定自动化约 1.6 年；GXO 2026 年 2 万台机器人无一为人形；亚马逊百万台机器人不依赖人形；轮式双臂的银河通用出货全球第三。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：双足带来成本、功耗、安全与维护复杂度，只有在台阶、狭窄空间、为人设计的旧产线中才有不可替代价值。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：若人形出货规模远超其他形态，规模经济可能使人形成为最便宜的通用平台（'形态标准化'论）。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：双足相对轮式底盘的成本溢价在 2028 年前不能降至 20% 以内。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：2026–2030　｜　</w:t>
      </w:r>
      <w:r>
        <w:rPr>
          <w:b/>
          <w:bCs/>
        </w:rPr>
        <w:t xml:space="preserve">置信度</w:t>
      </w:r>
      <w:r>
        <w:t xml:space="preserve">：中高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：同一客户内人形与轮式方案的采购比例；双足/轮式 BOM 差价。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：利好形态中立的模型/系统公司与轮式移动操作公司；纯双足整机在工业场景承压。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：工业场景优先投资'形态无关、任务闭环'的公司；整机投资关注轮式双臂与混合形态。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：2028 年前双足人形在同一工业任务中的 TCO 低于轮式方案。</w:t>
      </w:r>
    </w:p>
    <w:p>
      <w:pPr>
        <w:pStyle w:val="Heading3"/>
      </w:pPr>
      <w:r>
        <w:t xml:space="preserve">T04　能力瓶颈已从'运动'转向'操作可靠性'，下一站将是'系统集成与运维成本'。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：运动控制依托仿真强化学习已普遍可用（舞蹈、跑跳成为标配）；开放环境整任务操作成功率仍在 10%–60%（Figure 家庭 56%、BEHAVIOR 约 12%，口径各异）；宝马试点按公开数据推算平均吞吐约为产线节拍需求的一半。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：长尾失败使'每多一个 9 的可靠性'所需数据与工程投入呈指数上升；部署后的看护人员成为最大运营成本。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：新一代 VLA/世界模型可能在 1–2 年内带来可靠性的跃迁。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：人工接管率与看护配比在 2028 年前仍处于'1 人看护 ≤10 台'区间。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：2026–2029　｜　</w:t>
      </w:r>
      <w:r>
        <w:rPr>
          <w:b/>
          <w:bCs/>
        </w:rPr>
        <w:t xml:space="preserve">置信度</w:t>
      </w:r>
      <w:r>
        <w:t xml:space="preserve">：高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：每小时人工接管次数；1 人看护台数；客户现场 MTBF。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：价值向能降低接管率与运维成本的软件、工具与服务迁移。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：尽调把'接管率与看护配比'列为一票否决项。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：第三方实测出现 1 人看护 50 台以上、接管率 &lt;0.1 次/小时的规模化部署。</w:t>
      </w:r>
    </w:p>
    <w:p>
      <w:pPr>
        <w:pStyle w:val="Heading3"/>
      </w:pPr>
      <w:r>
        <w:t xml:space="preserve">T05　运动控制、基础关节与整机装配正在快速商品化；毛利将向两端迁移：高可靠精密部件，以及场景交付能力。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：绿的谐波综合毛利率由 36.9% 降至 2026H1 的 32.3%，均价长期下行；6 自由度灵巧手已降至数千元；宇树 R1 起售价降至 2.99 万元；租赁价格暴跌。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：中国供应链复用电动车与消费电子产能，标准件价格战早于真实需求到来。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：宇树 60% 毛利率说明品牌+成本领先者在利基市场仍可获取高毛利。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：价格战持续且整机标准化程度提升。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：2026–2030　｜　</w:t>
      </w:r>
      <w:r>
        <w:rPr>
          <w:b/>
          <w:bCs/>
        </w:rPr>
        <w:t xml:space="preserve">置信度</w:t>
      </w:r>
      <w:r>
        <w:t xml:space="preserve">：中高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：关节模组单价年降幅；整机毛利率分布；零部件企业人形业务毛利。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：标准件供应商利润被压缩；具备工艺壁垒的精密件与场景集成商议价力增强。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：零部件只投'工艺壁垒+多客户+存量业务托底'的企业；回避纯组装型整机。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：整机行业平均毛利率在 2028 年仍维持 40% 以上。</w:t>
      </w:r>
    </w:p>
    <w:p>
      <w:pPr>
        <w:pStyle w:val="Heading3"/>
      </w:pPr>
      <w:r>
        <w:t xml:space="preserve">T06　中国在硬件成本与出货规模上的优势在 3–5 年内具有持续性，但这是'制造优势'，不必然转化为'利润优势'。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：摩根士丹利估算 Optimus Gen2 使用中国供应链的 BOM 约 4.6 万美元，排除中国则约 13.1 万美元；2026H1 全球出货前五均为中国厂商、合计 86%。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：产业集群（电动车、消费电子、工业自动化）带来规模、迭代速度与工程师密度；同时激烈竞争压缩利润。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：美国关税、采购禁令与可能的进口限制将切割市场；特斯拉若实现垂直整合量产可抹平成本差。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：全球市场不被完全割裂，且中国企业保持出口能力。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：2026–2031　｜　</w:t>
      </w:r>
      <w:r>
        <w:rPr>
          <w:b/>
          <w:bCs/>
        </w:rPr>
        <w:t xml:space="preserve">置信度</w:t>
      </w:r>
      <w:r>
        <w:t xml:space="preserve">：中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：海外收入占比；海外售价相对国内溢价；美欧政策进展。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：利好具备出口与本地化能力的中国零部件与整机企业。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：优先投资'以中国成本服务全球（非美）市场'的硬件企业；美国收入按政策风险折价。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：美国以外的主要市场也对中国机器人实施限制，或美国本土成本快速接近中国。</w:t>
      </w:r>
    </w:p>
    <w:p>
      <w:pPr>
        <w:pStyle w:val="Heading3"/>
      </w:pPr>
      <w:r>
        <w:t xml:space="preserve">T07　在中国，机器人基础模型层难以单独形成高利润的独立商业模式；模型价值需与本体、场景或数据闭环绑定。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：Qwen-VL 等开源底座被广泛使用；NVIDIA GR00T、PI 上一代模型及大量国产模型开源；字节、阿里、蚂蚁、腾讯均自研；国内模型创业公司估值 100–200 亿元但收入极少；海外 Skild 2025 年未审计收入约 3,000 万美元。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：与大语言模型类似，模型层面临开源与大厂补贴；整机厂倾向自研；中国企业软件付费意愿低。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：若某一模型在泛化上取得明显代际领先，可通过授权与 API 获取收入（PI 已启动 API 测试）。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：开源模型与闭源模型的能力差距维持在 12 个月以内。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：2026–2030　｜　</w:t>
      </w:r>
      <w:r>
        <w:rPr>
          <w:b/>
          <w:bCs/>
        </w:rPr>
        <w:t xml:space="preserve">置信度</w:t>
      </w:r>
      <w:r>
        <w:t xml:space="preserve">：中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：第三方整机厂付费授权案例数；模型 API 收入；开源模型与头部闭源模型的评测差距。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：纯模型公司估值溢价面临压缩；拥有部署通道的模型+本体公司相对受益。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：对模型公司估值以'数据闭环+渠道'而非'论文与榜单'定价；高于 100 亿元的纯模型轮次谨慎参与。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：2028 年前出现年授权收入超 10 亿元的中国独立机器人模型公司。</w:t>
      </w:r>
    </w:p>
    <w:p>
      <w:pPr>
        <w:pStyle w:val="Heading3"/>
      </w:pPr>
      <w:r>
        <w:t xml:space="preserve">T08　数据壁垒的来源正从'采集规模'转向'部署回流与任务闭环'；纯采集服务将快速商品化。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：真机遥操作约千元/小时量级（二手口径），人类视频/无本体采集成本低一个数量级；贵州按遥操作 30 元/小时、无设备示教 8 元/小时、视频 3 元/小时补贴；头部公司数据规模两年增长约两个数量级。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：人类视频与无本体数据供给充足，地方数采中心以财政资金扩大供给；只有已部署任务上的失败与纠正数据稀缺。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：若高质量真机数据仍是能力主瓶颈，专业数据工厂可能形成规模壁垒（类比自动驾驶标注）。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：无本体数据到真机的迁移效率持续提升。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：2026–2029　｜　</w:t>
      </w:r>
      <w:r>
        <w:rPr>
          <w:b/>
          <w:bCs/>
        </w:rPr>
        <w:t xml:space="preserve">置信度</w:t>
      </w:r>
      <w:r>
        <w:t xml:space="preserve">：中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：单位有效数据成本；部署回流数据占训练数据比例；数采中心利用率。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：数据外包与采集场利润受压；拥有部署车队的企业获得数据护城河。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：回避'代采数据'型项目；关注数据工具链（采集设备、清洗、评估）与车队回流型公司。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：2028 年数据服务商出现 30% 以上稳定毛利且客户集中度低。</w:t>
      </w:r>
    </w:p>
    <w:p>
      <w:pPr>
        <w:pStyle w:val="Heading3"/>
      </w:pPr>
      <w:r>
        <w:t xml:space="preserve">T09　Scaling Law 在机器人领域'有条件成立'：依赖数据多样性与质量，且边际改进成本曲线比大语言模型更陡。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：GEN-0 与清华数据缩放研究显示规模与多样性带来可预测提升；π0.7 显示不加元数据时混合质量数据越多可能越差；TRI 显示小样本真机评测方差大。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：物理数据昂贵、本体差异大、评测噪声大，导致'更多数据→线性能力'的假设不稳。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：世界模型与仿真可能大幅降低有效数据成本，使曲线变平。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：无本体/仿真数据迁移效率未出现数量级跃升。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：2026–2030　｜　</w:t>
      </w:r>
      <w:r>
        <w:rPr>
          <w:b/>
          <w:bCs/>
        </w:rPr>
        <w:t xml:space="preserve">置信度</w:t>
      </w:r>
      <w:r>
        <w:t xml:space="preserve">：中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：公开的规模—性能曲线；同等数据量下的跨本体迁移效果。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：依赖'数据规模叙事'估值的公司风险上升。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：尽调要求企业给出可复现的规模—性能曲线；不为'宣称数据小时数'付溢价。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：第三方复现显示真机能力随数据规模稳定幂律提升且无饱和。</w:t>
      </w:r>
    </w:p>
    <w:p>
      <w:pPr>
        <w:pStyle w:val="Heading3"/>
      </w:pPr>
      <w:r>
        <w:t xml:space="preserve">T10　政策驱动的订单在 2026–2027 年构成中国整机收入的重要支撑，但将在 2027–2028 年退坡或转型，依赖者面临收入断崖。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：优必选大单多为数据采集与训练中心项目（九江 1.43 亿元、自贡 1.59 亿元、广西 1.26 亿元、呼和浩特 7,780 万元）；工信部与国资委专项行动目标 2026 年底万台级落地；国企约占公开招采金额 74%（转引）。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：数采中心属一次性资本开支，地方财政约束与'准入退出机制'将限制重复建设。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：'十五五'若持续把具身智能列为战略方向，可能形成多年期项目流。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：地方财政承压且数采中心利用率不高。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：2026–2028　｜　</w:t>
      </w:r>
      <w:r>
        <w:rPr>
          <w:b/>
          <w:bCs/>
        </w:rPr>
        <w:t xml:space="preserve">置信度</w:t>
      </w:r>
      <w:r>
        <w:t xml:space="preserve">：中高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：数采中心类中标金额季度趋势；非政府收入占比；地方专项资金预算。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：以政府项目为主的整机企业收入波动加大；数采中心运营方可能成为二手设备来源。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：政府项目收入按一次性收入给予低倍数；要求披露分用途收入。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：2028 年政府类采购仍保持增长且占比稳定。</w:t>
      </w:r>
    </w:p>
    <w:p>
      <w:pPr>
        <w:pStyle w:val="Heading3"/>
      </w:pPr>
      <w:r>
        <w:t xml:space="preserve">T11　订单口径混乱是当前最大的尽调风险；意向/框架订单应按 10%–30% 概率折算。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：Agility 里程碑式订单超 3 亿美元而 2025 年收入仅 180 万美元；优必选 2025 年 Walker 订单约 13 亿元而全尺寸收入 8.21 亿元；媒体调查揭示'互保式'注水订单；行业人士公开批评以关联交易制造收入。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：融资与股价激励企业放大订单口径；客户以框架协议换取样机与价格优惠。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：部分框架协议（如现代对 Atlas）由集团内部消化，兑现概率较高。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：订单披露缺少统一会计与监管口径。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：持续　｜　</w:t>
      </w:r>
      <w:r>
        <w:rPr>
          <w:b/>
          <w:bCs/>
        </w:rPr>
        <w:t xml:space="preserve">置信度</w:t>
      </w:r>
      <w:r>
        <w:t xml:space="preserve">：高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：订单—收入转化率；预付款比例；期后回款。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：订单驱动的估值面临重估；收入质量高的企业获得溢价。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：采用'七环节'订单拆解；只对已验收并回款部分给予估值权重。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：监管出台统一订单披露规则，且主要公司订单转化率 &gt;70%。</w:t>
      </w:r>
    </w:p>
    <w:p>
      <w:pPr>
        <w:pStyle w:val="Heading3"/>
      </w:pPr>
      <w:r>
        <w:t xml:space="preserve">T12　后期一级市场估值已透支：头部中国整机/模型公司 200–500 亿元的估值，需要约 2030 年收入达 40–100 亿元且毛利率 ≥30% 才能给新进投资人 3 倍回报。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：VC 情景模型：80 亿元投后的整机 B 轮期望 MOIC 约 0.73x，30 亿元时约 1.5x；宇树以 17 亿元收入、60% 毛利率与盈利获得约 2,000 亿元市值，属稀缺溢价。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：稀缺性溢价会随更多公司上市而稀释；后续稀释与优先清算权叠加压低普通股回报。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：若行业进入乐观情景（2030 年出货 120 万台），头部企业收入可远超假设。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：基准情景成立且上市公司估值向 10–30 倍收入回归。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：2026–2030　｜　</w:t>
      </w:r>
      <w:r>
        <w:rPr>
          <w:b/>
          <w:bCs/>
        </w:rPr>
        <w:t xml:space="preserve">置信度</w:t>
      </w:r>
      <w:r>
        <w:t xml:space="preserve">：中高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：上市可比公司估值/收入倍数；后期轮次估值增速与收入增速之比。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：后期资金回报率下降；早期估值合理的优质项目稀缺性上升。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：对估值/收入 &gt;50 倍的后期项目以结构化条款或放弃；资金向早期与重置后估值倾斜。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：2028 年前出现多家估值 300 亿元以上公司在二级市场维持估值并持续增长。</w:t>
      </w:r>
    </w:p>
    <w:p>
      <w:pPr>
        <w:pStyle w:val="Heading3"/>
      </w:pPr>
      <w:r>
        <w:t xml:space="preserve">T13　美国市场正在分化：有收入的平台与资本密集整机仍享高估值，家庭人形率先被重定价。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：1X 由 100 亿美元目标降至约 60 亿美元洽谈；Agility 以 180 万美元收入获 25 亿美元 SPAC 估值；Figure 390 亿美元估值收入极少；Skild 宣称 1 亿美元收入运行率。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：美国资本对'收入证据'的要求上升，家庭场景遥操作依赖与隐私问题削弱叙事。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：大模型公司与科技巨头的战略投资可能继续支撑整机估值。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：美国利率与 AI 资本开支周期不发生剧烈逆转。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：2026–2028　｜　</w:t>
      </w:r>
      <w:r>
        <w:rPr>
          <w:b/>
          <w:bCs/>
        </w:rPr>
        <w:t xml:space="preserve">置信度</w:t>
      </w:r>
      <w:r>
        <w:t xml:space="preserve">：中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：美国人形公司下轮估值；SPAC 后股价表现；Optimus 外部交付进展。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：为中国二级市场提供估值锚；美元基金对中国标的的定价参照。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：将美国可比估值作为上限参照而非下限；关注 Agility SPAC 后表现作为情绪指标。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：Agility 上市后估值大幅上升且 1X 以高于 100 亿美元完成融资。</w:t>
      </w:r>
    </w:p>
    <w:p>
      <w:pPr>
        <w:pStyle w:val="Heading3"/>
      </w:pPr>
      <w:r>
        <w:t xml:space="preserve">T14　特斯拉产能爬坡是全球零部件需求的最大单一变量，但时间表持续推迟；零部件投资不应以'特斯拉定点'为核心假设。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：Optimus V3 发布多次推迟；2026Q3 财报会称弗里蒙特设计年化约 2 万台/周的产线已早期生产、爬坡至少一年，对外交付约 2027 年底起；管理层称手部最难且不给单位成本目标。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：复杂机电产品爬坡受最慢部件约束，且特斯拉倾向垂直整合与压价。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：特斯拉一旦突破，单家需求即可达到百万台级，带动供应链。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：特斯拉在 2027 年内未实现周产千台级。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：2026–2029　｜　</w:t>
      </w:r>
      <w:r>
        <w:rPr>
          <w:b/>
          <w:bCs/>
        </w:rPr>
        <w:t xml:space="preserve">置信度</w:t>
      </w:r>
      <w:r>
        <w:t xml:space="preserve">：中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：特斯拉季度产量披露；供应商定点函；AI5 集成进度。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：概念股估值波动大；有存量业务的供应商抗风险更强。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：把特斯拉相关订单作为期权价值，不纳入基准收入。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：2027 年特斯拉 Optimus 实现周产量 5,000 台以上并对外交付。</w:t>
      </w:r>
    </w:p>
    <w:p>
      <w:pPr>
        <w:pStyle w:val="Heading3"/>
      </w:pPr>
      <w:r>
        <w:t xml:space="preserve">T15　汽车厂是'试点最多、规模化最慢'的场景；物流搬箱与特种巡检是 2027 年前最可能闭环的场景。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：行业分析称尚无机型达到汽车产线速度；宝马试点 1,250 运行小时；现代 Metaplant 规模部署在 2028 年；云深处 2025 年以四足巡检实现盈利；极智嘉以非人形 AMR 实现经调整盈利。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：汽车产线节拍与质量要求高、已有高度自动化；物流搬箱容忍较慢速度且可 24 小时运行；巡检替代高危人工、价值明确。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：车企拥有资金与内部场景，可容忍长期试点并最终推动规模化（现代、特斯拉、小米、小鹏）。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：汽车产线节拍要求不下降。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：2026–2028　｜　</w:t>
      </w:r>
      <w:r>
        <w:rPr>
          <w:b/>
          <w:bCs/>
        </w:rPr>
        <w:t xml:space="preserve">置信度</w:t>
      </w:r>
      <w:r>
        <w:t xml:space="preserve">：中高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：各场景复购台数与人员配比；车厂正式工位部署数。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：物流、巡检方向公司收入确定性更高；车厂试点类收入应折价。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：场景优先级：特种巡检/物流搬箱 &gt; 3C 柔性上下料 &gt; 汽车总装 &gt; 商业服务 &gt; 家庭。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：2027 年前车厂出现千台级正式工位部署并公开 ROI。</w:t>
      </w:r>
    </w:p>
    <w:p>
      <w:pPr>
        <w:pStyle w:val="Heading3"/>
      </w:pPr>
      <w:r>
        <w:t xml:space="preserve">T16　家庭通用人形在 2030 年前难以形成规模化付费市场；遥操作兜底是过渡模式但难以盈利。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：1X NEO 定价 2 万美元或 499 美元/月；家庭模型显示需日均 ≥2 小时、质量 ≥80% 的有效工作才覆盖订阅费；Figure 自评陌生家庭整任务成功率 56%。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：家庭环境长尾最多、安全与隐私要求最高，遥操作成本随规模线性增长。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：早期用户与老龄照护需求可能形成高价值利基市场。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：家庭场景整任务成功率与安全性 2030 年前未达家电级。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：2026–2032　｜　</w:t>
      </w:r>
      <w:r>
        <w:rPr>
          <w:b/>
          <w:bCs/>
        </w:rPr>
        <w:t xml:space="preserve">置信度</w:t>
      </w:r>
      <w:r>
        <w:t xml:space="preserve">：中高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：交付台数、日活与日均使用时长、遥操作占比、退货率。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：家庭人形公司估值风险最高；窄域家庭机器人（清洁、陪护）更现实。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：家庭人形仅作小额期权；优先窄域、低价、可离线的家庭产品。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：2028 年前出现 10 万台级家庭人形交付且月流失率 &lt;3%。</w:t>
      </w:r>
    </w:p>
    <w:p>
      <w:pPr>
        <w:pStyle w:val="Heading3"/>
      </w:pPr>
      <w:r>
        <w:t xml:space="preserve">T17　上游'高精度+高可靠'部件（行星滚柱丝杠、高自由度灵巧手+触觉、六维力、高功率密度关节）是 2026–2030 年最具独立投资价值的环节，但必须验证多客户导入与非人形存量收入。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：行星滚柱丝杠国产化率约 20%、良率约 60%（海外 85%+，券商口径）；高端六维力仍以海外为主；三大件约占整机物料成本 73%（本报告模型与券商口径一致）。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：磨削设备、热处理与标定工艺构成壁垒；同一部件可服务工业机器人、医疗、航空等存量市场。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：一旦量产，国内价格战会迅速压缩利润；Tier1 与整机厂可能自制（现代自产 30 万台执行器/年）。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：人形需求兑现前，企业有存量业务托底。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：2026–2030　｜　</w:t>
      </w:r>
      <w:r>
        <w:rPr>
          <w:b/>
          <w:bCs/>
        </w:rPr>
        <w:t xml:space="preserve">置信度</w:t>
      </w:r>
      <w:r>
        <w:t xml:space="preserve">：中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：良率、寿命测试数据、海外定点、单价年降幅。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：精密部件企业受益；标准电机、普通减速器受压。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：优先投资具备工艺壁垒且客户多元的精密部件企业，估值以存量业务为底。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：2028 年前精密部件价格下降超过 60% 且毛利率降至 20% 以下。</w:t>
      </w:r>
    </w:p>
    <w:p>
      <w:pPr>
        <w:pStyle w:val="Heading3"/>
      </w:pPr>
      <w:r>
        <w:t xml:space="preserve">T18　端侧算力将呈'NVIDIA 主导高端、国产替代中低端'格局；国产替代受益于出口管制，但胜负取决于软件生态。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：Jetson AGX Thor 开发套件 3,499 美元，被 Agility、BD、银河等采用；地平线/地瓜 RDK 系列在国内推广，地瓜 2026 年完成 1.5 亿美元 B2 轮。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：机器人需要实时控制+大模型推理的异构算力；工具链与模型适配决定迁移成本。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：整机企业可能直接采用车规芯片或自研芯片（特斯拉 AI5、小鹏）。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：出口管制持续且国产芯片工具链成熟。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：2026–2030　｜　</w:t>
      </w:r>
      <w:r>
        <w:rPr>
          <w:b/>
          <w:bCs/>
        </w:rPr>
        <w:t xml:space="preserve">置信度</w:t>
      </w:r>
      <w:r>
        <w:t xml:space="preserve">：中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：国产 SoC 在头部整机的定点数；模型部署适配数量。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：国产端侧芯片与工具链企业受益。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：关注已获头部整机定点的国产端侧计算平台；回避无生态的芯片初创。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：出口管制放松且 NVIDIA 下沉中低端价格带。</w:t>
      </w:r>
    </w:p>
    <w:p>
      <w:pPr>
        <w:pStyle w:val="Heading3"/>
      </w:pPr>
      <w:r>
        <w:t xml:space="preserve">T19　评测、安全认证与标准将成为'信任基础设施'型机会，但市场规模有限、易被国家队主导。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：2026 年 6 月 RoboArena 评测操纵事件；工信部标委会 2025 年 12 月成立、2026 年发布标准体系；证监会要求真实收入。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：买方从'看演示'转向'看生产指标'，需要第三方评测与认证；保险与租赁金融也需要可靠性数据。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：国家级检测机构可能垄断；企业更愿意自建评测。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：标准与准入机制落地。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：2026–2029　｜　</w:t>
      </w:r>
      <w:r>
        <w:rPr>
          <w:b/>
          <w:bCs/>
        </w:rPr>
        <w:t xml:space="preserve">置信度</w:t>
      </w:r>
      <w:r>
        <w:t xml:space="preserve">：中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：第三方评测的付费客户数；认证在采购中的强制性。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：评测与仿真工具公司获得基础设施地位。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：小额配置第三方评测+仿真工具组合型公司。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：2028 年前采购方仍不要求第三方评测或认证。</w:t>
      </w:r>
    </w:p>
    <w:p>
      <w:pPr>
        <w:pStyle w:val="Heading3"/>
      </w:pPr>
      <w:r>
        <w:t xml:space="preserve">T20　头部整机企业将向上游关节/手和下游模型纵向整合，独立'整机代工'与'通用模型'空间被挤压；专业分工机会在标准化部件与场景集成。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：特斯拉、宇树自研关节；Figure 自研 Helix 并终止与外部模型合作（历史事实）；现代自产执行器；智元控股上市公司并多线布局。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：早期性能—成本优化需要软硬件协同，整合者迭代更快。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：行业标准化后，类比 PC/手机，专业分工会重新出现（2030 年以后）。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：技术路线未收敛期间。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：2026–2030　｜　</w:t>
      </w:r>
      <w:r>
        <w:rPr>
          <w:b/>
          <w:bCs/>
        </w:rPr>
        <w:t xml:space="preserve">置信度</w:t>
      </w:r>
      <w:r>
        <w:t xml:space="preserve">：中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：头部整机自研零部件比例；第三方模型授权案例。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：中游'通用部件+通用模型'创业公司面临客户自制风险。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：评估每个项目被客户纵向整合的概率并在估值中折价。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：2028 年前出现开放、被多家整机采用的'机器人 Android'级平台。</w:t>
      </w:r>
    </w:p>
    <w:p>
      <w:pPr>
        <w:pStyle w:val="Heading3"/>
      </w:pPr>
      <w:r>
        <w:t xml:space="preserve">T21　RaaS 与租赁不是降低风险的魔法：它把客户的资本风险转移到机器人公司资产负债表，只有可用率与人员配比达标后才改善现金流。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：Agility 示意 RaaS 约 8,500 美元/月，需实现宣称替代量的约 51% 客户才获益；GXO 称尚未实现 ROI；人形日租已跌至千元级。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：RaaS 公司需先垫付硬件，单台回收期受硬件成本与服务成本决定。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：资产证券化或融资租赁可在规模化后降低资本成本。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：可用率 &lt;85% 或看护配比 &lt;1:10。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：2026–2029　｜　</w:t>
      </w:r>
      <w:r>
        <w:rPr>
          <w:b/>
          <w:bCs/>
        </w:rPr>
        <w:t xml:space="preserve">置信度</w:t>
      </w:r>
      <w:r>
        <w:t xml:space="preserve">：中高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：单台年化收入、利用率、回收期、坏账。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：RaaS 公司现金消耗加大；有金融合作伙伴的公司占优。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：RaaS 项目按'单台回收期+利用率'尽调，警惕变相融资。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：RaaS 单台回收期在 2028 年前降至 2 年以内并规模化。</w:t>
      </w:r>
    </w:p>
    <w:p>
      <w:pPr>
        <w:pStyle w:val="Heading3"/>
      </w:pPr>
      <w:r>
        <w:t xml:space="preserve">T22　中国具身智能退出窗口在 2026 年打开后正在收紧；并购（含控股上市公司）将成为重要补充退出方式。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：宇树 2026-08 上市；证监会窗口指导（经常性收入、亏损收窄或真正创新）；港交所约 46 家机器人企业排队；120 日规则使智元港股 IPO 暂缓；智元收购上纬新材控制权。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：监管在稀缺标的上市后转向质量控制，防止同质化企业集中上市。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：政策鼓励科技企业上市，窗口可能再度放宽。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：监管门槛保持。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：2026–2028　｜　</w:t>
      </w:r>
      <w:r>
        <w:rPr>
          <w:b/>
          <w:bCs/>
        </w:rPr>
        <w:t xml:space="preserve">置信度</w:t>
      </w:r>
      <w:r>
        <w:t xml:space="preserve">：中高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：过会率、排队时长、上市后破发率、并购交易数。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：收入质量高的企业上市溢价；无收入的高估值企业退出困难。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：投资协议中设计多路径退出；早期项目以并购为基准情景。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：2027 年多家无经常性收入的人形企业顺利上市。</w:t>
      </w:r>
    </w:p>
    <w:p>
      <w:pPr>
        <w:pStyle w:val="Heading3"/>
      </w:pPr>
      <w:r>
        <w:t xml:space="preserve">T23　中国整机企业数量（&gt;150 家）将在 2027–2029 年大规模出清，存活且具独立规模者 ≤20 家；出清主因是融资断档而非技术失败。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：发改委称整机企业超 150 家、半数以上为初创或跨界；达闼欠薪后被报道进入破产清算；K-Scale 关停；前五厂商占全球出货 86%。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：资本密集、同质化，头部集中的规模效应与客户信任效应。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：地方国资可能长期'输血'维持企业存续（僵尸化）。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：融资环境不显著宽松。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：2027–2029　｜　</w:t>
      </w:r>
      <w:r>
        <w:rPr>
          <w:b/>
          <w:bCs/>
        </w:rPr>
        <w:t xml:space="preserve">置信度</w:t>
      </w:r>
      <w:r>
        <w:t xml:space="preserve">：中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：整机企业融资频次、裁员与欠薪报道、价格战烈度。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：尾部企业资产被低价收购；头部份额上升。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：回避同质化尾部整机；为产业方准备不良资产并购机会。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：2029 年仍有超过 50 家独立整机企业保持增长。</w:t>
      </w:r>
    </w:p>
    <w:p>
      <w:pPr>
        <w:pStyle w:val="Heading3"/>
      </w:pPr>
      <w:r>
        <w:t xml:space="preserve">T24　地缘政治将把全球人形市场切割为'中国+新兴市场'与'美国及盟友'两个体系，中国企业对美收入面临结构性折价。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：American Security Robotics Act（联邦采购禁令）、GUARD Act（国家安全审查与潜在进口禁令）推进中；有报道称 FCC 拟限制外国人形机器人进口（待官方核实）；宇树被反复点名。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：带摄像头与联网能力的移动机器人被纳入国家安全框架。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：欧盟、中东、东南亚仍开放；美国大学与开发者对低价平台有刚需。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：美国立法或行政措施落地。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：2026–2028　｜　</w:t>
      </w:r>
      <w:r>
        <w:rPr>
          <w:b/>
          <w:bCs/>
        </w:rPr>
        <w:t xml:space="preserve">置信度</w:t>
      </w:r>
      <w:r>
        <w:t xml:space="preserve">：中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：法案进展、FCC 正式文件、中国企业对美出货。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：对美依赖高的中国企业受损；美国本土整机与零部件受益。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：美国收入按 30%–70% 折价；重视欧洲与新兴市场渠道。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：美国明确豁免民用研究与教育机器人。</w:t>
      </w:r>
    </w:p>
    <w:p>
      <w:pPr>
        <w:pStyle w:val="Heading3"/>
      </w:pPr>
      <w:r>
        <w:t xml:space="preserve">T25　'软件快、硬件慢'的错配使演示能力持续领先可部署能力 1–3 年，这是商业化幻觉的结构性来源。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：模型版本迭代以月计（π0→π0.7、Helix→Helix 2.5），而整机代际以 18–36 个月计（Optimus V3 多次推迟）；部署可靠性指标少有公开。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：演示只需一次成功，部署需要长期可靠；硬件迭代受供应链、模具与认证约束。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：统一模型与通用硬件平台成熟后，软件进步可直接转化为部署能力。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：硬件迭代周期不显著缩短。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：持续　｜　</w:t>
      </w:r>
      <w:r>
        <w:rPr>
          <w:b/>
          <w:bCs/>
        </w:rPr>
        <w:t xml:space="preserve">置信度</w:t>
      </w:r>
      <w:r>
        <w:t xml:space="preserve">：高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：公开演示与第三方部署指标的差距。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：以演示视频驱动的估值面临回撤。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：对任何演示要求对应的部署指标；把'演示到部署的时滞'纳入估值折现。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：主要企业演示能力与客户现场指标的差距在 2028 年前缩小到 6 个月以内。</w:t>
      </w:r>
    </w:p>
    <w:p>
      <w:pPr>
        <w:pStyle w:val="Heading3"/>
      </w:pPr>
      <w:r>
        <w:t xml:space="preserve">T26　未来三年的超额回报更可能来自：①估值重置后的头部平台与整机的结构化投资；②精密部件与工具链'卖铲子'；③任务闭环的场景公司——而非追逐'通用人形'叙事的新项目。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核心事实</w:t>
      </w:r>
      <w:r>
        <w:t xml:space="preserve">：综合本报告：需求以非 ROI 型为主、工业 ROI 门槛在 2028 年前后才可能跨越、后期估值透支、退出窗口收紧、零部件与工具链具备跨场景收入。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机制</w:t>
      </w:r>
      <w:r>
        <w:t xml:space="preserve">：在行业从资本驱动转向收入驱动的过程中，现金流与收入质量重新成为估值锚。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反面证据/替代解释</w:t>
      </w:r>
      <w:r>
        <w:t xml:space="preserve">：若乐观情景出现（2027 年能力突破），通用人形头部将获得远超其他环节的回报。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成立的必要条件</w:t>
      </w:r>
      <w:r>
        <w:t xml:space="preserve">：基准或悲观情景成立。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时间尺度</w:t>
      </w:r>
      <w:r>
        <w:t xml:space="preserve">：2026–2029　｜　</w:t>
      </w:r>
      <w:r>
        <w:rPr>
          <w:b/>
          <w:bCs/>
        </w:rPr>
        <w:t xml:space="preserve">置信度</w:t>
      </w:r>
      <w:r>
        <w:t xml:space="preserve">：中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领先指标</w:t>
      </w:r>
      <w:r>
        <w:t xml:space="preserve">：见第十二篇情景前置指标。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对环节与企业的影响</w:t>
      </w:r>
      <w:r>
        <w:t xml:space="preserve">：组合构建应在'确定性收入资产'与'高赔率期权'之间配比。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投资指导</w:t>
      </w:r>
      <w:r>
        <w:t xml:space="preserve">：组合建议：精密部件/工具链 30%–35%、场景闭环 30%–35%、平台/整机（重置估值+结构化）20%–25%、前沿期权 10%–15%。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推翻证据</w:t>
      </w:r>
      <w:r>
        <w:t xml:space="preserve">：乐观情景的触发事件在 2027 年前集中出现（见第十二篇）。</w:t>
      </w:r>
    </w:p>
    <w:p>
      <w:pPr>
        <w:pStyle w:val="Heading2"/>
      </w:pPr>
      <w:bookmarkStart w:name="bm136" w:id="1136"/>
      <w:r>
        <w:t xml:space="preserve">16.2 最终回答：如果今天重建一支专注中国具身智能的 VC 团队</w:t>
      </w:r>
      <w:bookmarkEnd w:id="1136"/>
    </w:p>
    <w:p>
      <w:pPr>
        <w:pStyle w:val="Heading3"/>
      </w:pPr>
      <w:r>
        <w:t xml:space="preserve">一、应该如何理解这个产业（五句话）</w:t>
      </w:r>
    </w:p>
    <w:p>
      <w:pPr>
        <w:spacing w:after="60" w:line="312" w:lineRule="auto"/>
        <w:ind w:left="420" w:hanging="300"/>
      </w:pPr>
      <w:r>
        <w:t xml:space="preserve">1. </w:t>
      </w:r>
      <w:r>
        <w:rPr>
          <w:b/>
          <w:bCs/>
        </w:rPr>
        <w:t xml:space="preserve">这是一个"硬件制造业 + AI 软件 + 场景服务"的复合产业，不是 AI 软件产业</w:t>
      </w:r>
      <w:r>
        <w:t xml:space="preserve">。它的经济规律更接近汽车与工业自动化：学习曲线、可靠性工程、渠道和服务网络，而不是互联网的边际成本为零。</w:t>
      </w:r>
    </w:p>
    <w:p>
      <w:pPr>
        <w:spacing w:after="60" w:line="312" w:lineRule="auto"/>
        <w:ind w:left="420" w:hanging="300"/>
      </w:pPr>
      <w:r>
        <w:t xml:space="preserve">2. </w:t>
      </w:r>
      <w:r>
        <w:rPr>
          <w:b/>
          <w:bCs/>
        </w:rPr>
        <w:t xml:space="preserve">当前市场是"研究工具、展示与政策项目"市场，劳动替代市场尚未形成</w:t>
      </w:r>
      <w:r>
        <w:t xml:space="preserve">（T01）。</w:t>
      </w:r>
    </w:p>
    <w:p>
      <w:pPr>
        <w:spacing w:after="60" w:line="312" w:lineRule="auto"/>
        <w:ind w:left="420" w:hanging="300"/>
      </w:pPr>
      <w:r>
        <w:t xml:space="preserve">3. </w:t>
      </w:r>
      <w:r>
        <w:rPr>
          <w:b/>
          <w:bCs/>
        </w:rPr>
        <w:t xml:space="preserve">行业的核心瓶颈已经从"智能"迁移到"可靠性与系统工程"</w:t>
      </w:r>
      <w:r>
        <w:t xml:space="preserve">（T04），决定商业化距离的是接管率、看护配比、MTBF 和吞吐率，而不是模型参数量。</w:t>
      </w:r>
    </w:p>
    <w:p>
      <w:pPr>
        <w:spacing w:after="60" w:line="312" w:lineRule="auto"/>
        <w:ind w:left="420" w:hanging="300"/>
      </w:pPr>
      <w:r>
        <w:t xml:space="preserve">4. </w:t>
      </w:r>
      <w:r>
        <w:rPr>
          <w:b/>
          <w:bCs/>
        </w:rPr>
        <w:t xml:space="preserve">中国的长期优势是"制造+场景"</w:t>
      </w:r>
      <w:r>
        <w:t xml:space="preserve">，资本和政策是周期性的放大器（第十篇）。</w:t>
      </w:r>
    </w:p>
    <w:p>
      <w:pPr>
        <w:spacing w:after="60" w:line="312" w:lineRule="auto"/>
        <w:ind w:left="420" w:hanging="300"/>
      </w:pPr>
      <w:r>
        <w:t xml:space="preserve">5. </w:t>
      </w:r>
      <w:r>
        <w:rPr>
          <w:b/>
          <w:bCs/>
        </w:rPr>
        <w:t xml:space="preserve">2026 年下半年起进入"商业验证期"</w:t>
      </w:r>
      <w:r>
        <w:t xml:space="preserve">，收入质量会取代技术叙事，成为定价锚（T02）。</w:t>
      </w:r>
    </w:p>
    <w:p>
      <w:pPr>
        <w:pStyle w:val="Heading3"/>
      </w:pPr>
      <w:r>
        <w:t xml:space="preserve">二、团队配置与研究重点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6"/>
        <w:gridCol w:w="3281"/>
        <w:gridCol w:w="2461"/>
      </w:tblGrid>
      <w:tr>
        <w:trPr>
          <w:cantSplit w:val="false"/>
          <w:tblHeader/>
        </w:trPr>
        <w:tc>
          <w:tcPr>
            <w:tcW w:type="dxa" w:w="3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角色</w:t>
            </w:r>
          </w:p>
        </w:tc>
        <w:tc>
          <w:tcPr>
            <w:tcW w:type="dxa" w:w="32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职责</w:t>
            </w:r>
          </w:p>
        </w:tc>
        <w:tc>
          <w:tcPr>
            <w:tcW w:type="dxa" w:w="24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为什么需要</w:t>
            </w:r>
          </w:p>
        </w:tc>
      </w:tr>
      <w:tr>
        <w:trPr>
          <w:cantSplit w:val="false"/>
          <w:tblHeader w:val="false"/>
        </w:trPr>
        <w:tc>
          <w:tcPr>
            <w:tcW w:type="dxa" w:w="3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产业工程合伙人（汽车或工业自动化背景）</w:t>
            </w:r>
          </w:p>
        </w:tc>
        <w:tc>
          <w:tcPr>
            <w:tcW w:type="dxa" w:w="32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硬件、可靠性、量产与供应链尽调</w:t>
            </w:r>
          </w:p>
        </w:tc>
        <w:tc>
          <w:tcPr>
            <w:tcW w:type="dxa" w:w="24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瓶颈已经迁移到系统工程</w:t>
            </w:r>
          </w:p>
        </w:tc>
      </w:tr>
      <w:tr>
        <w:trPr>
          <w:cantSplit w:val="false"/>
          <w:tblHeader w:val="false"/>
        </w:trPr>
        <w:tc>
          <w:tcPr>
            <w:tcW w:type="dxa" w:w="3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技术研究员（机器人学习背景）</w:t>
            </w:r>
          </w:p>
        </w:tc>
        <w:tc>
          <w:tcPr>
            <w:tcW w:type="dxa" w:w="32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演示核验、模型与数据评估</w:t>
            </w:r>
          </w:p>
        </w:tc>
        <w:tc>
          <w:tcPr>
            <w:tcW w:type="dxa" w:w="24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识破演示与部署之间的鸿沟</w:t>
            </w:r>
          </w:p>
        </w:tc>
      </w:tr>
      <w:tr>
        <w:trPr>
          <w:cantSplit w:val="false"/>
          <w:tblHeader w:val="false"/>
        </w:trPr>
        <w:tc>
          <w:tcPr>
            <w:tcW w:type="dxa" w:w="3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场景研究员（制造、物流、能源行业）</w:t>
            </w:r>
          </w:p>
        </w:tc>
        <w:tc>
          <w:tcPr>
            <w:tcW w:type="dxa" w:w="32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客户访谈、TCO 建模</w:t>
            </w:r>
          </w:p>
        </w:tc>
        <w:tc>
          <w:tcPr>
            <w:tcW w:type="dxa" w:w="24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用 ROI 而不是叙事来定价</w:t>
            </w:r>
          </w:p>
        </w:tc>
      </w:tr>
      <w:tr>
        <w:trPr>
          <w:cantSplit w:val="false"/>
          <w:tblHeader w:val="false"/>
        </w:trPr>
        <w:tc>
          <w:tcPr>
            <w:tcW w:type="dxa" w:w="3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财务与法务</w:t>
            </w:r>
          </w:p>
        </w:tc>
        <w:tc>
          <w:tcPr>
            <w:tcW w:type="dxa" w:w="32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收入质量、订单瀑布、关联方、条款</w:t>
            </w:r>
          </w:p>
        </w:tc>
        <w:tc>
          <w:tcPr>
            <w:tcW w:type="dxa" w:w="24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识别注水与关联交易</w:t>
            </w:r>
          </w:p>
        </w:tc>
      </w:tr>
      <w:tr>
        <w:trPr>
          <w:cantSplit w:val="false"/>
          <w:tblHeader w:val="false"/>
        </w:trPr>
        <w:tc>
          <w:tcPr>
            <w:tcW w:type="dxa" w:w="3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数据与投后</w:t>
            </w:r>
          </w:p>
        </w:tc>
        <w:tc>
          <w:tcPr>
            <w:tcW w:type="dxa" w:w="328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前置指标看板、组合监测</w:t>
            </w:r>
          </w:p>
        </w:tc>
        <w:tc>
          <w:tcPr>
            <w:tcW w:type="dxa" w:w="246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动态修正判断</w:t>
            </w:r>
          </w:p>
        </w:tc>
      </w:tr>
    </w:tbl>
    <w:p>
      <w:pPr>
        <w:spacing w:after="120"/>
      </w:pPr>
    </w:p>
    <w:p>
      <w:pPr>
        <w:spacing w:after="120" w:line="324" w:lineRule="auto"/>
        <w:jc w:val="both"/>
      </w:pPr>
      <w:r>
        <w:rPr>
          <w:b/>
          <w:bCs/>
        </w:rPr>
        <w:t xml:space="preserve">研究重点（按优先级）</w:t>
      </w:r>
      <w:r>
        <w:t xml:space="preserve">：</w:t>
      </w:r>
    </w:p>
    <w:p>
      <w:pPr>
        <w:spacing w:after="60" w:line="312" w:lineRule="auto"/>
        <w:ind w:left="420" w:hanging="300"/>
      </w:pPr>
      <w:r>
        <w:t xml:space="preserve">1. 场景 TCO 与客户访谈库（每季度更新）；</w:t>
      </w:r>
    </w:p>
    <w:p>
      <w:pPr>
        <w:spacing w:after="60" w:line="312" w:lineRule="auto"/>
        <w:ind w:left="420" w:hanging="300"/>
      </w:pPr>
      <w:r>
        <w:t xml:space="preserve">2. 精密部件的良率、寿命与价格曲线；</w:t>
      </w:r>
    </w:p>
    <w:p>
      <w:pPr>
        <w:spacing w:after="60" w:line="312" w:lineRule="auto"/>
        <w:ind w:left="420" w:hanging="300"/>
      </w:pPr>
      <w:r>
        <w:t xml:space="preserve">3. 订单与收入质量数据库；</w:t>
      </w:r>
    </w:p>
    <w:p>
      <w:pPr>
        <w:spacing w:after="60" w:line="312" w:lineRule="auto"/>
        <w:ind w:left="420" w:hanging="300"/>
      </w:pPr>
      <w:r>
        <w:t xml:space="preserve">4. 第三方评测与部署指标；</w:t>
      </w:r>
    </w:p>
    <w:p>
      <w:pPr>
        <w:spacing w:after="60" w:line="312" w:lineRule="auto"/>
        <w:ind w:left="420" w:hanging="300"/>
      </w:pPr>
      <w:r>
        <w:t xml:space="preserve">5. 二级市场可比估值；</w:t>
      </w:r>
    </w:p>
    <w:p>
      <w:pPr>
        <w:spacing w:after="60" w:line="312" w:lineRule="auto"/>
        <w:ind w:left="420" w:hanging="300"/>
      </w:pPr>
      <w:r>
        <w:t xml:space="preserve">6. 政策与地缘追踪。</w:t>
      </w:r>
    </w:p>
    <w:p>
      <w:pPr>
        <w:pStyle w:val="Heading3"/>
      </w:pPr>
      <w:r>
        <w:t xml:space="preserve">三、投什么、避什么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06"/>
        <w:gridCol w:w="4932"/>
      </w:tblGrid>
      <w:tr>
        <w:trPr>
          <w:cantSplit w:val="false"/>
          <w:tblHeader/>
        </w:trPr>
        <w:tc>
          <w:tcPr>
            <w:tcW w:type="dxa" w:w="470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投</w:t>
            </w:r>
          </w:p>
        </w:tc>
        <w:tc>
          <w:tcPr>
            <w:tcW w:type="dxa" w:w="49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避</w:t>
            </w:r>
          </w:p>
        </w:tc>
      </w:tr>
      <w:tr>
        <w:trPr>
          <w:cantSplit w:val="false"/>
          <w:tblHeader w:val="false"/>
        </w:trPr>
        <w:tc>
          <w:tcPr>
            <w:tcW w:type="dxa" w:w="470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任务闭环的场景公司（形态中立）</w:t>
            </w:r>
          </w:p>
        </w:tc>
        <w:tc>
          <w:tcPr>
            <w:tcW w:type="dxa" w:w="49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同质化双足整机新项目</w:t>
            </w:r>
          </w:p>
        </w:tc>
      </w:tr>
      <w:tr>
        <w:trPr>
          <w:cantSplit w:val="false"/>
          <w:tblHeader w:val="false"/>
        </w:trPr>
        <w:tc>
          <w:tcPr>
            <w:tcW w:type="dxa" w:w="470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有工艺壁垒、多客户、存量业务托底的精密部件</w:t>
            </w:r>
          </w:p>
        </w:tc>
        <w:tc>
          <w:tcPr>
            <w:tcW w:type="dxa" w:w="49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只有人形概念收入的部件公司</w:t>
            </w:r>
          </w:p>
        </w:tc>
      </w:tr>
      <w:tr>
        <w:trPr>
          <w:cantSplit w:val="false"/>
          <w:tblHeader w:val="false"/>
        </w:trPr>
        <w:tc>
          <w:tcPr>
            <w:tcW w:type="dxa" w:w="470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特种作业</w:t>
            </w:r>
          </w:p>
        </w:tc>
        <w:tc>
          <w:tcPr>
            <w:tcW w:type="dxa" w:w="49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文娱租赁与商演</w:t>
            </w:r>
          </w:p>
        </w:tc>
      </w:tr>
      <w:tr>
        <w:trPr>
          <w:cantSplit w:val="false"/>
          <w:tblHeader w:val="false"/>
        </w:trPr>
        <w:tc>
          <w:tcPr>
            <w:tcW w:type="dxa" w:w="470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国产端侧计算和工具链（已有头部定点）</w:t>
            </w:r>
          </w:p>
        </w:tc>
        <w:tc>
          <w:tcPr>
            <w:tcW w:type="dxa" w:w="49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无生态的芯片初创</w:t>
            </w:r>
          </w:p>
        </w:tc>
      </w:tr>
      <w:tr>
        <w:trPr>
          <w:cantSplit w:val="false"/>
          <w:tblHeader w:val="false"/>
        </w:trPr>
        <w:tc>
          <w:tcPr>
            <w:tcW w:type="dxa" w:w="470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估值重置后的头部平台（结构化条款）</w:t>
            </w:r>
          </w:p>
        </w:tc>
        <w:tc>
          <w:tcPr>
            <w:tcW w:type="dxa" w:w="49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估值/收入超过 50 倍、没有下行保护的后期轮</w:t>
            </w:r>
          </w:p>
        </w:tc>
      </w:tr>
      <w:tr>
        <w:trPr>
          <w:cantSplit w:val="false"/>
          <w:tblHeader w:val="false"/>
        </w:trPr>
        <w:tc>
          <w:tcPr>
            <w:tcW w:type="dxa" w:w="470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早期、低估值、有数据闭环证据的模型团队</w:t>
            </w:r>
          </w:p>
        </w:tc>
        <w:tc>
          <w:tcPr>
            <w:tcW w:type="dxa" w:w="49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估值 100 亿元以上、没有第三方付费的纯模型公司</w:t>
            </w:r>
          </w:p>
        </w:tc>
      </w:tr>
      <w:tr>
        <w:trPr>
          <w:cantSplit w:val="false"/>
          <w:tblHeader w:val="false"/>
        </w:trPr>
        <w:tc>
          <w:tcPr>
            <w:tcW w:type="dxa" w:w="470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可靠性、运维与车队管理软件</w:t>
            </w:r>
          </w:p>
        </w:tc>
        <w:tc>
          <w:tcPr>
            <w:tcW w:type="dxa" w:w="493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数据代采外包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四、未来三年的动态调整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2"/>
        <w:gridCol w:w="3392"/>
        <w:gridCol w:w="2158"/>
        <w:gridCol w:w="3086"/>
      </w:tblGrid>
      <w:tr>
        <w:trPr>
          <w:cantSplit w:val="false"/>
          <w:tblHeader/>
        </w:trPr>
        <w:tc>
          <w:tcPr>
            <w:tcW w:type="dxa" w:w="100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时间</w:t>
            </w:r>
          </w:p>
        </w:tc>
        <w:tc>
          <w:tcPr>
            <w:tcW w:type="dxa" w:w="33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基准情景下的动作</w:t>
            </w:r>
          </w:p>
        </w:tc>
        <w:tc>
          <w:tcPr>
            <w:tcW w:type="dxa" w:w="21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若乐观触发</w:t>
            </w:r>
          </w:p>
        </w:tc>
        <w:tc>
          <w:tcPr>
            <w:tcW w:type="dxa" w:w="30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若悲观触发</w:t>
            </w:r>
          </w:p>
        </w:tc>
      </w:tr>
      <w:tr>
        <w:trPr>
          <w:cantSplit w:val="false"/>
          <w:tblHeader w:val="false"/>
        </w:trPr>
        <w:tc>
          <w:tcPr>
            <w:tcW w:type="dxa" w:w="100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2026Q4–2027H1</w:t>
            </w:r>
          </w:p>
        </w:tc>
        <w:tc>
          <w:tcPr>
            <w:tcW w:type="dxa" w:w="33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建库与深度尽调；投资场景闭环与精密部件；为头部预留重置额度</w:t>
            </w:r>
          </w:p>
        </w:tc>
        <w:tc>
          <w:tcPr>
            <w:tcW w:type="dxa" w:w="21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提前参与头部轮次（要求条款）</w:t>
            </w:r>
          </w:p>
        </w:tc>
        <w:tc>
          <w:tcPr>
            <w:tcW w:type="dxa" w:w="30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暂停整机，加大部件与特种</w:t>
            </w:r>
          </w:p>
        </w:tc>
      </w:tr>
      <w:tr>
        <w:trPr>
          <w:cantSplit w:val="false"/>
          <w:tblHeader w:val="false"/>
        </w:trPr>
        <w:tc>
          <w:tcPr>
            <w:tcW w:type="dxa" w:w="100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2027H2–2028</w:t>
            </w:r>
          </w:p>
        </w:tc>
        <w:tc>
          <w:tcPr>
            <w:tcW w:type="dxa" w:w="33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跟踪物流与 3C 回本证据，加码复购明确的场景公司；参与并购整合</w:t>
            </w:r>
          </w:p>
        </w:tc>
        <w:tc>
          <w:tcPr>
            <w:tcW w:type="dxa" w:w="21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头部配置上调到 35%</w:t>
            </w:r>
          </w:p>
        </w:tc>
        <w:tc>
          <w:tcPr>
            <w:tcW w:type="dxa" w:w="30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寻找不良资产并购机会，把投后管理放在首位</w:t>
            </w:r>
          </w:p>
        </w:tc>
      </w:tr>
      <w:tr>
        <w:trPr>
          <w:cantSplit w:val="false"/>
          <w:tblHeader w:val="false"/>
        </w:trPr>
        <w:tc>
          <w:tcPr>
            <w:tcW w:type="dxa" w:w="100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2029 起</w:t>
            </w:r>
          </w:p>
        </w:tc>
        <w:tc>
          <w:tcPr>
            <w:tcW w:type="dxa" w:w="33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布局标准化部件、运维金融、OS 和车队管理</w:t>
            </w:r>
          </w:p>
        </w:tc>
        <w:tc>
          <w:tcPr>
            <w:tcW w:type="dxa" w:w="21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平台生态投资</w:t>
            </w:r>
          </w:p>
        </w:tc>
        <w:tc>
          <w:tcPr>
            <w:tcW w:type="dxa" w:w="308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集中于已盈利资产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五、每季度监测看板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27"/>
        <w:gridCol w:w="3655"/>
        <w:gridCol w:w="2741"/>
        <w:gridCol w:w="1415"/>
      </w:tblGrid>
      <w:tr>
        <w:trPr>
          <w:cantSplit w:val="false"/>
          <w:tblHeader/>
        </w:trPr>
        <w:tc>
          <w:tcPr>
            <w:tcW w:type="dxa" w:w="1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指标</w:t>
            </w:r>
          </w:p>
        </w:tc>
        <w:tc>
          <w:tcPr>
            <w:tcW w:type="dxa" w:w="3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当前值（2026-10）</w:t>
            </w:r>
          </w:p>
        </w:tc>
        <w:tc>
          <w:tcPr>
            <w:tcW w:type="dxa" w:w="27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健康阈值</w:t>
            </w:r>
          </w:p>
        </w:tc>
        <w:tc>
          <w:tcPr>
            <w:tcW w:type="dxa" w:w="14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数据来源</w:t>
            </w:r>
          </w:p>
        </w:tc>
      </w:tr>
      <w:tr>
        <w:trPr>
          <w:cantSplit w:val="false"/>
          <w:tblHeader w:val="false"/>
        </w:trPr>
        <w:tc>
          <w:tcPr>
            <w:tcW w:type="dxa" w:w="1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全球人形季度出货</w:t>
            </w:r>
          </w:p>
        </w:tc>
        <w:tc>
          <w:tcPr>
            <w:tcW w:type="dxa" w:w="3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2026H1 超过 2.2 万台</w:t>
            </w:r>
          </w:p>
        </w:tc>
        <w:tc>
          <w:tcPr>
            <w:tcW w:type="dxa" w:w="27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同比增长 50% 以上，且工业占比上升</w:t>
            </w:r>
          </w:p>
        </w:tc>
        <w:tc>
          <w:tcPr>
            <w:tcW w:type="dxa" w:w="14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Counterpoint、IDC</w:t>
            </w:r>
          </w:p>
        </w:tc>
      </w:tr>
      <w:tr>
        <w:trPr>
          <w:cantSplit w:val="false"/>
          <w:tblHeader w:val="false"/>
        </w:trPr>
        <w:tc>
          <w:tcPr>
            <w:tcW w:type="dxa" w:w="1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中国产量与出货的差距</w:t>
            </w:r>
          </w:p>
        </w:tc>
        <w:tc>
          <w:tcPr>
            <w:tcW w:type="dxa" w:w="3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产量 4 万台以上 vs 出货 2.2 万台以上（口径不同）</w:t>
            </w:r>
          </w:p>
        </w:tc>
        <w:tc>
          <w:tcPr>
            <w:tcW w:type="dxa" w:w="27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差距收窄</w:t>
            </w:r>
          </w:p>
        </w:tc>
        <w:tc>
          <w:tcPr>
            <w:tcW w:type="dxa" w:w="14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工信部、机构</w:t>
            </w:r>
          </w:p>
        </w:tc>
      </w:tr>
      <w:tr>
        <w:trPr>
          <w:cantSplit w:val="false"/>
          <w:tblHeader w:val="false"/>
        </w:trPr>
        <w:tc>
          <w:tcPr>
            <w:tcW w:type="dxa" w:w="1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公开中标中工业企业占比</w:t>
            </w:r>
          </w:p>
        </w:tc>
        <w:tc>
          <w:tcPr>
            <w:tcW w:type="dxa" w:w="3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21.1%</w:t>
            </w:r>
          </w:p>
        </w:tc>
        <w:tc>
          <w:tcPr>
            <w:tcW w:type="dxa" w:w="27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超过 35%</w:t>
            </w:r>
          </w:p>
        </w:tc>
        <w:tc>
          <w:tcPr>
            <w:tcW w:type="dxa" w:w="14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联盟统计</w:t>
            </w:r>
          </w:p>
        </w:tc>
      </w:tr>
      <w:tr>
        <w:trPr>
          <w:cantSplit w:val="false"/>
          <w:tblHeader w:val="false"/>
        </w:trPr>
        <w:tc>
          <w:tcPr>
            <w:tcW w:type="dxa" w:w="1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头部上市公司估值/收入</w:t>
            </w:r>
          </w:p>
        </w:tc>
        <w:tc>
          <w:tcPr>
            <w:tcW w:type="dxa" w:w="3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宇树约 122 倍（9 月中旬）</w:t>
            </w:r>
          </w:p>
        </w:tc>
        <w:tc>
          <w:tcPr>
            <w:tcW w:type="dxa" w:w="27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回到 20–40 倍且增长稳定</w:t>
            </w:r>
          </w:p>
        </w:tc>
        <w:tc>
          <w:tcPr>
            <w:tcW w:type="dxa" w:w="14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行情</w:t>
            </w:r>
          </w:p>
        </w:tc>
      </w:tr>
      <w:tr>
        <w:trPr>
          <w:cantSplit w:val="false"/>
          <w:tblHeader w:val="false"/>
        </w:trPr>
        <w:tc>
          <w:tcPr>
            <w:tcW w:type="dxa" w:w="1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宇树、优必选收入增速</w:t>
            </w:r>
          </w:p>
        </w:tc>
        <w:tc>
          <w:tcPr>
            <w:tcW w:type="dxa" w:w="3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+48.5% / +104%（2026H1）</w:t>
            </w:r>
          </w:p>
        </w:tc>
        <w:tc>
          <w:tcPr>
            <w:tcW w:type="dxa" w:w="27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增速维持且毛利稳定</w:t>
            </w:r>
          </w:p>
        </w:tc>
        <w:tc>
          <w:tcPr>
            <w:tcW w:type="dxa" w:w="14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财报</w:t>
            </w:r>
          </w:p>
        </w:tc>
      </w:tr>
      <w:tr>
        <w:trPr>
          <w:cantSplit w:val="false"/>
          <w:tblHeader w:val="false"/>
        </w:trPr>
        <w:tc>
          <w:tcPr>
            <w:tcW w:type="dxa" w:w="1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头部一级轮次估值变化</w:t>
            </w:r>
          </w:p>
        </w:tc>
        <w:tc>
          <w:tcPr>
            <w:tcW w:type="dxa" w:w="3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智元传 500 亿元；1X 下修</w:t>
            </w:r>
          </w:p>
        </w:tc>
        <w:tc>
          <w:tcPr>
            <w:tcW w:type="dxa" w:w="27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平价或上调伴随收入增长</w:t>
            </w:r>
          </w:p>
        </w:tc>
        <w:tc>
          <w:tcPr>
            <w:tcW w:type="dxa" w:w="14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投资网络</w:t>
            </w:r>
          </w:p>
        </w:tc>
      </w:tr>
      <w:tr>
        <w:trPr>
          <w:cantSplit w:val="false"/>
          <w:tblHeader w:val="false"/>
        </w:trPr>
        <w:tc>
          <w:tcPr>
            <w:tcW w:type="dxa" w:w="1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GXO 等客户 ROI 表态</w:t>
            </w:r>
          </w:p>
        </w:tc>
        <w:tc>
          <w:tcPr>
            <w:tcW w:type="dxa" w:w="3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尚未实现 ROI</w:t>
            </w:r>
          </w:p>
        </w:tc>
        <w:tc>
          <w:tcPr>
            <w:tcW w:type="dxa" w:w="27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宣布实现 ROI 或规模采购</w:t>
            </w:r>
          </w:p>
        </w:tc>
        <w:tc>
          <w:tcPr>
            <w:tcW w:type="dxa" w:w="14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财报会</w:t>
            </w:r>
          </w:p>
        </w:tc>
      </w:tr>
      <w:tr>
        <w:trPr>
          <w:cantSplit w:val="false"/>
          <w:tblHeader w:val="false"/>
        </w:trPr>
        <w:tc>
          <w:tcPr>
            <w:tcW w:type="dxa" w:w="1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特斯拉 Optimus 产量</w:t>
            </w:r>
          </w:p>
        </w:tc>
        <w:tc>
          <w:tcPr>
            <w:tcW w:type="dxa" w:w="3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早期生产</w:t>
            </w:r>
          </w:p>
        </w:tc>
        <w:tc>
          <w:tcPr>
            <w:tcW w:type="dxa" w:w="27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2027 年周产 1,000 台以上</w:t>
            </w:r>
          </w:p>
        </w:tc>
        <w:tc>
          <w:tcPr>
            <w:tcW w:type="dxa" w:w="14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财报</w:t>
            </w:r>
          </w:p>
        </w:tc>
      </w:tr>
      <w:tr>
        <w:trPr>
          <w:cantSplit w:val="false"/>
          <w:tblHeader w:val="false"/>
        </w:trPr>
        <w:tc>
          <w:tcPr>
            <w:tcW w:type="dxa" w:w="1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美国对华机器人限制</w:t>
            </w:r>
          </w:p>
        </w:tc>
        <w:tc>
          <w:tcPr>
            <w:tcW w:type="dxa" w:w="3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法案推进中</w:t>
            </w:r>
          </w:p>
        </w:tc>
        <w:tc>
          <w:tcPr>
            <w:tcW w:type="dxa" w:w="27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民用豁免</w:t>
            </w:r>
          </w:p>
        </w:tc>
        <w:tc>
          <w:tcPr>
            <w:tcW w:type="dxa" w:w="14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国会、FCC</w:t>
            </w:r>
          </w:p>
        </w:tc>
      </w:tr>
      <w:tr>
        <w:trPr>
          <w:cantSplit w:val="false"/>
          <w:tblHeader w:val="false"/>
        </w:trPr>
        <w:tc>
          <w:tcPr>
            <w:tcW w:type="dxa" w:w="182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精密部件均价</w:t>
            </w:r>
          </w:p>
        </w:tc>
        <w:tc>
          <w:tcPr>
            <w:tcW w:type="dxa" w:w="365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谐波毛利率 32.3%（下行）</w:t>
            </w:r>
          </w:p>
        </w:tc>
        <w:tc>
          <w:tcPr>
            <w:tcW w:type="dxa" w:w="274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稳定</w:t>
            </w:r>
          </w:p>
        </w:tc>
        <w:tc>
          <w:tcPr>
            <w:tcW w:type="dxa" w:w="141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财报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bm137" w:id="1137"/>
      <w:r>
        <w:t xml:space="preserve">第十七篇　投委会逆向审查：最强反对意见与回应</w:t>
      </w:r>
      <w:bookmarkEnd w:id="1137"/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本篇对应研究流程的"阶段八"。假设有一位对具身智能投资价值高度怀疑的合伙人，从两个方向攻击本报告：一是"过于悲观"，二是"不够悲观"。我们逐条给出回应，并说明据此对报告做了哪些修改。</w:t>
      </w:r>
    </w:p>
    <w:p>
      <w:pPr>
        <w:pStyle w:val="Heading2"/>
      </w:pPr>
      <w:bookmarkStart w:name="bm138" w:id="1138"/>
      <w:r>
        <w:t xml:space="preserve">17.1 来自"怀疑派"的攻击：报告还不够悲观</w:t>
      </w:r>
      <w:bookmarkEnd w:id="1138"/>
    </w:p>
    <w:p>
      <w:pPr>
        <w:spacing w:after="120" w:line="324" w:lineRule="auto"/>
        <w:jc w:val="both"/>
      </w:pPr>
      <w:r>
        <w:rPr>
          <w:b/>
          <w:bCs/>
        </w:rPr>
        <w:t xml:space="preserve">攻击 1："整个行业就是一场由政府和资本制造的泡沫。2025 年全球人形销售额只有 4.4 亿美元，比一家中型工业机器人公司还少，为什么还要配置 20%–25% 给整机和平台？"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回应</w:t>
      </w:r>
      <w:r>
        <w:t xml:space="preserve">：我们同意当前需求以非 ROI 型为主（T01）。但有三个事实值得注意：</w:t>
      </w:r>
    </w:p>
    <w:p>
      <w:pPr>
        <w:spacing w:after="60" w:line="312" w:lineRule="auto"/>
        <w:ind w:left="840" w:hanging="300"/>
      </w:pPr>
      <w:r>
        <w:t xml:space="preserve">1. 技术进步是真实的，运动控制和结构化操作已进入 L4–L5；</w:t>
      </w:r>
    </w:p>
    <w:p>
      <w:pPr>
        <w:spacing w:after="60" w:line="312" w:lineRule="auto"/>
        <w:ind w:left="840" w:hanging="300"/>
      </w:pPr>
      <w:r>
        <w:t xml:space="preserve">2. 中国制造业每年新增 35 万台以上的工业机器人，自动化需求本身真实存在；</w:t>
      </w:r>
    </w:p>
    <w:p>
      <w:pPr>
        <w:spacing w:after="60" w:line="312" w:lineRule="auto"/>
        <w:ind w:left="840" w:hanging="300"/>
      </w:pPr>
      <w:r>
        <w:t xml:space="preserve">3. 头部企业（宇树）已经能盈利。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修改</w:t>
      </w:r>
      <w:r>
        <w:t xml:space="preserve">：把整机配置严格限定为"</w:t>
      </w:r>
      <w:r>
        <w:rPr>
          <w:b/>
          <w:bCs/>
        </w:rPr>
        <w:t xml:space="preserve">估值重置 + 结构化条款</w:t>
      </w:r>
      <w:r>
        <w:t xml:space="preserve">"，并把"重置"量化为相对前轮回落 30% 以上，或估值/收入不超过 15 倍（第十三篇）。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攻击 2："本报告的 TCO 模型过于乐观。2028 年 25 万元的价格、70% 的吞吐、1:10 的看护配比，没有任何公开证据支持。"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回应</w:t>
      </w:r>
      <w:r>
        <w:t xml:space="preserve">：这个批评成立。2028 年的参数是情景假设，不是预测。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修改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在第六篇加入两张敏感性表，让读者看到参数不达标时的结果：吞吐 50%、价格 40 万元时，在任何看护配比下都不回本；</w:t>
      </w:r>
    </w:p>
    <w:p>
      <w:pPr>
        <w:pStyle w:val="ListParagraph"/>
        <w:numPr>
          <w:ilvl w:val="1"/>
          <w:numId w:val="2"/>
        </w:numPr>
        <w:spacing w:after="60" w:line="312" w:lineRule="auto"/>
      </w:pPr>
      <w:r>
        <w:t xml:space="preserve">在第十二篇把看护配比列为头号前置指标。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攻击 3："中国模型独角兽 200 亿元的估值完全不可能实现回报，报告的措辞太温和。"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回应</w:t>
      </w:r>
      <w:r>
        <w:t xml:space="preserve">：按我们的模型，以 100–150 亿元入场的纯模型项目，即使平台化概率达到 30%，期望 MOIC 也只有约 1.0–1.3x（第十四篇敏感性表）。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修改</w:t>
      </w:r>
      <w:r>
        <w:t xml:space="preserve">：在第十三篇把"估值 100 亿元以上、没有第三方付费的纯模型"列入回避清单，并在 T07 和 T12 中写明量化依据。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攻击 4："精密部件同样会被价格战摧毁。绿的谐波的毛利率已经在下滑。"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回应</w:t>
      </w:r>
      <w:r>
        <w:t xml:space="preserve">：成立。标准谐波减速器已经出现价格压力。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修改</w:t>
      </w:r>
      <w:r>
        <w:t xml:space="preserve">：把部件投资的筛选条件收紧为"</w:t>
      </w:r>
      <w:r>
        <w:rPr>
          <w:b/>
          <w:bCs/>
        </w:rPr>
        <w:t xml:space="preserve">工艺壁垒（丝杠、高端手、六维力）+ 多客户 + 存量业务托底</w:t>
      </w:r>
      <w:r>
        <w:t xml:space="preserve">"，并在 T05 和 T17 中加入"毛利率降到 20% 以下"作为推翻证据。</w:t>
      </w:r>
    </w:p>
    <w:p>
      <w:pPr>
        <w:pStyle w:val="Heading2"/>
      </w:pPr>
      <w:bookmarkStart w:name="bm139" w:id="1139"/>
      <w:r>
        <w:t xml:space="preserve">17.2 来自"乐观派"的攻击：报告过于悲观</w:t>
      </w:r>
      <w:bookmarkEnd w:id="1139"/>
    </w:p>
    <w:p>
      <w:pPr>
        <w:spacing w:after="120" w:line="324" w:lineRule="auto"/>
        <w:jc w:val="both"/>
      </w:pPr>
      <w:r>
        <w:rPr>
          <w:b/>
          <w:bCs/>
        </w:rPr>
        <w:t xml:space="preserve">攻击 5："你们低估了 AI 的进步速度。2024 年没有人能预料到 2026 年的模型能力，2027 年可能出现可靠性跃迁。"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回应</w:t>
      </w:r>
      <w:r>
        <w:t xml:space="preserve">：我们给乐观情景约 20% 的概率，并设置了明确的触发事件：第三方盲测超过 90%、看护配比达到 1:50。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修改</w:t>
      </w:r>
      <w:r>
        <w:t xml:space="preserve">：在第十三篇和第十六篇加入"</w:t>
      </w:r>
      <w:r>
        <w:rPr>
          <w:b/>
          <w:bCs/>
        </w:rPr>
        <w:t xml:space="preserve">乐观触发后把头部配置上调到 35%</w:t>
      </w:r>
      <w:r>
        <w:t xml:space="preserve">"的预案，避免因为过度保守而错过机会。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攻击 6："特斯拉一旦量产，所有关于成本和规模的假设都会被改写。"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回应</w:t>
      </w:r>
      <w:r>
        <w:t xml:space="preserve">：同意它影响巨大（T14）。但特斯拉的时间表有持续推迟的历史，而且它倾向于垂直整合，对中国独立供应链的拉动未必如市场预期。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修改</w:t>
      </w:r>
      <w:r>
        <w:t xml:space="preserve">：把"特斯拉周产量"列入季度看板，并在 T14 中设置推翻条件：2027 年周产 5,000 台以上。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攻击 7："宇树证明了中国人形可以盈利、可以上市、可以获得千亿市值，你们对整机太保守。"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回应</w:t>
      </w:r>
      <w:r>
        <w:t xml:space="preserve">：宇树的盈利来自科研、教育和文娱市场，以及成本领先。它是"</w:t>
      </w:r>
      <w:r>
        <w:rPr>
          <w:b/>
          <w:bCs/>
        </w:rPr>
        <w:t xml:space="preserve">卖铲子</w:t>
      </w:r>
      <w:r>
        <w:t xml:space="preserve">"的成功，而不是"</w:t>
      </w:r>
      <w:r>
        <w:rPr>
          <w:b/>
          <w:bCs/>
        </w:rPr>
        <w:t xml:space="preserve">劳动替代</w:t>
      </w:r>
      <w:r>
        <w:t xml:space="preserve">"的成功。宇树 2026 年上半年增速已降到 48.5%，扣非净利同比下降，市值较首日开盘回撤约一半。这正说明二级市场在给"转型工业"的成功打折扣。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修改</w:t>
      </w:r>
      <w:r>
        <w:t xml:space="preserve">：在第八篇把宇树的工业业务单独定级为 L3，避免用它的科研市场成功来类比其他整机。</w:t>
      </w:r>
    </w:p>
    <w:p>
      <w:pPr>
        <w:pStyle w:val="Heading2"/>
      </w:pPr>
      <w:bookmarkStart w:name="bm140" w:id="1140"/>
      <w:r>
        <w:t xml:space="preserve">17.3 方法论层面的攻击</w:t>
      </w:r>
      <w:bookmarkEnd w:id="1140"/>
    </w:p>
    <w:p>
      <w:pPr>
        <w:spacing w:after="120" w:line="324" w:lineRule="auto"/>
        <w:jc w:val="both"/>
      </w:pPr>
      <w:r>
        <w:rPr>
          <w:b/>
          <w:bCs/>
        </w:rPr>
        <w:t xml:space="preserve">攻击 8："你们大量使用 C 级证据（公司口径、单一来源），结论站得住吗？"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回应</w:t>
      </w:r>
      <w:r>
        <w:t xml:space="preserve">：这是本研究最主要的局限。我们的处理方式是：</w:t>
      </w:r>
    </w:p>
    <w:p>
      <w:pPr>
        <w:spacing w:after="60" w:line="312" w:lineRule="auto"/>
        <w:ind w:left="840" w:hanging="300"/>
      </w:pPr>
      <w:r>
        <w:t xml:space="preserve">1. 关键结论尽量用 A/B 级证据支撑，例如 IDC 和 Counterpoint 的出货数据、上市公司财报、GXO 财报会表态、发改委与证监会的表态；</w:t>
      </w:r>
    </w:p>
    <w:p>
      <w:pPr>
        <w:spacing w:after="60" w:line="312" w:lineRule="auto"/>
        <w:ind w:left="840" w:hanging="300"/>
      </w:pPr>
      <w:r>
        <w:t xml:space="preserve">2. C 级证据只作为方向性佐证，并在文中标注；</w:t>
      </w:r>
    </w:p>
    <w:p>
      <w:pPr>
        <w:spacing w:after="60" w:line="312" w:lineRule="auto"/>
        <w:ind w:left="840" w:hanging="300"/>
      </w:pPr>
      <w:r>
        <w:t xml:space="preserve">3. 对关键的 C 级数字（如 Skild 的收入运行率、智元营收、银河关联交易）列为尽调必核项。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修改</w:t>
      </w:r>
      <w:r>
        <w:t xml:space="preserve">：在附录 9 中逐条标注证据等级，并在报告说明中披露研究环境的访问限制。</w:t>
      </w:r>
    </w:p>
    <w:p>
      <w:pPr>
        <w:spacing w:after="120" w:line="324" w:lineRule="auto"/>
        <w:jc w:val="both"/>
      </w:pPr>
      <w:r>
        <w:rPr>
          <w:b/>
          <w:bCs/>
        </w:rPr>
        <w:t xml:space="preserve">攻击 9："情景概率（20/55/25）是拍脑袋的。"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回应</w:t>
      </w:r>
      <w:r>
        <w:t xml:space="preserve">：是主观判断，我们不回避。它的作用是让组合配置与情景挂钩，并通过前置指标定期修正，而不是作为精确预测。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修改</w:t>
      </w:r>
      <w:r>
        <w:t xml:space="preserve">：在第十二篇明确标注为"判断"，并列出不强行量化的指标。</w:t>
      </w:r>
    </w:p>
    <w:p>
      <w:pPr>
        <w:pStyle w:val="Heading2"/>
      </w:pPr>
      <w:bookmarkStart w:name="bm141" w:id="1141"/>
      <w:r>
        <w:t xml:space="preserve">17.4 审查后仍然保留的核心判断（高置信度）</w:t>
      </w:r>
      <w:bookmarkEnd w:id="1141"/>
    </w:p>
    <w:p>
      <w:pPr>
        <w:spacing w:after="60" w:line="312" w:lineRule="auto"/>
        <w:ind w:left="420" w:hanging="300"/>
      </w:pPr>
      <w:r>
        <w:t xml:space="preserve">1. 当前需求以非 ROI 型为主（T01）。</w:t>
      </w:r>
    </w:p>
    <w:p>
      <w:pPr>
        <w:spacing w:after="60" w:line="312" w:lineRule="auto"/>
        <w:ind w:left="420" w:hanging="300"/>
      </w:pPr>
      <w:r>
        <w:t xml:space="preserve">2. 订单口径混乱是最大的尽调风险（T11）。</w:t>
      </w:r>
    </w:p>
    <w:p>
      <w:pPr>
        <w:spacing w:after="60" w:line="312" w:lineRule="auto"/>
        <w:ind w:left="420" w:hanging="300"/>
      </w:pPr>
      <w:r>
        <w:t xml:space="preserve">3. 演示领先部署是结构性的（T25）。</w:t>
      </w:r>
    </w:p>
    <w:p>
      <w:pPr>
        <w:spacing w:after="60" w:line="312" w:lineRule="auto"/>
        <w:ind w:left="420" w:hanging="300"/>
      </w:pPr>
      <w:r>
        <w:t xml:space="preserve">4. 后期估值已透支，未来 12–18 个月是估值重置窗口（T02、T12）。</w:t>
      </w:r>
    </w:p>
    <w:p>
      <w:pPr>
        <w:spacing w:after="60" w:line="312" w:lineRule="auto"/>
        <w:ind w:left="420" w:hanging="300"/>
      </w:pPr>
      <w:r>
        <w:t xml:space="preserve">5. 能力瓶颈已迁移到可靠性与系统工程（T04）。</w:t>
      </w:r>
    </w:p>
    <w:p>
      <w:pPr>
        <w:pStyle w:val="Heading2"/>
      </w:pPr>
      <w:bookmarkStart w:name="bm142" w:id="1142"/>
      <w:r>
        <w:t xml:space="preserve">17.5 未核实事项清单及其对判断的影响</w:t>
      </w:r>
      <w:bookmarkEnd w:id="11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30"/>
        <w:gridCol w:w="1573"/>
        <w:gridCol w:w="3935"/>
      </w:tblGrid>
      <w:tr>
        <w:trPr>
          <w:cantSplit w:val="false"/>
          <w:tblHeader/>
        </w:trPr>
        <w:tc>
          <w:tcPr>
            <w:tcW w:type="dxa" w:w="41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未核实事项</w:t>
            </w:r>
          </w:p>
        </w:tc>
        <w:tc>
          <w:tcPr>
            <w:tcW w:type="dxa" w:w="15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原因</w:t>
            </w:r>
          </w:p>
        </w:tc>
        <w:tc>
          <w:tcPr>
            <w:tcW w:type="dxa" w:w="39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对判断的影响</w:t>
            </w:r>
          </w:p>
        </w:tc>
      </w:tr>
      <w:tr>
        <w:trPr>
          <w:cantSplit w:val="false"/>
          <w:tblHeader w:val="false"/>
        </w:trPr>
        <w:tc>
          <w:tcPr>
            <w:tcW w:type="dxa" w:w="41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智元营收、毛利与客户结构</w:t>
            </w:r>
          </w:p>
        </w:tc>
        <w:tc>
          <w:tcPr>
            <w:tcW w:type="dxa" w:w="15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未上市、未审计</w:t>
            </w:r>
          </w:p>
        </w:tc>
        <w:tc>
          <w:tcPr>
            <w:tcW w:type="dxa" w:w="39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影响智元身位评分；不影响行业判断</w:t>
            </w:r>
          </w:p>
        </w:tc>
      </w:tr>
      <w:tr>
        <w:trPr>
          <w:cantSplit w:val="false"/>
          <w:tblHeader w:val="false"/>
        </w:trPr>
        <w:tc>
          <w:tcPr>
            <w:tcW w:type="dxa" w:w="41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银河通用关联方收入比例</w:t>
            </w:r>
          </w:p>
        </w:tc>
        <w:tc>
          <w:tcPr>
            <w:tcW w:type="dxa" w:w="15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招股书未公开</w:t>
            </w:r>
          </w:p>
        </w:tc>
        <w:tc>
          <w:tcPr>
            <w:tcW w:type="dxa" w:w="39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影响个案；作为尽调必核项</w:t>
            </w:r>
          </w:p>
        </w:tc>
      </w:tr>
      <w:tr>
        <w:trPr>
          <w:cantSplit w:val="false"/>
          <w:tblHeader w:val="false"/>
        </w:trPr>
        <w:tc>
          <w:tcPr>
            <w:tcW w:type="dxa" w:w="41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Skild 收入运行率的构成</w:t>
            </w:r>
          </w:p>
        </w:tc>
        <w:tc>
          <w:tcPr>
            <w:tcW w:type="dxa" w:w="15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只有媒体转引</w:t>
            </w:r>
          </w:p>
        </w:tc>
        <w:tc>
          <w:tcPr>
            <w:tcW w:type="dxa" w:w="39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影响"美国模型公司商业化"判断的强度</w:t>
            </w:r>
          </w:p>
        </w:tc>
      </w:tr>
      <w:tr>
        <w:trPr>
          <w:cantSplit w:val="false"/>
          <w:tblHeader w:val="false"/>
        </w:trPr>
        <w:tc>
          <w:tcPr>
            <w:tcW w:type="dxa" w:w="41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2026 年前三季度融资中约 771 亿元的单笔事件</w:t>
            </w:r>
          </w:p>
        </w:tc>
        <w:tc>
          <w:tcPr>
            <w:tcW w:type="dxa" w:w="15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性质不明</w:t>
            </w:r>
          </w:p>
        </w:tc>
        <w:tc>
          <w:tcPr>
            <w:tcW w:type="dxa" w:w="39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已从趋势判断中排除</w:t>
            </w:r>
          </w:p>
        </w:tc>
      </w:tr>
      <w:tr>
        <w:trPr>
          <w:cantSplit w:val="false"/>
          <w:tblHeader w:val="false"/>
        </w:trPr>
        <w:tc>
          <w:tcPr>
            <w:tcW w:type="dxa" w:w="41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FCC 进口限制</w:t>
            </w:r>
          </w:p>
        </w:tc>
        <w:tc>
          <w:tcPr>
            <w:tcW w:type="dxa" w:w="15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只有单一来源</w:t>
            </w:r>
          </w:p>
        </w:tc>
        <w:tc>
          <w:tcPr>
            <w:tcW w:type="dxa" w:w="39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地缘风险判断按"法案推进"而非"已实施"处理</w:t>
            </w:r>
          </w:p>
        </w:tc>
      </w:tr>
      <w:tr>
        <w:trPr>
          <w:cantSplit w:val="false"/>
          <w:tblHeader w:val="false"/>
        </w:trPr>
        <w:tc>
          <w:tcPr>
            <w:tcW w:type="dxa" w:w="41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达闼破产清算、K-Scale 关停</w:t>
            </w:r>
          </w:p>
        </w:tc>
        <w:tc>
          <w:tcPr>
            <w:tcW w:type="dxa" w:w="15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只有单一来源</w:t>
            </w:r>
          </w:p>
        </w:tc>
        <w:tc>
          <w:tcPr>
            <w:tcW w:type="dxa" w:w="39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只作为方向性反面案例</w:t>
            </w:r>
          </w:p>
        </w:tc>
      </w:tr>
      <w:tr>
        <w:trPr>
          <w:cantSplit w:val="false"/>
          <w:tblHeader w:val="false"/>
        </w:trPr>
        <w:tc>
          <w:tcPr>
            <w:tcW w:type="dxa" w:w="41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宇树 10 月股价与市值</w:t>
            </w:r>
          </w:p>
        </w:tc>
        <w:tc>
          <w:tcPr>
            <w:tcW w:type="dxa" w:w="15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检索未获最新行情</w:t>
            </w:r>
          </w:p>
        </w:tc>
        <w:tc>
          <w:tcPr>
            <w:tcW w:type="dxa" w:w="39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用 9 月 18 日数据，结论不变</w:t>
            </w:r>
          </w:p>
        </w:tc>
      </w:tr>
      <w:tr>
        <w:trPr>
          <w:cantSplit w:val="false"/>
          <w:tblHeader w:val="false"/>
        </w:trPr>
        <w:tc>
          <w:tcPr>
            <w:tcW w:type="dxa" w:w="413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原文网页逐字核对</w:t>
            </w:r>
          </w:p>
        </w:tc>
        <w:tc>
          <w:tcPr>
            <w:tcW w:type="dxa" w:w="157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网络白名单限制</w:t>
            </w:r>
          </w:p>
        </w:tc>
        <w:tc>
          <w:tcPr>
            <w:tcW w:type="dxa" w:w="39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已对关键数字做多源比对并降级标注</w:t>
            </w:r>
          </w:p>
        </w:tc>
      </w:tr>
    </w:tbl>
    <w:p>
      <w:pPr>
        <w:spacing w:after="120"/>
      </w:pP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600" w:footer="600" w:gutter="0"/>
          <w:pgNumType w:start="1"/>
          <w:docGrid w:linePitch="360"/>
        </w:sectPr>
      </w:pPr>
    </w:p>
    <w:p>
      <w:pPr>
        <w:pStyle w:val="Heading1"/>
      </w:pPr>
      <w:bookmarkStart w:name="bm143" w:id="1143"/>
      <w:r>
        <w:t xml:space="preserve">附录</w:t>
      </w:r>
      <w:bookmarkEnd w:id="1143"/>
    </w:p>
    <w:p>
      <w:pPr>
        <w:pStyle w:val="Heading2"/>
      </w:pPr>
      <w:bookmarkStart w:name="bm144" w:id="1144"/>
      <w:r>
        <w:t xml:space="preserve">附录 1　全球及中国具身智能产业链企业图谱（64 家）</w:t>
      </w:r>
      <w:bookmarkEnd w:id="1144"/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字段：名称、地区、环节、资本状态、最新估值或市值、收入或出货、成熟度（L1–L5）、证据等级。各公司的核心产品与关键风险见附录 1-B。完整字段见数据底表 01。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7"/>
        <w:gridCol w:w="966"/>
        <w:gridCol w:w="1726"/>
        <w:gridCol w:w="2347"/>
        <w:gridCol w:w="2347"/>
        <w:gridCol w:w="2347"/>
        <w:gridCol w:w="2071"/>
        <w:gridCol w:w="419"/>
      </w:tblGrid>
      <w:tr>
        <w:trPr>
          <w:cantSplit w:val="false"/>
          <w:tblHeader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地区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环节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资本状态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最新估值/市值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收入/出货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成熟度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证据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宇树科技 Unitree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中国·杭州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整机（四足+人形）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科创板 688836（2026-08-19 上市）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发行价对应 609.9 亿元；首日开盘约 4,449 亿元；9-18 收盘推算约 2,083 亿元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营收 17.08 亿元、主营毛利率 60.3%、人形出货 &gt;5,500 台；2026H1 营收 11.52 亿元（+48.5%）、归母净利 2.74 亿元；2026H1 出货 &gt;7,000 台（Counterpoint）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科研教育/文娱 L5；工业 L3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智元机器人 AgiBot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中国·上海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整机+模型（GO 系列）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未上市（控股 A 股上纬新材）；港股 IPO 因新融资暂缓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媒体报道新一轮约 500 亿元（2026-10，未获公司确认）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营收约 10.5 亿元（创始人口径）；2026E 约 45 亿元（知情人士）；2026H1 出货约 9,700 台、全球份额 43%（Counterpoint）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L3–L4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B/C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优必选 UBTech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中国·深圳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整机（Walker S 工业人形）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港股 9880.HK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股价约 68 港元（2026-10-12）；市值以实时行情为准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营收 20.01 亿元、毛利率 37.7%、全尺寸人形收入 8.21 亿元/1,079 台；2026H1 营收 12.7 亿元、全尺寸 921 台、净亏 3.39 亿元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L3（工厂实训）/政府数采项目 L4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银河通用 Galbot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整机+模型（轮式双臂）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2026-03 融资 25 亿元；媒体称估值超 200 亿元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出货 &gt;1,200 台（媒体）；2026H1 &gt;1,100 台、全球第三（Counterpoint）；太空舱 20+ 城市、百余店（公司口径）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L3（零售/工厂）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B/C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乐聚机器人 Leju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中国·深圳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整机（中小尺寸+全尺寸）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创业板 IPO 已受理（2026-05-19，第四套标准首单）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2025-10 投后 43.27 亿元（招股书）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营收 2.58 亿元；2026H1 出货 650 台、份额 2.9%（Counterpoint）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L3–L4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云深处 DEEP Robotics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中国·杭州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整机（四足为主）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科创板 IPO 已受理（2026-05-18）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按募资 25.03 亿元与 ≥18% 发行比例推算 IPO 前约 139 亿元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营收 2023–2025：0.50/1.03/3.37 亿元；2025 归母净利 0.29 亿元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L4（巡检）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星动纪元 Robot Era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整机+模型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媒体称估值破百亿元（2026）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 年累计融资近 50 亿元（媒体）；顺丰、邮政物流试点（公司口径）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逐际动力 LimX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中国·深圳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整机+系统（COSA）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未上市（Pre-IPO）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2026-07 Pre-IPO 约 2 亿美元（媒体）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未披露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L2–L3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星尘智能 Astribot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中国·深圳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整机+模型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150 亿元（2026-10，媒体）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2026-06 B 轮系列超 10 亿元；10-13 再融 10 亿元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L2–L3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傅利叶 Fourier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中国·上海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整机（康复+人形）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本次检索未核实最新估值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康复器械有存量收入（历史披露）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康复 L4；人形 L2–L3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加速进化 Booster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整机（小尺寸）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未披露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出货约千台级（IDC 口径归组）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L4（教育/赛事）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松延动力 Noetix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整机（小尺寸）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未披露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出货约千台级（IDC 口径归组）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L4（教育/娱乐）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小鹏 IRON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中国·广州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整机（车企内部孵化）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母公司上市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公司称 2026 年底量产（公司口径）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小米机器人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整机+模型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母公司上市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未单独披露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L2–L3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达闼 CloudMinds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整机+云端大脑（反面案例）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曾估值约 200 亿元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年起欠薪裁员；2026-10 媒体称已被裁定受理破产清算（单一来源）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特斯拉 Optimus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整机（垂直整合）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母公司上市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2026Q3 财报会：弗里蒙特高产线已早期生产，设计年化 2 万台/周、爬坡至少一年；对外交付约 2027 年底起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L2（内部工厂）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Figure AI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整机+模型（Helix）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 轮投后 390 亿美元（2025-09）；2026 年 395 亿美元 term sheet 传闻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宝马 Spartanburg：Figure 02 累计 1,250 运行小时、装载 9 万+零件、参与 3 万+辆 X3（公司/媒体）；2026-07 第 1,000 台 Figure 03 下线（公司口径）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B/C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Agility Robotics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整机（Digit，物流）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SPAC 并入 Churchill Capital XI（AGLT），交易待完成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25 亿美元（2026-06 协议），预计募资 6.2 亿美元以上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营收 180 万美元、经营亏损 1.4 亿美元；里程碑式长期订单 &gt;3 亿美元；9 个客户站点（GXO、舍弗勒、丰田加拿大、Mercado Libre）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L3–L4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Apptronik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整机（Apollo）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 轮累计 9.35 亿美元，投后约 53–55 亿美元（2026-02）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试点：GXO、梅赛德斯等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L2–L3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Boston Dynamics（现代）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美国/韩国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整机（Atlas）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现代汽车集团控股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 年 Atlas 交付已全部锁定给现代 RMAC 与 Google DeepMind；现代计划在美工厂部署 2.5 万台以上、2028 年产能 3 万台/年；Stretch 已规模销售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Atlas L2–L3；Stretch L5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1X Technologies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挪威/美国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整机（家庭 NEO）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 报道软银洽购多数股权、估值约 60 亿美元（低于 2025 年 100 亿美元目标）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NEO 售价 2 万美元或 499 美元/月；海沃德工厂 2026-04 宣布全面量产（公司口径）；EQT 至多 1 万台框架（2026–2030）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L2–L3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Sunday Robotics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整机+数据（家庭）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未核实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早期部署（公司口径）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K-Scale Labs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开源整机（反面案例）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已关停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媒体称烧光 625 万美元后关停（2026-10，单一来源）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Physical Intelligence（π）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基础模型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 亿美元@56 亿美元（2025-11）；2026-03 报道洽谈 10 亿美元@110 亿美元+（未确认交割）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未披露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L2（合作伙伴试点）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B/C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Skild AI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基础模型（跨本体）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14 亿美元 C 轮@140 亿美元+（2026-01，软银领投）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未审计收入约 3,000 万美元；彭博称首个商业部署 10 个月后年化收入运行率过 1 亿美元、客户 60+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B/C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Google DeepMind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美国/英国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基础模型（平台）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Alphabet 内部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与 Apptronik、Boston Dynamics（Atlas 车队）合作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NVIDIA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平台（算力+模型+仿真）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Jetson AGX Thor 开发套件 3,499 美元、T5000 模组千片价 2,999 美元；Agility、BD、银河等采用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L5（工具链）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Generalist AI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基础模型（人类交互数据）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 亿美元@20 亿美元（2026-06）；追加约 2 亿美元@约 30 亿美元（2026-08）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未披露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星海图 Galaxea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基础模型+本体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 年 B 轮约 10 亿元+B+ 轮近 20 亿元，投后超 200 亿元（媒体）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未披露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L2–L3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千寻智能 Spirit AI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中国·杭州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基础模型+本体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2026H1 累计融资近 45 亿元，估值约 200 亿元（36 氪统计）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未披露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L3（公司称）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自变量 X Square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中国·深圳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基础模型（统一模型）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估值约 100 亿元，累计融资超 40 亿元（媒体汇总）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家庭服务试点（与 58 同城，公司口径）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它石智航 TARS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中国·上海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基础模型（人类数据+触觉）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天使 2.42 亿美元（2025Q2）；Pre-A 4.55 亿美元（2026-04-16，国内单轮纪录）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未披露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智平方 AI² Robotics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中国·深圳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基础模型+本体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未上市（传拟赴港）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单一来源称约 200 亿元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未披露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L2–L3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灵初智能 Psi Robot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中国·北京/上海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基础模型（灵巧操作）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推进中轮次估值约 14.8 亿美元（媒体）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未披露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极佳视界 GigaAI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世界模型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Pre-B 10 亿元（2026 年，媒体）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未披露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L1–L2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原力灵机 Dexmal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基础模型+评测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未核实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未披露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字节跳动 Seed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大厂研究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母公司未上市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未商业化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L1–L2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阿里巴巴（达摩院/通义）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大厂研究+投资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L1–L2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腾讯 Robotics X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大厂研究+合作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L1–L2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蚂蚁灵波 Robbyant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大厂研究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L1–L2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北京人形机器人创新中心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国家/地方平台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国资平台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公共数据与本体平台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国家/地方数据采集与训练中心（群组）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中国多地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数据基础设施（政策驱动）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国资主导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贵州等地按采集方式补贴（遥操作 30 元/小时等）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B/C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绿的谐波 Leaderdrive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中国·苏州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减速器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科创板 688017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以实时行情为准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营收 5.71 亿元（+47%）、归母净利 1.24 亿元、销量 42.5 万台、综合毛利率 36.9%；2026H1 毛利率降至 32.3%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L5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哈默纳科 Harmonic Drive Systems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日本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减速器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东证上市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全球份额约 40%（2024，QYResearch 口径）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L5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来福谐波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减速器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港股 03952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行星滚柱丝杠群组（北特科技、五洲新春、恒立液压、贝斯特等）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丝杠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 股上市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以实时行情为准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国产化率约 20%、良率约 60%（券商口径）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L3–L4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舍弗勒 Schaeffler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德国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执行器/轴承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因时机器人 Inspire Robots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灵巧手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未核实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灵巧手出货 &gt;1 万台、行业第一（GGII 口径，媒体）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灵心巧手 Linkerbot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灵巧手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媒体称估值约 30 亿美元、新一轮目标 60 亿美元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公司称 2025Q4 收入 2.5 亿元（2024 年约 1,000 万元）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L3–L4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强脑科技 BrainCo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中国·杭州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灵巧手/脑机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未核实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灵巧手出货并列第二（GGII 口径，媒体）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触觉传感群组（帕西尼等）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触觉/电子皮肤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未上市为主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未核实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未披露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L2–L3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六维力传感群组（ATI、宇立、柯力传感等）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全球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力觉传感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部分上市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L4–L5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奥比中光 Orbbec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中国·深圳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3D 视觉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科创板 688322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以实时行情为准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机器人视觉主要国产供应商之一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L5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禾赛 / 速腾聚创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激光雷达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L5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地平线 / 地瓜机器人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端侧芯片与开发平台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地平线港股上市；地瓜未上市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地瓜 2026-04 完成 1.5 亿美元 B2 轮（媒体）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汇川/雷赛/鸣志等运动控制群组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伺服/电机/驱动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 股上市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L5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拓普集团 / 三花智控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执行器总成（Tier1）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 股上市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市场传闻为海外人形主机厂供应商（未经公司确认）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L3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极智嘉 Geek+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仓储 AMR（对照组）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港股 2590.HK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以实时行情为准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营收 31.71 亿元（+31.6%）、毛利率 35.5%、经调整净利润 4,382 万元；新签订单 41.37 亿元；海外收入占 75%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L5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GXO Logistics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客户（第三方物流）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 45 次人形试点、尚未实现 ROI；2026 年计划部署约 2 万台机器人，无一为人形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亚马逊 Amazon Robotics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客户+自研（对照组）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年宣布部署机器人累计超 100 万台（公司口径）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L5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越疆 Dobot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中国·深圳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协作机器人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港股上市；2026-04 递交创业板（H 回 A）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L5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云迹科技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服务机器人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港股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媒体称上一年亏损 1.85 亿元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梅卡曼德 Mech-Mind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中国·北京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3D 视觉+工业机器人软件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未上市（本次未核实）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创始人公开批评'攒局型具身创业靠关联交易制造收入'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L5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Hugging Face LeRobot</w:t>
            </w:r>
          </w:p>
        </w:tc>
        <w:tc>
          <w:tcPr>
            <w:tcW w:type="dxa" w:w="96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全球</w:t>
            </w:r>
          </w:p>
        </w:tc>
        <w:tc>
          <w:tcPr>
            <w:tcW w:type="dxa" w:w="172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开源工具链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未上市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开源社区</w:t>
            </w:r>
          </w:p>
        </w:tc>
        <w:tc>
          <w:tcPr>
            <w:tcW w:type="dxa" w:w="207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L4（工具）</w:t>
            </w:r>
          </w:p>
        </w:tc>
        <w:tc>
          <w:tcPr>
            <w:tcW w:type="dxa" w:w="4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附录 1-B　核心产品、路线与关键风险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56"/>
        <w:gridCol w:w="4856"/>
        <w:gridCol w:w="4858"/>
      </w:tblGrid>
      <w:tr>
        <w:trPr>
          <w:cantSplit w:val="false"/>
          <w:tblHeader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名称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核心产品/路线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关键风险/备注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宇树科技 Unitree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G1/H1/H2/R1 人形、Go/B 系列四足；自研电机关节，成本领先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增速由 2025 年 +335% 降至 2026H1 +48.5%；需求以科研、教育、文娱为主；美国采购限制法案指名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智元机器人 AgiBot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远征/灵犀/精灵多产品线；GO-1/GO-2/Genie Envisioner；控股上纬新材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出货口径含多形态；营收与订单结构未经审计披露；估值对收入敏感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优必选 UBTech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Walker S2（自主换电）、天工行者、教育/消费机器人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大额收入来自数据采集与训练中心等政府/国资项目；全尺寸人形隐含均价约 64–76 万元/台（含方案）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银河通用 Galbot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Galbot G1 轮式双臂；GraspVLA、仿真合成数据；银河太空舱零售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最大客户宁德时代同为股东（关联方收入占比是 IPO 核心问题）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乐聚机器人 Leju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KUAVO 等；教育科研与工业实训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教育科研依赖；第四套标准对盈利无硬性要求但审核趋严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云深处 DEEP Robotics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绝影系列四足，电力/化工巡检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四足巡检是少数已闭环的特种场景；与宇树、海外 ANYbotics 竞争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星动纪元 Robot Era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STAR 系列、ERA-42、VPP；物流场景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清华系；订单与部署规模未审计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逐际动力 LimX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TRON 双足/轮足、Oli 人形、开发平台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开发者平台定位，规模化收入路径待验证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星尘智能 Astribot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Astribot S1 轮式绳驱双臂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绳驱路线的寿命与精度需长周期验证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傅利叶 Fourier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康复机器人起家，GR 系列人形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人形与康复两业务协同性待证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加速进化 Booster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T1/K1 等小尺寸人形，RoboCup/教育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低价竞争激烈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松延动力 Noetix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Bumi 等低价小尺寸人形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价格战，单台毛利有限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小鹏 IRON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IRON 人形；VLA 与自研芯片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车企复用芯片/大模型/制造体系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小米机器人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CyberOne、Xiaomi-Robotics 系列模型、自家工厂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工厂场景内部消化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达闼 CloudMinds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云端机器人、Ginger 人形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高估值+云端路线+收入不可持续的典型失败路径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特斯拉 Optimus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Optimus V3（22 自由度手）；AI5 芯片；弗里蒙特产线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V3 发布多次推迟；管理层称手部为最难问题、未给单位成本目标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Figure AI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Figure 03；BotQ 工厂；Helix 02/2.5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收入极少（媒体称前一年无收入）；估值完全依赖未来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Agility Robotics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Digit 4/5；RaaS 模式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GXO 称 45 次人形试点尚未实现 ROI；2026 年 GXO 部署 2 万台机器人无一为人形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Apptronik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Apollo；与 Google DeepMind 合作；Jabil 制造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大额融资先于商业验证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Boston Dynamics（现代）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量产版电动 Atlas；Spot/Stretch 已商用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大客户内部消化模式；2028 年才进入 Metaplant 规模部署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1X Technologies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NEO 家用人形；遥操作'专家模式'兜底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家庭场景遥操作依赖与隐私问题；估值下修是美国市场重定价信号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Sunday Robotics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Memo 家庭机器人；手套采集数据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家庭场景收入验证极早期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K-Scale Labs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低价开源人形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低价开源整机缺乏收入与资本密度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Physical Intelligence（π）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π0/π0.5/π0.6/π0.7；开源上一代；API 测试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不造本体，依赖第三方硬件与数据合作伙伴；商业模式未定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Skild AI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Skild Brain；跨本体通用大脑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收入口径（运行率、硬件转售占比）需核实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Google DeepMind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Gemini Robotics 1.5/2、Gemini Robotics-ER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模型能力领先但商业化通过伙伴，变现路径不清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NVIDIA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GR00T N 系列开源模型、Isaac/Cosmos、Jetson Thor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全栈'卖铲子'；开源模型压低模型创业公司溢价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Generalist AI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GEN-0/GEN-1；50 万小时+人类交互数据（公司口径）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数据规模领先但可迁移性需第三方验证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星海图 Galaxea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G0/G0.5 模型、R1 系列本体、开放数据集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模型+本体双线，资本消耗大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千寻智能 Spirit AI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Spirit v1.x；工业场景（宁德时代等，公司口径）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RoboArena 评测事件（2026-06）暴露评测公信力问题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自变量 X Square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WALL-OSS/WALL-B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投资方含阿里、美团、字节、小米等，战略资本主导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它石智航 TARS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AWE 世界模型；WIYH 数据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成立约一年两轮近 7 亿美元；'百万小时数据'为公司说法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智平方 AI² Robotics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GOVLA、FiS-VLA；工业场景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估值信息可信度低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灵初智能 Psi Robot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Psi-R1/R2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灵巧操作路线依赖手部硬件成熟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极佳视界 GigaAI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GigaWorld/GigaBrain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世界模型商业化路径（数据生成/仿真服务）未验证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原力灵机 Dexmal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RoboChallenge 真机评测平台、DM0 模型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评测平台中立性与自家模型的利益冲突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字节跳动 Seed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GR-1/2/3、GR-RL、Robix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有能力随时纵向整合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阿里巴巴（达摩院/通义）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Qwen-VL 成为具身最常用开源底座之一；RynnBrain；投资多家具身公司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底座开源压低模型层溢价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腾讯 Robotics X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Tairos 平台、RxBrain；与宇树等合作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平台化策略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蚂蚁灵波 Robbyant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LingBot-VLA/World/Depth（开源）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开源策略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北京人形机器人创新中心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天工、RoboMIND 数据集、开源本体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公共平台与创业公司存在竞合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国家/地方数据采集与训练中心（群组）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数采中心、训练场；工信部/国资委'实景实训'专项行动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既是整机大客户，也可能挤出商业数据公司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绿的谐波 Leaderdrive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谐波减速器、机电一体化关节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均价长期下行；人形需求尚小，股价主要反映预期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哈默纳科 Harmonic Drive Systems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谐波减速器龙头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高端精度与寿命仍领先，价格高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来福谐波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谐波减速器新锐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新进入者加剧价格竞争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行星滚柱丝杠群组（北特科技、五洲新春、恒立液压、贝斯特等）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行星滚柱/微型滚珠丝杠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磨削设备与工艺是瓶颈；概念股估值高于基本面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舍弗勒 Schaeffler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关节执行器、精密轴承；Agility 客户兼供应商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传统零部件巨头切入人形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因时机器人 Inspire Robots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RH56 系列连杆灵巧手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低自由度手价格战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灵心巧手 Linkerbot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Linker Hand 系列（O6 标准版 6,666 元）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自称高自由度灵巧手全球份额 80%+（自定义口径）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强脑科技 BrainCo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智能仿生手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触觉传感群组（帕西尼等）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多维触觉传感器、触觉数据采集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缺统一标准；耐久性与标定是关键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六维力传感群组（ATI、宇立、柯力传感等）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六维力/力矩传感器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高端六维力仍由海外主导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奥比中光 Orbbec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RGB-D 深度相机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单机价值量低、客户集中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禾赛 / 速腾聚创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机器人用 3D 激光雷达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价格快速下降，商品化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地平线 / 地瓜机器人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RDK 系列；HoloBrain/HoloMotion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国产端侧算力替代 Jetson 的主要选手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汇川/雷赛/鸣志等运动控制群组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伺服驱动、无框力矩电机、空心杯电机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工业自动化存量业务托底，人形为增量期权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拓普集团 / 三花智控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线性/旋转执行器总成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依赖单一大客户节奏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极智嘉 Geek+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货到人 AMR、料箱机器人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证明'非人形+单一场景'可以盈利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GXO Logistics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人形与非人形自动化试点平台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最有说服力的客户侧证据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亚马逊 Amazon Robotics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Proteus/Sequoia/Sparrow 等；测试 Digit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大规模自动化未依赖人形形态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越疆 Dobot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协作臂、复合机器人、人形探索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协作臂价格战成熟化，是人形的现实替代方案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云迹科技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酒店配送机器人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服务机器人长期盈利难的参照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梅卡曼德 Mech-Mind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AI+3D 视觉引导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传统工业 AI 公司的视角</w:t>
            </w:r>
          </w:p>
        </w:tc>
      </w:tr>
      <w:tr>
        <w:trPr>
          <w:cantSplit w:val="false"/>
          <w:tblHeader w:val="false"/>
        </w:trPr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Hugging Face LeRobot</w:t>
            </w:r>
          </w:p>
        </w:tc>
        <w:tc>
          <w:tcPr>
            <w:tcW w:type="dxa" w:w="485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LeRobot、SO-101 低价臂</w:t>
            </w:r>
          </w:p>
        </w:tc>
        <w:tc>
          <w:tcPr>
            <w:tcW w:type="dxa" w:w="485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6"/>
                <w:szCs w:val="16"/>
              </w:rPr>
              <w:t xml:space="preserve">降低进入门槛、压缩工具类创业空间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45" w:id="1145"/>
      <w:r>
        <w:t xml:space="preserve">附录 2　代表企业核心指标对比矩阵</w:t>
      </w:r>
      <w:bookmarkEnd w:id="1145"/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统一口径：收入指最近完整会计年度的营业收入。估值取最近一次公开口径，并注明时间。"—"表示未披露或不适用。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3"/>
        <w:gridCol w:w="2231"/>
        <w:gridCol w:w="2231"/>
        <w:gridCol w:w="1575"/>
        <w:gridCol w:w="1640"/>
        <w:gridCol w:w="918"/>
        <w:gridCol w:w="1246"/>
        <w:gridCol w:w="2231"/>
        <w:gridCol w:w="1645"/>
      </w:tblGrid>
      <w:tr>
        <w:trPr>
          <w:cantSplit w:val="false"/>
          <w:tblHeader/>
        </w:trPr>
        <w:tc>
          <w:tcPr>
            <w:tcW w:type="dxa" w:w="8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指标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宇树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优必选</w:t>
            </w:r>
          </w:p>
        </w:tc>
        <w:tc>
          <w:tcPr>
            <w:tcW w:type="dxa" w:w="15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智元</w:t>
            </w:r>
          </w:p>
        </w:tc>
        <w:tc>
          <w:tcPr>
            <w:tcW w:type="dxa" w:w="16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云深处</w:t>
            </w:r>
          </w:p>
        </w:tc>
        <w:tc>
          <w:tcPr>
            <w:tcW w:type="dxa" w:w="9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乐聚</w:t>
            </w:r>
          </w:p>
        </w:tc>
        <w:tc>
          <w:tcPr>
            <w:tcW w:type="dxa" w:w="124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Agility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Figure</w:t>
            </w:r>
          </w:p>
        </w:tc>
        <w:tc>
          <w:tcPr>
            <w:tcW w:type="dxa" w:w="16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Skild</w:t>
            </w:r>
          </w:p>
        </w:tc>
      </w:tr>
      <w:tr>
        <w:trPr>
          <w:cantSplit w:val="false"/>
          <w:tblHeader w:val="false"/>
        </w:trPr>
        <w:tc>
          <w:tcPr>
            <w:tcW w:type="dxa" w:w="8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2025 收入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17.08 亿元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20.01 亿元</w:t>
            </w:r>
          </w:p>
        </w:tc>
        <w:tc>
          <w:tcPr>
            <w:tcW w:type="dxa" w:w="15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约 10.5 亿元（公司口径）</w:t>
            </w:r>
          </w:p>
        </w:tc>
        <w:tc>
          <w:tcPr>
            <w:tcW w:type="dxa" w:w="16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3.37 亿元</w:t>
            </w:r>
          </w:p>
        </w:tc>
        <w:tc>
          <w:tcPr>
            <w:tcW w:type="dxa" w:w="9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2.58 亿元</w:t>
            </w:r>
          </w:p>
        </w:tc>
        <w:tc>
          <w:tcPr>
            <w:tcW w:type="dxa" w:w="124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180 万美元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极少</w:t>
            </w:r>
          </w:p>
        </w:tc>
        <w:tc>
          <w:tcPr>
            <w:tcW w:type="dxa" w:w="16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约 3,000 万美元（未审计）</w:t>
            </w:r>
          </w:p>
        </w:tc>
      </w:tr>
      <w:tr>
        <w:trPr>
          <w:cantSplit w:val="false"/>
          <w:tblHeader w:val="false"/>
        </w:trPr>
        <w:tc>
          <w:tcPr>
            <w:tcW w:type="dxa" w:w="8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收入增速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+335%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+53%</w:t>
            </w:r>
          </w:p>
        </w:tc>
        <w:tc>
          <w:tcPr>
            <w:tcW w:type="dxa" w:w="15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+227%</w:t>
            </w:r>
          </w:p>
        </w:tc>
        <w:tc>
          <w:tcPr>
            <w:tcW w:type="dxa" w:w="9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24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6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 w:val="false"/>
          <w:tblHeader w:val="false"/>
        </w:trPr>
        <w:tc>
          <w:tcPr>
            <w:tcW w:type="dxa" w:w="8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毛利率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约 60%（主营）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37.7%</w:t>
            </w:r>
          </w:p>
        </w:tc>
        <w:tc>
          <w:tcPr>
            <w:tcW w:type="dxa" w:w="15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未披露</w:t>
            </w:r>
          </w:p>
        </w:tc>
        <w:tc>
          <w:tcPr>
            <w:tcW w:type="dxa" w:w="16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未核实</w:t>
            </w:r>
          </w:p>
        </w:tc>
        <w:tc>
          <w:tcPr>
            <w:tcW w:type="dxa" w:w="9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未核实</w:t>
            </w:r>
          </w:p>
        </w:tc>
        <w:tc>
          <w:tcPr>
            <w:tcW w:type="dxa" w:w="124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6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 w:val="false"/>
          <w:tblHeader w:val="false"/>
        </w:trPr>
        <w:tc>
          <w:tcPr>
            <w:tcW w:type="dxa" w:w="8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盈利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盈利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亏损</w:t>
            </w:r>
          </w:p>
        </w:tc>
        <w:tc>
          <w:tcPr>
            <w:tcW w:type="dxa" w:w="15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未披露</w:t>
            </w:r>
          </w:p>
        </w:tc>
        <w:tc>
          <w:tcPr>
            <w:tcW w:type="dxa" w:w="16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盈利（0.29 亿元）</w:t>
            </w:r>
          </w:p>
        </w:tc>
        <w:tc>
          <w:tcPr>
            <w:tcW w:type="dxa" w:w="9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未核实</w:t>
            </w:r>
          </w:p>
        </w:tc>
        <w:tc>
          <w:tcPr>
            <w:tcW w:type="dxa" w:w="124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经营亏损 1.4 亿美元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亏损</w:t>
            </w:r>
          </w:p>
        </w:tc>
        <w:tc>
          <w:tcPr>
            <w:tcW w:type="dxa" w:w="16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未披露</w:t>
            </w:r>
          </w:p>
        </w:tc>
      </w:tr>
      <w:tr>
        <w:trPr>
          <w:cantSplit w:val="false"/>
          <w:tblHeader w:val="false"/>
        </w:trPr>
        <w:tc>
          <w:tcPr>
            <w:tcW w:type="dxa" w:w="8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人形出货/销量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2025 年超过 5,500 台；2026H1 超过 7,000 台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2025 年全尺寸 1,079 台；2026H1 921 台</w:t>
            </w:r>
          </w:p>
        </w:tc>
        <w:tc>
          <w:tcPr>
            <w:tcW w:type="dxa" w:w="15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2026H1 约 9,700 台</w:t>
            </w:r>
          </w:p>
        </w:tc>
        <w:tc>
          <w:tcPr>
            <w:tcW w:type="dxa" w:w="16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四足为主</w:t>
            </w:r>
          </w:p>
        </w:tc>
        <w:tc>
          <w:tcPr>
            <w:tcW w:type="dxa" w:w="9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2026H1 650 台</w:t>
            </w:r>
          </w:p>
        </w:tc>
        <w:tc>
          <w:tcPr>
            <w:tcW w:type="dxa" w:w="124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9 个站点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2026-07 累计生产 1,000 台 Figure 03</w:t>
            </w:r>
          </w:p>
        </w:tc>
        <w:tc>
          <w:tcPr>
            <w:tcW w:type="dxa" w:w="16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不造本体</w:t>
            </w:r>
          </w:p>
        </w:tc>
      </w:tr>
      <w:tr>
        <w:trPr>
          <w:cantSplit w:val="false"/>
          <w:tblHeader w:val="false"/>
        </w:trPr>
        <w:tc>
          <w:tcPr>
            <w:tcW w:type="dxa" w:w="8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估值或市值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约 2,083 亿元（9-18）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港股（实时）</w:t>
            </w:r>
          </w:p>
        </w:tc>
        <w:tc>
          <w:tcPr>
            <w:tcW w:type="dxa" w:w="15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约 500 亿元（传闻）</w:t>
            </w:r>
          </w:p>
        </w:tc>
        <w:tc>
          <w:tcPr>
            <w:tcW w:type="dxa" w:w="16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约 139 亿元（IPO 前推算）</w:t>
            </w:r>
          </w:p>
        </w:tc>
        <w:tc>
          <w:tcPr>
            <w:tcW w:type="dxa" w:w="9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43.27 亿元</w:t>
            </w:r>
          </w:p>
        </w:tc>
        <w:tc>
          <w:tcPr>
            <w:tcW w:type="dxa" w:w="124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25 亿美元（SPAC）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390 亿美元</w:t>
            </w:r>
          </w:p>
        </w:tc>
        <w:tc>
          <w:tcPr>
            <w:tcW w:type="dxa" w:w="16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140 亿美元以上</w:t>
            </w:r>
          </w:p>
        </w:tc>
      </w:tr>
      <w:tr>
        <w:trPr>
          <w:cantSplit w:val="false"/>
          <w:tblHeader w:val="false"/>
        </w:trPr>
        <w:tc>
          <w:tcPr>
            <w:tcW w:type="dxa" w:w="8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主要需求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科研、教育、文娱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政府数采、工业实训</w:t>
            </w:r>
          </w:p>
        </w:tc>
        <w:tc>
          <w:tcPr>
            <w:tcW w:type="dxa" w:w="15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多场景</w:t>
            </w:r>
          </w:p>
        </w:tc>
        <w:tc>
          <w:tcPr>
            <w:tcW w:type="dxa" w:w="16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电力与化工巡检</w:t>
            </w:r>
          </w:p>
        </w:tc>
        <w:tc>
          <w:tcPr>
            <w:tcW w:type="dxa" w:w="9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教育科研、工业</w:t>
            </w:r>
          </w:p>
        </w:tc>
        <w:tc>
          <w:tcPr>
            <w:tcW w:type="dxa" w:w="124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物流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汽车（宝马）</w:t>
            </w:r>
          </w:p>
        </w:tc>
        <w:tc>
          <w:tcPr>
            <w:tcW w:type="dxa" w:w="16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多行业</w:t>
            </w:r>
          </w:p>
        </w:tc>
      </w:tr>
      <w:tr>
        <w:trPr>
          <w:cantSplit w:val="false"/>
          <w:tblHeader w:val="false"/>
        </w:trPr>
        <w:tc>
          <w:tcPr>
            <w:tcW w:type="dxa" w:w="8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证据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A/B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A/B</w:t>
            </w:r>
          </w:p>
        </w:tc>
        <w:tc>
          <w:tcPr>
            <w:tcW w:type="dxa" w:w="15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B/C</w:t>
            </w:r>
          </w:p>
        </w:tc>
        <w:tc>
          <w:tcPr>
            <w:tcW w:type="dxa" w:w="16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A/B</w:t>
            </w:r>
          </w:p>
        </w:tc>
        <w:tc>
          <w:tcPr>
            <w:tcW w:type="dxa" w:w="91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A/B</w:t>
            </w:r>
          </w:p>
        </w:tc>
        <w:tc>
          <w:tcPr>
            <w:tcW w:type="dxa" w:w="124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</w:t>
            </w:r>
          </w:p>
        </w:tc>
        <w:tc>
          <w:tcPr>
            <w:tcW w:type="dxa" w:w="22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B/C</w:t>
            </w:r>
          </w:p>
        </w:tc>
        <w:tc>
          <w:tcPr>
            <w:tcW w:type="dxa" w:w="164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B/C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46" w:id="1146"/>
      <w:r>
        <w:t xml:space="preserve">附录 3　核心硬件与软件技术成熟度矩阵</w:t>
      </w:r>
      <w:bookmarkEnd w:id="1146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2"/>
        <w:gridCol w:w="2393"/>
        <w:gridCol w:w="1478"/>
        <w:gridCol w:w="2393"/>
        <w:gridCol w:w="2393"/>
        <w:gridCol w:w="563"/>
        <w:gridCol w:w="1548"/>
        <w:gridCol w:w="985"/>
        <w:gridCol w:w="2395"/>
      </w:tblGrid>
      <w:tr>
        <w:trPr>
          <w:cantSplit w:val="false"/>
          <w:tblHeader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类别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技术/部件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成熟度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关键指标现状（2026-10）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主要瓶颈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进步速度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接近物理/工程约束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降本空间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投资含义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硬件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旋转关节模组（电机+谐波/行星减速器）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L5（工业）/L4（人形）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国产化率高，价格年降 10%–20%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峰值扭矩密度、散热、寿命一致性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部分接近（材料与散热）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高（规模）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商品化，利润向高端模组与一体化设计集中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硬件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行星滚柱丝杠/线性执行器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L3–L4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国产化率约 20%、良率约 60%（券商口径）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磨削设备、热处理、寿命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否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中（工艺受限）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具备独立投资价值的工艺壁垒环节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硬件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灵巧手（低自由度连杆）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L4–L5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6 自由度手数千元；2025 国内出货约 1.92 万只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负载与寿命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快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否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价格战，难以独立高估值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硬件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灵巧手（高自由度+触觉）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L2–L3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20+ 自由度、带触觉的手数万至十余万元；特斯拉称手部为最难机电问题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腱绳/微型驱动寿命、触觉标定、维修性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部分（体积/功率密度）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高价值高风险；需看寿命数据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硬件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触觉传感/电子皮肤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L2–L3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方案多样、缺统一标准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耐久性、漂移、标定与数据利用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快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否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早期机会；与数据采集结合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硬件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六维力/力矩传感器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L4–L5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高端以海外为主，国产追赶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温漂、过载保护、成本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否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国产替代机会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硬件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视觉/深度/激光雷达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L5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国产成本优势明显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反光/透明物体、标定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慢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商品化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硬件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端侧 AI 计算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L4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Jetson AGX Thor 模组千片价 2,999 美元；国产 SoC 推广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功耗/散热、工具链、出口管制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快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否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NVIDIA 主导高端，国产替代中低端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硬件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电池与能源管理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L4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人形续航约 2–4 小时级（多数公司口径），换电/无线充电出现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能量密度、热安全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慢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是（电化学）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以换电与运营调度提高可用率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硬件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整机可靠性与可维修性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L2–L3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缺少公开 MTBF；工厂试点多在实训区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设计、品控、现场服务网络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否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交付与售后能力是关键差异化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软件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全身运动控制（RL + sim2real）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L4–L5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跑跳、舞蹈普遍可用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负载下稳健性、跌倒恢复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快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已商品化，难以形成壁垒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软件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导航与建图（移动底盘）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L5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成熟（AMR 产业验证）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动态人流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慢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商品化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软件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结构化场景抓取放置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L4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固定工位成功率可达 99% 级（多为公司口径）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节拍、换型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可商业化，与传统自动化竞争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软件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开放环境移动操作（VLA）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L2–L3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陌生家庭整任务约 56%（Figure 自评）；BEHAVIOR 完整成功率约 12%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长尾、长时序、误差累积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快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否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技术期权；看接管率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软件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长时序任务规划与记忆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L2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约 10–15 分钟级任务演示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错误恢复、记忆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快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否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关键前沿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软件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世界模型（数据生成/评估/策略）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L1–L2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多家开源；用于数据生成与评估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物理一致性、算力成本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快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否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工具价值先于策略价值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软件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强化学习后训练（真机/世界模型内）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L2–L3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π*0.6 RECAP、GR-RL 等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安全探索、奖励设计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快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否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提升部署可靠性的关键路径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软件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人机安全与功能安全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L2–L3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标准体系 2026 年发布，认证体系建设中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动态环境下的安全证明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慢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否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认证与安全组件机会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软件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机器人 OS/中间件/车队管理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L3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ROS 2 + 各家自研；车队管理初现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标准化、实时性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随部署规模提升价值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数据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真机遥操作数据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L4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约千元/小时量级（二手口径）；补贴 30 元/小时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成本、多样性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商品化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数据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无本体（UMI/手套）与人类视频数据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L3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十万至百万小时级（公司口径）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形态鸿沟、动作标注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快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规模化主路径</w:t>
            </w:r>
          </w:p>
        </w:tc>
      </w:tr>
      <w:tr>
        <w:trPr>
          <w:cantSplit w:val="false"/>
          <w:tblHeader w:val="false"/>
        </w:trPr>
        <w:tc>
          <w:tcPr>
            <w:tcW w:type="dxa" w:w="4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数据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仿真与合成数据</w:t>
            </w:r>
          </w:p>
        </w:tc>
        <w:tc>
          <w:tcPr>
            <w:tcW w:type="dxa" w:w="147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L3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十亿帧级（公司口径）</w:t>
            </w:r>
          </w:p>
        </w:tc>
        <w:tc>
          <w:tcPr>
            <w:tcW w:type="dxa" w:w="23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sim2real 鸿沟</w:t>
            </w:r>
          </w:p>
        </w:tc>
        <w:tc>
          <w:tcPr>
            <w:tcW w:type="dxa" w:w="5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快</w:t>
            </w:r>
          </w:p>
        </w:tc>
        <w:tc>
          <w:tcPr>
            <w:tcW w:type="dxa" w:w="154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9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239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与世界模型融合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47" w:id="1147"/>
      <w:r>
        <w:t xml:space="preserve">附录 4　下游场景商业化与 ROI 比较</w:t>
      </w:r>
      <w:bookmarkEnd w:id="1147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8"/>
        <w:gridCol w:w="1668"/>
        <w:gridCol w:w="1989"/>
        <w:gridCol w:w="1347"/>
        <w:gridCol w:w="2053"/>
        <w:gridCol w:w="1283"/>
        <w:gridCol w:w="2182"/>
        <w:gridCol w:w="898"/>
        <w:gridCol w:w="1482"/>
      </w:tblGrid>
      <w:tr>
        <w:trPr>
          <w:cantSplit w:val="false"/>
          <w:tblHeader/>
        </w:trPr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场景</w:t>
            </w:r>
          </w:p>
        </w:tc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典型任务</w:t>
            </w:r>
          </w:p>
        </w:tc>
        <w:tc>
          <w:tcPr>
            <w:tcW w:type="dxa" w:w="19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现有方案</w:t>
            </w:r>
          </w:p>
        </w:tc>
        <w:tc>
          <w:tcPr>
            <w:tcW w:type="dxa" w:w="1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人形必要性</w:t>
            </w:r>
          </w:p>
        </w:tc>
        <w:tc>
          <w:tcPr>
            <w:tcW w:type="dxa" w:w="20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商业化门槛</w:t>
            </w:r>
          </w:p>
        </w:tc>
        <w:tc>
          <w:tcPr>
            <w:tcW w:type="dxa" w:w="12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2026 阶段</w:t>
            </w:r>
          </w:p>
        </w:tc>
        <w:tc>
          <w:tcPr>
            <w:tcW w:type="dxa" w:w="21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回本周期</w:t>
            </w:r>
          </w:p>
        </w:tc>
        <w:tc>
          <w:tcPr>
            <w:tcW w:type="dxa" w:w="8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决策方</w:t>
            </w:r>
          </w:p>
        </w:tc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优先级</w:t>
            </w:r>
          </w:p>
        </w:tc>
      </w:tr>
      <w:tr>
        <w:trPr>
          <w:cantSplit w:val="false"/>
          <w:tblHeader w:val="false"/>
        </w:trPr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特种巡检（电力/化工/隧道）</w:t>
            </w:r>
          </w:p>
        </w:tc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巡检、读表、红外测温</w:t>
            </w:r>
          </w:p>
        </w:tc>
        <w:tc>
          <w:tcPr>
            <w:tcW w:type="dxa" w:w="19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人工+固定传感器</w:t>
            </w:r>
          </w:p>
        </w:tc>
        <w:tc>
          <w:tcPr>
            <w:tcW w:type="dxa" w:w="1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低（四足/轮式更优）</w:t>
            </w:r>
          </w:p>
        </w:tc>
        <w:tc>
          <w:tcPr>
            <w:tcW w:type="dxa" w:w="20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危险替代价值高，可用率 ≥95%</w:t>
            </w:r>
          </w:p>
        </w:tc>
        <w:tc>
          <w:tcPr>
            <w:tcW w:type="dxa" w:w="12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L4（四足已盈利）</w:t>
            </w:r>
          </w:p>
        </w:tc>
        <w:tc>
          <w:tcPr>
            <w:tcW w:type="dxa" w:w="21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1–3 年（四足）</w:t>
            </w:r>
          </w:p>
        </w:tc>
        <w:tc>
          <w:tcPr>
            <w:tcW w:type="dxa" w:w="8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安全/运维部门</w:t>
            </w:r>
          </w:p>
        </w:tc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A</w:t>
            </w:r>
          </w:p>
        </w:tc>
      </w:tr>
      <w:tr>
        <w:trPr>
          <w:cantSplit w:val="false"/>
          <w:tblHeader w:val="false"/>
        </w:trPr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仓储物流搬箱/料箱</w:t>
            </w:r>
          </w:p>
        </w:tc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料箱搬运、拆码垛、上下货架</w:t>
            </w:r>
          </w:p>
        </w:tc>
        <w:tc>
          <w:tcPr>
            <w:tcW w:type="dxa" w:w="19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人工、AMR、输送线、拆码垛机器人</w:t>
            </w:r>
          </w:p>
        </w:tc>
        <w:tc>
          <w:tcPr>
            <w:tcW w:type="dxa" w:w="1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中低（轮式/专用更优）</w:t>
            </w:r>
          </w:p>
        </w:tc>
        <w:tc>
          <w:tcPr>
            <w:tcW w:type="dxa" w:w="20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吞吐 ≥60% 人工、24 小时运行</w:t>
            </w:r>
          </w:p>
        </w:tc>
        <w:tc>
          <w:tcPr>
            <w:tcW w:type="dxa" w:w="12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L3（付费试点）</w:t>
            </w:r>
          </w:p>
        </w:tc>
        <w:tc>
          <w:tcPr>
            <w:tcW w:type="dxa" w:w="21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不回本→3–5 年（人形）；1–3 年（专用）</w:t>
            </w:r>
          </w:p>
        </w:tc>
        <w:tc>
          <w:tcPr>
            <w:tcW w:type="dxa" w:w="8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运营 VP + 财务</w:t>
            </w:r>
          </w:p>
        </w:tc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A-（形态中立公司）</w:t>
            </w:r>
          </w:p>
        </w:tc>
      </w:tr>
      <w:tr>
        <w:trPr>
          <w:cantSplit w:val="false"/>
          <w:tblHeader w:val="false"/>
        </w:trPr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3C/电子柔性上下料</w:t>
            </w:r>
          </w:p>
        </w:tc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上下料、检测、物料配送</w:t>
            </w:r>
          </w:p>
        </w:tc>
        <w:tc>
          <w:tcPr>
            <w:tcW w:type="dxa" w:w="19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人工、协作臂</w:t>
            </w:r>
          </w:p>
        </w:tc>
        <w:tc>
          <w:tcPr>
            <w:tcW w:type="dxa" w:w="1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中（多品种短周期）</w:t>
            </w:r>
          </w:p>
        </w:tc>
        <w:tc>
          <w:tcPr>
            <w:tcW w:type="dxa" w:w="20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成功率 ≥99.5%、换型快</w:t>
            </w:r>
          </w:p>
        </w:tc>
        <w:tc>
          <w:tcPr>
            <w:tcW w:type="dxa" w:w="12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L3</w:t>
            </w:r>
          </w:p>
        </w:tc>
        <w:tc>
          <w:tcPr>
            <w:tcW w:type="dxa" w:w="21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不回本→3–5 年</w:t>
            </w:r>
          </w:p>
        </w:tc>
        <w:tc>
          <w:tcPr>
            <w:tcW w:type="dxa" w:w="8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制造工程部</w:t>
            </w:r>
          </w:p>
        </w:tc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B+</w:t>
            </w:r>
          </w:p>
        </w:tc>
      </w:tr>
      <w:tr>
        <w:trPr>
          <w:cantSplit w:val="false"/>
          <w:tblHeader w:val="false"/>
        </w:trPr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汽车总装/零部件</w:t>
            </w:r>
          </w:p>
        </w:tc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上下料、物料配送、装配辅助</w:t>
            </w:r>
          </w:p>
        </w:tc>
        <w:tc>
          <w:tcPr>
            <w:tcW w:type="dxa" w:w="19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人工、AGV、固定自动化</w:t>
            </w:r>
          </w:p>
        </w:tc>
        <w:tc>
          <w:tcPr>
            <w:tcW w:type="dxa" w:w="1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中（旧产线为人设计）</w:t>
            </w:r>
          </w:p>
        </w:tc>
        <w:tc>
          <w:tcPr>
            <w:tcW w:type="dxa" w:w="20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满足节拍（数十秒级）、质量零缺陷</w:t>
            </w:r>
          </w:p>
        </w:tc>
        <w:tc>
          <w:tcPr>
            <w:tcW w:type="dxa" w:w="12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L3（试点多）</w:t>
            </w:r>
          </w:p>
        </w:tc>
        <w:tc>
          <w:tcPr>
            <w:tcW w:type="dxa" w:w="21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不回本→4–6 年</w:t>
            </w:r>
          </w:p>
        </w:tc>
        <w:tc>
          <w:tcPr>
            <w:tcW w:type="dxa" w:w="8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集团战略+工厂</w:t>
            </w:r>
          </w:p>
        </w:tc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实验室/医药自动化</w:t>
            </w:r>
          </w:p>
        </w:tc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样品转移、仪器操作</w:t>
            </w:r>
          </w:p>
        </w:tc>
        <w:tc>
          <w:tcPr>
            <w:tcW w:type="dxa" w:w="19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人工、专用工作站</w:t>
            </w:r>
          </w:p>
        </w:tc>
        <w:tc>
          <w:tcPr>
            <w:tcW w:type="dxa" w:w="1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20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精度、合规</w:t>
            </w:r>
          </w:p>
        </w:tc>
        <w:tc>
          <w:tcPr>
            <w:tcW w:type="dxa" w:w="12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L3</w:t>
            </w:r>
          </w:p>
        </w:tc>
        <w:tc>
          <w:tcPr>
            <w:tcW w:type="dxa" w:w="21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2–4 年（移动操作）</w:t>
            </w:r>
          </w:p>
        </w:tc>
        <w:tc>
          <w:tcPr>
            <w:tcW w:type="dxa" w:w="8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研发/QA</w:t>
            </w:r>
          </w:p>
        </w:tc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B+</w:t>
            </w:r>
          </w:p>
        </w:tc>
      </w:tr>
      <w:tr>
        <w:trPr>
          <w:cantSplit w:val="false"/>
          <w:tblHeader w:val="false"/>
        </w:trPr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商业服务/零售</w:t>
            </w:r>
          </w:p>
        </w:tc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导览、售卖、配送</w:t>
            </w:r>
          </w:p>
        </w:tc>
        <w:tc>
          <w:tcPr>
            <w:tcW w:type="dxa" w:w="19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人工、自助终端、配送机器人</w:t>
            </w:r>
          </w:p>
        </w:tc>
        <w:tc>
          <w:tcPr>
            <w:tcW w:type="dxa" w:w="1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20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体验与成本</w:t>
            </w:r>
          </w:p>
        </w:tc>
        <w:tc>
          <w:tcPr>
            <w:tcW w:type="dxa" w:w="12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L3–L4（展示为主）</w:t>
            </w:r>
          </w:p>
        </w:tc>
        <w:tc>
          <w:tcPr>
            <w:tcW w:type="dxa" w:w="21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难（与自助终端比）</w:t>
            </w:r>
          </w:p>
        </w:tc>
        <w:tc>
          <w:tcPr>
            <w:tcW w:type="dxa" w:w="8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市场部</w:t>
            </w:r>
          </w:p>
        </w:tc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科研教育</w:t>
            </w:r>
          </w:p>
        </w:tc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教学、科研平台</w:t>
            </w:r>
          </w:p>
        </w:tc>
        <w:tc>
          <w:tcPr>
            <w:tcW w:type="dxa" w:w="19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高（研究对象本身）</w:t>
            </w:r>
          </w:p>
        </w:tc>
        <w:tc>
          <w:tcPr>
            <w:tcW w:type="dxa" w:w="20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价格与开放性</w:t>
            </w:r>
          </w:p>
        </w:tc>
        <w:tc>
          <w:tcPr>
            <w:tcW w:type="dxa" w:w="12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L5</w:t>
            </w:r>
          </w:p>
        </w:tc>
        <w:tc>
          <w:tcPr>
            <w:tcW w:type="dxa" w:w="21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非 ROI 预算</w:t>
            </w:r>
          </w:p>
        </w:tc>
        <w:tc>
          <w:tcPr>
            <w:tcW w:type="dxa" w:w="8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院校</w:t>
            </w:r>
          </w:p>
        </w:tc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B（存量市场，增速放缓）</w:t>
            </w:r>
          </w:p>
        </w:tc>
      </w:tr>
      <w:tr>
        <w:trPr>
          <w:cantSplit w:val="false"/>
          <w:tblHeader w:val="false"/>
        </w:trPr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政府数采中心/训练场</w:t>
            </w:r>
          </w:p>
        </w:tc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数据采集、实训</w:t>
            </w:r>
          </w:p>
        </w:tc>
        <w:tc>
          <w:tcPr>
            <w:tcW w:type="dxa" w:w="19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20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财政预算</w:t>
            </w:r>
          </w:p>
        </w:tc>
        <w:tc>
          <w:tcPr>
            <w:tcW w:type="dxa" w:w="12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L4（一次性）</w:t>
            </w:r>
          </w:p>
        </w:tc>
        <w:tc>
          <w:tcPr>
            <w:tcW w:type="dxa" w:w="21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非 ROI 预算</w:t>
            </w:r>
          </w:p>
        </w:tc>
        <w:tc>
          <w:tcPr>
            <w:tcW w:type="dxa" w:w="8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地方政府/国资</w:t>
            </w:r>
          </w:p>
        </w:tc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C（一次性）</w:t>
            </w:r>
          </w:p>
        </w:tc>
      </w:tr>
      <w:tr>
        <w:trPr>
          <w:cantSplit w:val="false"/>
          <w:tblHeader w:val="false"/>
        </w:trPr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文娱商演/租赁</w:t>
            </w:r>
          </w:p>
        </w:tc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表演、展示</w:t>
            </w:r>
          </w:p>
        </w:tc>
        <w:tc>
          <w:tcPr>
            <w:tcW w:type="dxa" w:w="19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高（展示价值）</w:t>
            </w:r>
          </w:p>
        </w:tc>
        <w:tc>
          <w:tcPr>
            <w:tcW w:type="dxa" w:w="20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价格</w:t>
            </w:r>
          </w:p>
        </w:tc>
        <w:tc>
          <w:tcPr>
            <w:tcW w:type="dxa" w:w="12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L4（价格崩塌）</w:t>
            </w:r>
          </w:p>
        </w:tc>
        <w:tc>
          <w:tcPr>
            <w:tcW w:type="dxa" w:w="21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日租由万元级降至千元级</w:t>
            </w:r>
          </w:p>
        </w:tc>
        <w:tc>
          <w:tcPr>
            <w:tcW w:type="dxa" w:w="8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活动方</w:t>
            </w:r>
          </w:p>
        </w:tc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D</w:t>
            </w:r>
          </w:p>
        </w:tc>
      </w:tr>
      <w:tr>
        <w:trPr>
          <w:cantSplit w:val="false"/>
          <w:tblHeader w:val="false"/>
        </w:trPr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医疗康养</w:t>
            </w:r>
          </w:p>
        </w:tc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辅助移动、陪护、康复</w:t>
            </w:r>
          </w:p>
        </w:tc>
        <w:tc>
          <w:tcPr>
            <w:tcW w:type="dxa" w:w="19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护工、康复器械</w:t>
            </w:r>
          </w:p>
        </w:tc>
        <w:tc>
          <w:tcPr>
            <w:tcW w:type="dxa" w:w="1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20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安全与医疗认证</w:t>
            </w:r>
          </w:p>
        </w:tc>
        <w:tc>
          <w:tcPr>
            <w:tcW w:type="dxa" w:w="12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L2–L3（康复器械 L4）</w:t>
            </w:r>
          </w:p>
        </w:tc>
        <w:tc>
          <w:tcPr>
            <w:tcW w:type="dxa" w:w="21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长周期</w:t>
            </w:r>
          </w:p>
        </w:tc>
        <w:tc>
          <w:tcPr>
            <w:tcW w:type="dxa" w:w="8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医院/家庭</w:t>
            </w:r>
          </w:p>
        </w:tc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C+</w:t>
            </w:r>
          </w:p>
        </w:tc>
      </w:tr>
      <w:tr>
        <w:trPr>
          <w:cantSplit w:val="false"/>
          <w:tblHeader w:val="false"/>
        </w:trPr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家庭服务</w:t>
            </w:r>
          </w:p>
        </w:tc>
        <w:tc>
          <w:tcPr>
            <w:tcW w:type="dxa" w:w="166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整理、清洁、洗衣</w:t>
            </w:r>
          </w:p>
        </w:tc>
        <w:tc>
          <w:tcPr>
            <w:tcW w:type="dxa" w:w="19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家政、家电</w:t>
            </w:r>
          </w:p>
        </w:tc>
        <w:tc>
          <w:tcPr>
            <w:tcW w:type="dxa" w:w="134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中（家居为人设计）</w:t>
            </w:r>
          </w:p>
        </w:tc>
        <w:tc>
          <w:tcPr>
            <w:tcW w:type="dxa" w:w="20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安全、隐私、成功率家电级</w:t>
            </w:r>
          </w:p>
        </w:tc>
        <w:tc>
          <w:tcPr>
            <w:tcW w:type="dxa" w:w="128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L2</w:t>
            </w:r>
          </w:p>
        </w:tc>
        <w:tc>
          <w:tcPr>
            <w:tcW w:type="dxa" w:w="21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年费难覆盖价值（见模型）</w:t>
            </w:r>
          </w:p>
        </w:tc>
        <w:tc>
          <w:tcPr>
            <w:tcW w:type="dxa" w:w="89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家庭</w:t>
            </w:r>
          </w:p>
        </w:tc>
        <w:tc>
          <w:tcPr>
            <w:tcW w:type="dxa" w:w="148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D（2030 前）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附录 4-B　工厂场景 TCO（重复列示，便于查阅）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6"/>
        <w:gridCol w:w="1484"/>
        <w:gridCol w:w="1670"/>
        <w:gridCol w:w="1763"/>
        <w:gridCol w:w="1670"/>
        <w:gridCol w:w="1670"/>
        <w:gridCol w:w="1299"/>
        <w:gridCol w:w="2138"/>
      </w:tblGrid>
      <w:tr>
        <w:trPr>
          <w:cantSplit w:val="false"/>
          <w:tblHeader/>
        </w:trPr>
        <w:tc>
          <w:tcPr>
            <w:tcW w:type="dxa" w:w="28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方案</w:t>
            </w:r>
          </w:p>
        </w:tc>
        <w:tc>
          <w:tcPr>
            <w:tcW w:type="dxa" w:w="14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初始投入（万元）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年运营成本（万元）</w:t>
            </w:r>
          </w:p>
        </w:tc>
        <w:tc>
          <w:tcPr>
            <w:tcW w:type="dxa" w:w="17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替代人力当量（FTE）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年节省人工（万元）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年净现金流（万元）</w:t>
            </w:r>
          </w:p>
        </w:tc>
        <w:tc>
          <w:tcPr>
            <w:tcW w:type="dxa" w:w="12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静态回本（年）</w:t>
            </w:r>
          </w:p>
        </w:tc>
        <w:tc>
          <w:tcPr>
            <w:tcW w:type="dxa" w:w="21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每 FTE 年化成本（万元）</w:t>
            </w:r>
          </w:p>
        </w:tc>
      </w:tr>
      <w:tr>
        <w:trPr>
          <w:cantSplit w:val="false"/>
          <w:tblHeader w:val="false"/>
        </w:trPr>
        <w:tc>
          <w:tcPr>
            <w:tcW w:type="dxa" w:w="28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人形·2026 现状（自主+远程兜底）</w:t>
            </w:r>
          </w:p>
        </w:tc>
        <w:tc>
          <w:tcPr>
            <w:tcW w:type="dxa" w:w="14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48.0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10.2</w:t>
            </w:r>
          </w:p>
        </w:tc>
        <w:tc>
          <w:tcPr>
            <w:tcW w:type="dxa" w:w="17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0.80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8.0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-2.2</w:t>
            </w:r>
          </w:p>
        </w:tc>
        <w:tc>
          <w:tcPr>
            <w:tcW w:type="dxa" w:w="12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不回本</w:t>
            </w:r>
          </w:p>
        </w:tc>
        <w:tc>
          <w:tcPr>
            <w:tcW w:type="dxa" w:w="21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27.8</w:t>
            </w:r>
          </w:p>
        </w:tc>
      </w:tr>
      <w:tr>
        <w:trPr>
          <w:cantSplit w:val="false"/>
          <w:tblHeader w:val="false"/>
        </w:trPr>
        <w:tc>
          <w:tcPr>
            <w:tcW w:type="dxa" w:w="28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人形·2028 改进</w:t>
            </w:r>
          </w:p>
        </w:tc>
        <w:tc>
          <w:tcPr>
            <w:tcW w:type="dxa" w:w="14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30.0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5.7</w:t>
            </w:r>
          </w:p>
        </w:tc>
        <w:tc>
          <w:tcPr>
            <w:tcW w:type="dxa" w:w="17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1.23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12.3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6.6</w:t>
            </w:r>
          </w:p>
        </w:tc>
        <w:tc>
          <w:tcPr>
            <w:tcW w:type="dxa" w:w="12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4.6</w:t>
            </w:r>
          </w:p>
        </w:tc>
        <w:tc>
          <w:tcPr>
            <w:tcW w:type="dxa" w:w="21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10.8</w:t>
            </w:r>
          </w:p>
        </w:tc>
      </w:tr>
      <w:tr>
        <w:trPr>
          <w:cantSplit w:val="false"/>
          <w:tblHeader w:val="false"/>
        </w:trPr>
        <w:tc>
          <w:tcPr>
            <w:tcW w:type="dxa" w:w="28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人形·2030 规模化</w:t>
            </w:r>
          </w:p>
        </w:tc>
        <w:tc>
          <w:tcPr>
            <w:tcW w:type="dxa" w:w="14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18.0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3.3</w:t>
            </w:r>
          </w:p>
        </w:tc>
        <w:tc>
          <w:tcPr>
            <w:tcW w:type="dxa" w:w="17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1.56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15.6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12.3</w:t>
            </w:r>
          </w:p>
        </w:tc>
        <w:tc>
          <w:tcPr>
            <w:tcW w:type="dxa" w:w="12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1.5</w:t>
            </w:r>
          </w:p>
        </w:tc>
        <w:tc>
          <w:tcPr>
            <w:tcW w:type="dxa" w:w="21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4.6</w:t>
            </w:r>
          </w:p>
        </w:tc>
      </w:tr>
      <w:tr>
        <w:trPr>
          <w:cantSplit w:val="false"/>
          <w:tblHeader w:val="false"/>
        </w:trPr>
        <w:tc>
          <w:tcPr>
            <w:tcW w:type="dxa" w:w="28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轮式移动操作（复合机器人）·2026</w:t>
            </w:r>
          </w:p>
        </w:tc>
        <w:tc>
          <w:tcPr>
            <w:tcW w:type="dxa" w:w="14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30.0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3.7</w:t>
            </w:r>
          </w:p>
        </w:tc>
        <w:tc>
          <w:tcPr>
            <w:tcW w:type="dxa" w:w="17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1.47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14.7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11.0</w:t>
            </w:r>
          </w:p>
        </w:tc>
        <w:tc>
          <w:tcPr>
            <w:tcW w:type="dxa" w:w="12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2.7</w:t>
            </w:r>
          </w:p>
        </w:tc>
        <w:tc>
          <w:tcPr>
            <w:tcW w:type="dxa" w:w="21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6.9</w:t>
            </w:r>
          </w:p>
        </w:tc>
      </w:tr>
      <w:tr>
        <w:trPr>
          <w:cantSplit w:val="false"/>
          <w:tblHeader w:val="false"/>
        </w:trPr>
        <w:tc>
          <w:tcPr>
            <w:tcW w:type="dxa" w:w="28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固定式机械臂+工装/输送·2026</w:t>
            </w:r>
          </w:p>
        </w:tc>
        <w:tc>
          <w:tcPr>
            <w:tcW w:type="dxa" w:w="14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30.0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2.4</w:t>
            </w:r>
          </w:p>
        </w:tc>
        <w:tc>
          <w:tcPr>
            <w:tcW w:type="dxa" w:w="17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2.11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21.1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18.7</w:t>
            </w:r>
          </w:p>
        </w:tc>
        <w:tc>
          <w:tcPr>
            <w:tcW w:type="dxa" w:w="12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1.6</w:t>
            </w:r>
          </w:p>
        </w:tc>
        <w:tc>
          <w:tcPr>
            <w:tcW w:type="dxa" w:w="21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3.6</w:t>
            </w:r>
          </w:p>
        </w:tc>
      </w:tr>
      <w:tr>
        <w:trPr>
          <w:cantSplit w:val="false"/>
          <w:tblHeader w:val="false"/>
        </w:trPr>
        <w:tc>
          <w:tcPr>
            <w:tcW w:type="dxa" w:w="287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人工（双班 2 人）</w:t>
            </w:r>
          </w:p>
        </w:tc>
        <w:tc>
          <w:tcPr>
            <w:tcW w:type="dxa" w:w="148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20.0</w:t>
            </w:r>
          </w:p>
        </w:tc>
        <w:tc>
          <w:tcPr>
            <w:tcW w:type="dxa" w:w="176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2.00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6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2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13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10.0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48" w:id="1148"/>
      <w:r>
        <w:t xml:space="preserve">附录 5　2022–2026 年投融资事件及趋势数据</w:t>
      </w:r>
      <w:bookmarkEnd w:id="1148"/>
    </w:p>
    <w:p>
      <w:pPr>
        <w:pStyle w:val="Heading3"/>
      </w:pPr>
      <w:r>
        <w:t xml:space="preserve">5-A　融资统计口径对比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3"/>
        <w:gridCol w:w="2225"/>
        <w:gridCol w:w="1821"/>
        <w:gridCol w:w="2529"/>
        <w:gridCol w:w="1720"/>
        <w:gridCol w:w="3440"/>
        <w:gridCol w:w="812"/>
      </w:tblGrid>
      <w:tr>
        <w:trPr>
          <w:cantSplit w:val="false"/>
          <w:tblHeader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范围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统计机构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期间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笔数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金额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口径说明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证据等级</w:t>
            </w:r>
          </w:p>
        </w:tc>
      </w:tr>
      <w:tr>
        <w:trPr>
          <w:cantSplit w:val="false"/>
          <w:tblHeader w:val="false"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投中嘉川 CVSource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全年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122 笔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84 亿元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具身智能赛道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量子位智库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全年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173 起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137 亿元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具身智能赛道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IT 桔子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全年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77 起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具身智能投融资事件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投中嘉川 CVSource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全年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298 起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329 亿元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同比 +144%/+291%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量子位智库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全年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447 起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554 亿元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同比 +250%/+400%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IT 桔子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2025（截至 12-21）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305+ 起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380+ 亿元（估计）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数量约为上年三倍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IT 桔子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2026H1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322 笔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935 亿元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同比金额约 5 倍、笔数 +137%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上奇产业通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 年 1–9 月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557 笔（披露金额 346 笔）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2,896 亿元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含 4 月一笔约 771 亿元的异常大额事件（性质未核实），剔除后约 2,125 亿元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中国·具身智能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TechTOP100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 年 1–9 月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660 起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中国·机器人赛道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博客汇总（不完全统计）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2026-07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34 家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120 亿元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环比金额 -32.6%；口径为具身机器人企业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全球·人形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PitchBook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全年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139 笔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61 亿美元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年为 65 笔、15 亿美元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全球·人形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Dealroom（via Sifted）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全年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32 亿美元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称超过此前六年总和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全球·人形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HumanoidIntel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全年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34 轮（披露）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42 亿美元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年 21 亿美元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全球·机器人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Crunchbase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全年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138 亿美元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年 78 亿美元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202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全球·机器人与物理 AI</w:t>
            </w:r>
          </w:p>
        </w:tc>
        <w:tc>
          <w:tcPr>
            <w:tcW w:type="dxa" w:w="222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PitchBook</w:t>
            </w:r>
          </w:p>
        </w:tc>
        <w:tc>
          <w:tcPr>
            <w:tcW w:type="dxa" w:w="18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全年</w:t>
            </w:r>
          </w:p>
        </w:tc>
        <w:tc>
          <w:tcPr>
            <w:tcW w:type="dxa" w:w="25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1,009 笔</w:t>
            </w:r>
          </w:p>
        </w:tc>
        <w:tc>
          <w:tcPr>
            <w:tcW w:type="dxa" w:w="17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276 亿美元</w:t>
            </w:r>
          </w:p>
        </w:tc>
        <w:tc>
          <w:tcPr>
            <w:tcW w:type="dxa" w:w="344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年 137 亿美元</w:t>
            </w:r>
          </w:p>
        </w:tc>
        <w:tc>
          <w:tcPr>
            <w:tcW w:type="dxa" w:w="8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5-B　出货与产量口径对比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0"/>
        <w:gridCol w:w="1599"/>
        <w:gridCol w:w="1421"/>
        <w:gridCol w:w="3909"/>
        <w:gridCol w:w="3909"/>
        <w:gridCol w:w="712"/>
      </w:tblGrid>
      <w:tr>
        <w:trPr>
          <w:cantSplit w:val="false"/>
          <w:tblHeader/>
        </w:trPr>
        <w:tc>
          <w:tcPr>
            <w:tcW w:type="dxa" w:w="30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来源</w:t>
            </w:r>
          </w:p>
        </w:tc>
        <w:tc>
          <w:tcPr>
            <w:tcW w:type="dxa" w:w="15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期间</w:t>
            </w:r>
          </w:p>
        </w:tc>
        <w:tc>
          <w:tcPr>
            <w:tcW w:type="dxa" w:w="14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范围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数值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口径</w:t>
            </w:r>
          </w:p>
        </w:tc>
        <w:tc>
          <w:tcPr>
            <w:tcW w:type="dxa" w:w="7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证据等级</w:t>
            </w:r>
          </w:p>
        </w:tc>
      </w:tr>
      <w:tr>
        <w:trPr>
          <w:cantSplit w:val="false"/>
          <w:tblHeader w:val="false"/>
        </w:trPr>
        <w:tc>
          <w:tcPr>
            <w:tcW w:type="dxa" w:w="30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IDC</w:t>
            </w:r>
          </w:p>
        </w:tc>
        <w:tc>
          <w:tcPr>
            <w:tcW w:type="dxa" w:w="15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2025 全年</w:t>
            </w:r>
          </w:p>
        </w:tc>
        <w:tc>
          <w:tcPr>
            <w:tcW w:type="dxa" w:w="14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全球人形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约 1.8 万台；销售额约 4.4 亿美元（+508%）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出货；智元约 5,200 台第一；欧美厂商多为数十台；超 85% 流向文娱科研（转引）</w:t>
            </w:r>
          </w:p>
        </w:tc>
        <w:tc>
          <w:tcPr>
            <w:tcW w:type="dxa" w:w="7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30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宇树招股书</w:t>
            </w:r>
          </w:p>
        </w:tc>
        <w:tc>
          <w:tcPr>
            <w:tcW w:type="dxa" w:w="15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2025 全年</w:t>
            </w:r>
          </w:p>
        </w:tc>
        <w:tc>
          <w:tcPr>
            <w:tcW w:type="dxa" w:w="14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宇树人形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&gt;5,500 台（纯人形，不含轮式双臂）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出货/销售</w:t>
            </w:r>
          </w:p>
        </w:tc>
        <w:tc>
          <w:tcPr>
            <w:tcW w:type="dxa" w:w="7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A</w:t>
            </w:r>
          </w:p>
        </w:tc>
      </w:tr>
      <w:tr>
        <w:trPr>
          <w:cantSplit w:val="false"/>
          <w:tblHeader w:val="false"/>
        </w:trPr>
        <w:tc>
          <w:tcPr>
            <w:tcW w:type="dxa" w:w="30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优必选年报</w:t>
            </w:r>
          </w:p>
        </w:tc>
        <w:tc>
          <w:tcPr>
            <w:tcW w:type="dxa" w:w="15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2025 全年</w:t>
            </w:r>
          </w:p>
        </w:tc>
        <w:tc>
          <w:tcPr>
            <w:tcW w:type="dxa" w:w="14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优必选全尺寸人形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1,079 台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销量</w:t>
            </w:r>
          </w:p>
        </w:tc>
        <w:tc>
          <w:tcPr>
            <w:tcW w:type="dxa" w:w="7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A</w:t>
            </w:r>
          </w:p>
        </w:tc>
      </w:tr>
      <w:tr>
        <w:trPr>
          <w:cantSplit w:val="false"/>
          <w:tblHeader w:val="false"/>
        </w:trPr>
        <w:tc>
          <w:tcPr>
            <w:tcW w:type="dxa" w:w="30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工信部（副部长讲话，转引）</w:t>
            </w:r>
          </w:p>
        </w:tc>
        <w:tc>
          <w:tcPr>
            <w:tcW w:type="dxa" w:w="15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2025 全年</w:t>
            </w:r>
          </w:p>
        </w:tc>
        <w:tc>
          <w:tcPr>
            <w:tcW w:type="dxa" w:w="14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中国人形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产量约 2 万台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产量 ≠ 出货</w:t>
            </w:r>
          </w:p>
        </w:tc>
        <w:tc>
          <w:tcPr>
            <w:tcW w:type="dxa" w:w="7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30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工信部（副部长讲话，转引）</w:t>
            </w:r>
          </w:p>
        </w:tc>
        <w:tc>
          <w:tcPr>
            <w:tcW w:type="dxa" w:w="15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2026H1</w:t>
            </w:r>
          </w:p>
        </w:tc>
        <w:tc>
          <w:tcPr>
            <w:tcW w:type="dxa" w:w="14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中国人形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产量超 4 万台；预计全年超 10 万台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产量 ≠ 出货</w:t>
            </w:r>
          </w:p>
        </w:tc>
        <w:tc>
          <w:tcPr>
            <w:tcW w:type="dxa" w:w="7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30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Counterpoint</w:t>
            </w:r>
          </w:p>
        </w:tc>
        <w:tc>
          <w:tcPr>
            <w:tcW w:type="dxa" w:w="15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2026H1</w:t>
            </w:r>
          </w:p>
        </w:tc>
        <w:tc>
          <w:tcPr>
            <w:tcW w:type="dxa" w:w="14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全球人形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&gt;2.2 万台（同比近 +300%）；智元 9,700/宇树 7,000+/银河 1,100+/优必选 4.4%/乐聚 650；前五合计 86%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出货；预计全年 &gt;5 万台</w:t>
            </w:r>
          </w:p>
        </w:tc>
        <w:tc>
          <w:tcPr>
            <w:tcW w:type="dxa" w:w="7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30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Smart Analytics Global</w:t>
            </w:r>
          </w:p>
        </w:tc>
        <w:tc>
          <w:tcPr>
            <w:tcW w:type="dxa" w:w="15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2026H1</w:t>
            </w:r>
          </w:p>
        </w:tc>
        <w:tc>
          <w:tcPr>
            <w:tcW w:type="dxa" w:w="14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全球人形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1.91 万台；智元约 8,400 台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出货</w:t>
            </w:r>
          </w:p>
        </w:tc>
        <w:tc>
          <w:tcPr>
            <w:tcW w:type="dxa" w:w="7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30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中国人形机器人场景应用联盟</w:t>
            </w:r>
          </w:p>
        </w:tc>
        <w:tc>
          <w:tcPr>
            <w:tcW w:type="dxa" w:w="15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2026H1</w:t>
            </w:r>
          </w:p>
        </w:tc>
        <w:tc>
          <w:tcPr>
            <w:tcW w:type="dxa" w:w="14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中国厂商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&gt;3 万台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含轮式机器人</w:t>
            </w:r>
          </w:p>
        </w:tc>
        <w:tc>
          <w:tcPr>
            <w:tcW w:type="dxa" w:w="7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30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优必选中报</w:t>
            </w:r>
          </w:p>
        </w:tc>
        <w:tc>
          <w:tcPr>
            <w:tcW w:type="dxa" w:w="15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2026H1</w:t>
            </w:r>
          </w:p>
        </w:tc>
        <w:tc>
          <w:tcPr>
            <w:tcW w:type="dxa" w:w="14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优必选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全尺寸 921 台；含非全尺寸合计 16,123 台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销量；口径差异大</w:t>
            </w:r>
          </w:p>
        </w:tc>
        <w:tc>
          <w:tcPr>
            <w:tcW w:type="dxa" w:w="7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30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中国人形机器人场景应用联盟（转引）</w:t>
            </w:r>
          </w:p>
        </w:tc>
        <w:tc>
          <w:tcPr>
            <w:tcW w:type="dxa" w:w="15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2026H1</w:t>
            </w:r>
          </w:p>
        </w:tc>
        <w:tc>
          <w:tcPr>
            <w:tcW w:type="dxa" w:w="14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中国公开中标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218 个项目、17.23 亿元：教育科研 55.5%、政府及国资平台 20.6%、工业企业 21.1%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中标金额</w:t>
            </w:r>
          </w:p>
        </w:tc>
        <w:tc>
          <w:tcPr>
            <w:tcW w:type="dxa" w:w="7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302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第三方招标书分析（302 份，转引）</w:t>
            </w:r>
          </w:p>
        </w:tc>
        <w:tc>
          <w:tcPr>
            <w:tcW w:type="dxa" w:w="159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2025-02 至 2026-06</w:t>
            </w:r>
          </w:p>
        </w:tc>
        <w:tc>
          <w:tcPr>
            <w:tcW w:type="dxa" w:w="142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中国公开招采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学校约占项目数 68%；国企约占金额 74%；企业订单约占金额 7%</w:t>
            </w:r>
          </w:p>
        </w:tc>
        <w:tc>
          <w:tcPr>
            <w:tcW w:type="dxa" w:w="390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中标金额</w:t>
            </w:r>
          </w:p>
        </w:tc>
        <w:tc>
          <w:tcPr>
            <w:tcW w:type="dxa" w:w="7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C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5-C　关键融资与资本事件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2"/>
        <w:gridCol w:w="1810"/>
        <w:gridCol w:w="517"/>
        <w:gridCol w:w="2931"/>
        <w:gridCol w:w="2931"/>
        <w:gridCol w:w="2931"/>
        <w:gridCol w:w="1896"/>
        <w:gridCol w:w="692"/>
      </w:tblGrid>
      <w:tr>
        <w:trPr>
          <w:cantSplit w:val="false"/>
          <w:tblHeader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日期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公司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地区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事件/轮次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金额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估值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状态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证据等级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2024-02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Figure AI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 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6.75 亿美元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26 亿美元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2024-03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Physical Intelligence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种子轮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7,000 万美元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2024-07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Skild AI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 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 亿美元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15 亿美元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2024-11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Physical Intelligence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 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 亿美元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24 亿美元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2025Q2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它石智航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天使轮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2.42 亿美元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Apptronik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 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4.15 亿美元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2025-07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优必选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 股配售（82 港元/股）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24.7 亿港元（推算）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2025-07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智元机器人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收购上纬新材 63.62% 股份（控制权）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已宣布/推进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2025-09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Figure AI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 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超 10 亿美元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390 亿美元（投后）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2025-09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1X Technologies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寻求新一轮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至多 10 亿美元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≥100 亿美元目标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传闻（未完成）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2025-10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乐聚智能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最近一轮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43.27 亿元（投后）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已完成（招股书披露）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2025-11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Physical Intelligence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新一轮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 亿美元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56 亿美元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2025-11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优必选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 股配售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30.56 亿港元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2026-01-14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Skild AI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 轮（软银领投）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14 亿美元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140 亿美元+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2026-02-11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Apptronik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A-X 扩展轮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5.2 亿美元（A 轮累计 9.35 亿）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53–55 亿美元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2026-02/03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星海图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 轮 + B+ 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10 亿元 + 近 20 亿元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投后超 200 亿元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2026-02~05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千寻智能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连续 4 轮（含 A+ 15 亿元）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合计近 45 亿元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200 亿元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2026-03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银河通用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新一轮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25 亿元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媒体称超 200 亿元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B/C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2026-03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Physical Intelligence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新一轮洽谈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10 亿美元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110 亿美元+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传闻（未见交割）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2026-03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极佳视界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Pre-B 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 亿元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2026-03-20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宇树科技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科创板 IPO 受理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拟募资约 42 亿元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已完成上市（见 08-19）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2026-04-08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地瓜机器人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B2 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1.5 亿美元（B 系列累计 2.7 亿美元）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2026-04-16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它石智航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Pre-A 轮（高瓴、红杉中国领投）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4.55 亿美元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未披露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2026-04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智元机器人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新一轮（据报道）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20 亿元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200 亿元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已报道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2026-05-18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云深处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科创板 IPO 受理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拟募资 25.03 亿元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IPO 前约 139 亿元（推算）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审核中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2026-05-19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乐聚智能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创业板 IPO 受理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拟募资 26 亿元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审核中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A/B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2026-06-04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Generalist AI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新一轮（Radical Ventures 领投）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 亿美元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 亿美元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2026-06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星尘智能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 轮系列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超 10 亿元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破百亿元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2026-06-15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Figure AI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 term sheet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395 亿美元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传闻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2026-06-24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Agility Robotics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SPAC（Churchill Capital XI）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预计毛募资 6.2 亿美元以上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25 亿美元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已签约、待完成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2026-07-14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逐际动力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Pre-IPO 轮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近 2 亿美元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2026-07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智元机器人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启动港股 IPO 筹备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目标 400–500 亿港元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已暂缓（见 10 月）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2026-08-19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宇树科技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科创板上市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募资约 61 亿元（150.80 元/股）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发行市值 609.9 亿元；首日开盘约 4,449 亿元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已完成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1X Technologies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软银洽购多数股权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60 亿美元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传闻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2026-08-25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Generalist AI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追加融资（8VC 领投）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 亿美元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30 亿美元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已报道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2026-10-13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星尘智能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新一轮（深投控旗下领投）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 亿元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150 亿元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已宣布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  <w:tr>
        <w:trPr>
          <w:cantSplit w:val="false"/>
          <w:tblHeader w:val="false"/>
        </w:trPr>
        <w:tc>
          <w:tcPr>
            <w:tcW w:type="dxa" w:w="86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2026-10</w:t>
            </w:r>
          </w:p>
        </w:tc>
        <w:tc>
          <w:tcPr>
            <w:tcW w:type="dxa" w:w="18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智元机器人</w:t>
            </w:r>
          </w:p>
        </w:tc>
        <w:tc>
          <w:tcPr>
            <w:tcW w:type="dxa" w:w="51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新一轮（接近收尾）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10–15 亿元</w:t>
            </w:r>
          </w:p>
        </w:tc>
        <w:tc>
          <w:tcPr>
            <w:tcW w:type="dxa" w:w="293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500 亿元</w:t>
            </w:r>
          </w:p>
        </w:tc>
        <w:tc>
          <w:tcPr>
            <w:tcW w:type="dxa" w:w="1896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传闻/接近完成</w:t>
            </w:r>
          </w:p>
        </w:tc>
        <w:tc>
          <w:tcPr>
            <w:tcW w:type="dxa" w:w="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5-D　估值倍数横截面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4"/>
        <w:gridCol w:w="1519"/>
        <w:gridCol w:w="3039"/>
        <w:gridCol w:w="1072"/>
        <w:gridCol w:w="2860"/>
        <w:gridCol w:w="804"/>
        <w:gridCol w:w="2952"/>
      </w:tblGrid>
      <w:tr>
        <w:trPr>
          <w:cantSplit w:val="false"/>
          <w:tblHeader/>
        </w:trPr>
        <w:tc>
          <w:tcPr>
            <w:tcW w:type="dxa" w:w="23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公司</w:t>
            </w:r>
          </w:p>
        </w:tc>
        <w:tc>
          <w:tcPr>
            <w:tcW w:type="dxa" w:w="15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估值/市值（亿元）</w:t>
            </w:r>
          </w:p>
        </w:tc>
        <w:tc>
          <w:tcPr>
            <w:tcW w:type="dxa" w:w="3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估值口径</w:t>
            </w:r>
          </w:p>
        </w:tc>
        <w:tc>
          <w:tcPr>
            <w:tcW w:type="dxa" w:w="10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收入（亿元）</w:t>
            </w:r>
          </w:p>
        </w:tc>
        <w:tc>
          <w:tcPr>
            <w:tcW w:type="dxa" w:w="28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收入口径</w:t>
            </w:r>
          </w:p>
        </w:tc>
        <w:tc>
          <w:tcPr>
            <w:tcW w:type="dxa" w:w="8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估值/收入</w:t>
            </w:r>
          </w:p>
        </w:tc>
        <w:tc>
          <w:tcPr>
            <w:tcW w:type="dxa" w:w="29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备注</w:t>
            </w:r>
          </w:p>
        </w:tc>
      </w:tr>
      <w:tr>
        <w:trPr>
          <w:cantSplit w:val="false"/>
          <w:tblHeader w:val="false"/>
        </w:trPr>
        <w:tc>
          <w:tcPr>
            <w:tcW w:type="dxa" w:w="23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宇树科技（IPO 发行价）</w:t>
            </w:r>
          </w:p>
        </w:tc>
        <w:tc>
          <w:tcPr>
            <w:tcW w:type="dxa" w:w="15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610</w:t>
            </w:r>
          </w:p>
        </w:tc>
        <w:tc>
          <w:tcPr>
            <w:tcW w:type="dxa" w:w="3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发行价对应总市值，2026-08</w:t>
            </w:r>
          </w:p>
        </w:tc>
        <w:tc>
          <w:tcPr>
            <w:tcW w:type="dxa" w:w="10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17.08</w:t>
            </w:r>
          </w:p>
        </w:tc>
        <w:tc>
          <w:tcPr>
            <w:tcW w:type="dxa" w:w="28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8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36x</w:t>
            </w:r>
          </w:p>
        </w:tc>
        <w:tc>
          <w:tcPr>
            <w:tcW w:type="dxa" w:w="29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发行市盈率 219 倍</w:t>
            </w:r>
          </w:p>
        </w:tc>
      </w:tr>
      <w:tr>
        <w:trPr>
          <w:cantSplit w:val="false"/>
          <w:tblHeader w:val="false"/>
        </w:trPr>
        <w:tc>
          <w:tcPr>
            <w:tcW w:type="dxa" w:w="23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宇树科技（首日开盘）</w:t>
            </w:r>
          </w:p>
        </w:tc>
        <w:tc>
          <w:tcPr>
            <w:tcW w:type="dxa" w:w="15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4,449</w:t>
            </w:r>
          </w:p>
        </w:tc>
        <w:tc>
          <w:tcPr>
            <w:tcW w:type="dxa" w:w="3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开盘价 1,100 元，2026-08-19</w:t>
            </w:r>
          </w:p>
        </w:tc>
        <w:tc>
          <w:tcPr>
            <w:tcW w:type="dxa" w:w="10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17.08</w:t>
            </w:r>
          </w:p>
        </w:tc>
        <w:tc>
          <w:tcPr>
            <w:tcW w:type="dxa" w:w="28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8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260x</w:t>
            </w:r>
          </w:p>
        </w:tc>
        <w:tc>
          <w:tcPr>
            <w:tcW w:type="dxa" w:w="29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峰值情绪</w:t>
            </w:r>
          </w:p>
        </w:tc>
      </w:tr>
      <w:tr>
        <w:trPr>
          <w:cantSplit w:val="false"/>
          <w:tblHeader w:val="false"/>
        </w:trPr>
        <w:tc>
          <w:tcPr>
            <w:tcW w:type="dxa" w:w="23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宇树科技（9 月 18 日收盘）</w:t>
            </w:r>
          </w:p>
        </w:tc>
        <w:tc>
          <w:tcPr>
            <w:tcW w:type="dxa" w:w="15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2,083</w:t>
            </w:r>
          </w:p>
        </w:tc>
        <w:tc>
          <w:tcPr>
            <w:tcW w:type="dxa" w:w="3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514.98 元 × 4.04 亿股（推算）</w:t>
            </w:r>
          </w:p>
        </w:tc>
        <w:tc>
          <w:tcPr>
            <w:tcW w:type="dxa" w:w="10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17.08</w:t>
            </w:r>
          </w:p>
        </w:tc>
        <w:tc>
          <w:tcPr>
            <w:tcW w:type="dxa" w:w="28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8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122x</w:t>
            </w:r>
          </w:p>
        </w:tc>
        <w:tc>
          <w:tcPr>
            <w:tcW w:type="dxa" w:w="29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较开盘高点回撤约 53%</w:t>
            </w:r>
          </w:p>
        </w:tc>
      </w:tr>
      <w:tr>
        <w:trPr>
          <w:cantSplit w:val="false"/>
          <w:tblHeader w:val="false"/>
        </w:trPr>
        <w:tc>
          <w:tcPr>
            <w:tcW w:type="dxa" w:w="23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云深处（IPO 前估值）</w:t>
            </w:r>
          </w:p>
        </w:tc>
        <w:tc>
          <w:tcPr>
            <w:tcW w:type="dxa" w:w="15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139</w:t>
            </w:r>
          </w:p>
        </w:tc>
        <w:tc>
          <w:tcPr>
            <w:tcW w:type="dxa" w:w="3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按募资额与发行比例推算，2026-05</w:t>
            </w:r>
          </w:p>
        </w:tc>
        <w:tc>
          <w:tcPr>
            <w:tcW w:type="dxa" w:w="10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3.37</w:t>
            </w:r>
          </w:p>
        </w:tc>
        <w:tc>
          <w:tcPr>
            <w:tcW w:type="dxa" w:w="28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8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41x</w:t>
            </w:r>
          </w:p>
        </w:tc>
        <w:tc>
          <w:tcPr>
            <w:tcW w:type="dxa" w:w="29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年首次盈利</w:t>
            </w:r>
          </w:p>
        </w:tc>
      </w:tr>
      <w:tr>
        <w:trPr>
          <w:cantSplit w:val="false"/>
          <w:tblHeader w:val="false"/>
        </w:trPr>
        <w:tc>
          <w:tcPr>
            <w:tcW w:type="dxa" w:w="23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乐聚智能（最近一轮）</w:t>
            </w:r>
          </w:p>
        </w:tc>
        <w:tc>
          <w:tcPr>
            <w:tcW w:type="dxa" w:w="15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43.3</w:t>
            </w:r>
          </w:p>
        </w:tc>
        <w:tc>
          <w:tcPr>
            <w:tcW w:type="dxa" w:w="3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2025-10 投后估值</w:t>
            </w:r>
          </w:p>
        </w:tc>
        <w:tc>
          <w:tcPr>
            <w:tcW w:type="dxa" w:w="10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2.58</w:t>
            </w:r>
          </w:p>
        </w:tc>
        <w:tc>
          <w:tcPr>
            <w:tcW w:type="dxa" w:w="28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8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17x</w:t>
            </w:r>
          </w:p>
        </w:tc>
        <w:tc>
          <w:tcPr>
            <w:tcW w:type="dxa" w:w="29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创业板第四套标准首单</w:t>
            </w:r>
          </w:p>
        </w:tc>
      </w:tr>
      <w:tr>
        <w:trPr>
          <w:cantSplit w:val="false"/>
          <w:tblHeader w:val="false"/>
        </w:trPr>
        <w:tc>
          <w:tcPr>
            <w:tcW w:type="dxa" w:w="23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智元（传闻新一轮）</w:t>
            </w:r>
          </w:p>
        </w:tc>
        <w:tc>
          <w:tcPr>
            <w:tcW w:type="dxa" w:w="15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500</w:t>
            </w:r>
          </w:p>
        </w:tc>
        <w:tc>
          <w:tcPr>
            <w:tcW w:type="dxa" w:w="3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媒体报道约 500 亿元，2026-10，未获公司确认</w:t>
            </w:r>
          </w:p>
        </w:tc>
        <w:tc>
          <w:tcPr>
            <w:tcW w:type="dxa" w:w="10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10.50</w:t>
            </w:r>
          </w:p>
        </w:tc>
        <w:tc>
          <w:tcPr>
            <w:tcW w:type="dxa" w:w="28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年营收（公司口径）</w:t>
            </w:r>
          </w:p>
        </w:tc>
        <w:tc>
          <w:tcPr>
            <w:tcW w:type="dxa" w:w="8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48x</w:t>
            </w:r>
          </w:p>
        </w:tc>
        <w:tc>
          <w:tcPr>
            <w:tcW w:type="dxa" w:w="29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对 2026E 45 亿元收入约 11x</w:t>
            </w:r>
          </w:p>
        </w:tc>
      </w:tr>
      <w:tr>
        <w:trPr>
          <w:cantSplit w:val="false"/>
          <w:tblHeader w:val="false"/>
        </w:trPr>
        <w:tc>
          <w:tcPr>
            <w:tcW w:type="dxa" w:w="23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Agility（SPAC）</w:t>
            </w:r>
          </w:p>
        </w:tc>
        <w:tc>
          <w:tcPr>
            <w:tcW w:type="dxa" w:w="15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178</w:t>
            </w:r>
          </w:p>
        </w:tc>
        <w:tc>
          <w:tcPr>
            <w:tcW w:type="dxa" w:w="3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25 亿美元，2026-06 协议</w:t>
            </w:r>
          </w:p>
        </w:tc>
        <w:tc>
          <w:tcPr>
            <w:tcW w:type="dxa" w:w="10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0.13</w:t>
            </w:r>
          </w:p>
        </w:tc>
        <w:tc>
          <w:tcPr>
            <w:tcW w:type="dxa" w:w="28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 180 万美元</w:t>
            </w:r>
          </w:p>
        </w:tc>
        <w:tc>
          <w:tcPr>
            <w:tcW w:type="dxa" w:w="8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1,389x</w:t>
            </w:r>
          </w:p>
        </w:tc>
        <w:tc>
          <w:tcPr>
            <w:tcW w:type="dxa" w:w="29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订单储备 3 亿美元以上（里程碑式）</w:t>
            </w:r>
          </w:p>
        </w:tc>
      </w:tr>
      <w:tr>
        <w:trPr>
          <w:cantSplit w:val="false"/>
          <w:tblHeader w:val="false"/>
        </w:trPr>
        <w:tc>
          <w:tcPr>
            <w:tcW w:type="dxa" w:w="23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Skild AI（C 轮）</w:t>
            </w:r>
          </w:p>
        </w:tc>
        <w:tc>
          <w:tcPr>
            <w:tcW w:type="dxa" w:w="15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994</w:t>
            </w:r>
          </w:p>
        </w:tc>
        <w:tc>
          <w:tcPr>
            <w:tcW w:type="dxa" w:w="3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140 亿美元+，2026-01</w:t>
            </w:r>
          </w:p>
        </w:tc>
        <w:tc>
          <w:tcPr>
            <w:tcW w:type="dxa" w:w="10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2.13</w:t>
            </w:r>
          </w:p>
        </w:tc>
        <w:tc>
          <w:tcPr>
            <w:tcW w:type="dxa" w:w="28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年未审计收入约 3,000 万美元</w:t>
            </w:r>
          </w:p>
        </w:tc>
        <w:tc>
          <w:tcPr>
            <w:tcW w:type="dxa" w:w="8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467x</w:t>
            </w:r>
          </w:p>
        </w:tc>
        <w:tc>
          <w:tcPr>
            <w:tcW w:type="dxa" w:w="29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公司称年化收入运行率已过 1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232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极智嘉（对照：AMR）</w:t>
            </w:r>
          </w:p>
        </w:tc>
        <w:tc>
          <w:tcPr>
            <w:tcW w:type="dxa" w:w="151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303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港股上市公司（市值以实时行情为准）</w:t>
            </w:r>
          </w:p>
        </w:tc>
        <w:tc>
          <w:tcPr>
            <w:tcW w:type="dxa" w:w="107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31.71</w:t>
            </w:r>
          </w:p>
        </w:tc>
        <w:tc>
          <w:tcPr>
            <w:tcW w:type="dxa" w:w="286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年营收</w:t>
            </w:r>
          </w:p>
        </w:tc>
        <w:tc>
          <w:tcPr>
            <w:tcW w:type="dxa" w:w="80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295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毛利率 35.5%，经调整净利润转正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49" w:id="1149"/>
      <w:r>
        <w:t xml:space="preserve">附录 6　未来投资机会优先级矩阵</w:t>
      </w:r>
      <w:bookmarkEnd w:id="1149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4"/>
        <w:gridCol w:w="612"/>
        <w:gridCol w:w="1293"/>
        <w:gridCol w:w="408"/>
        <w:gridCol w:w="544"/>
        <w:gridCol w:w="1089"/>
        <w:gridCol w:w="1429"/>
        <w:gridCol w:w="885"/>
        <w:gridCol w:w="2314"/>
        <w:gridCol w:w="1770"/>
        <w:gridCol w:w="1912"/>
      </w:tblGrid>
      <w:tr>
        <w:trPr>
          <w:cantSplit w:val="false"/>
          <w:tblHeader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方向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环节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产业阶段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确定性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潜在回报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估值热度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被替代风险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优先级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建议阶段与估值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进入条件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放弃条件</w:t>
            </w:r>
          </w:p>
        </w:tc>
      </w:tr>
      <w:tr>
        <w:trPr>
          <w:cantSplit w:val="false"/>
          <w:tblHeader w:val="false"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精密传动（行星滚柱丝杠、微型丝杠、高端减速器）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上游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量产导入期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中高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中高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高（二级概念热）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中（Tier1/整机自制）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★★★★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成长期；以存量业务 PE 定价，人形为期权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良率/寿命数据+多客户定点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仅有人形概念收入、无存量业务</w:t>
            </w:r>
          </w:p>
        </w:tc>
      </w:tr>
      <w:tr>
        <w:trPr>
          <w:cantSplit w:val="false"/>
          <w:tblHeader w:val="false"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高自由度灵巧手+触觉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上游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工程化期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中（整机自研）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★★★★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A–B 轮；10–30 亿元区间更合理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寿命测试与多客户导入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仅低自由度、靠价格战</w:t>
            </w:r>
          </w:p>
        </w:tc>
      </w:tr>
      <w:tr>
        <w:trPr>
          <w:cantSplit w:val="false"/>
          <w:tblHeader w:val="false"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触觉传感/电子皮肤与触觉数据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上游+数据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技术探索→工程化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中低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天使–A 轮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标定/耐久性突破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无量产工艺</w:t>
            </w:r>
          </w:p>
        </w:tc>
      </w:tr>
      <w:tr>
        <w:trPr>
          <w:cantSplit w:val="false"/>
          <w:tblHeader w:val="false"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端侧计算平台（国产 SoC+工具链）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上游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量产导入期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中高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中（大厂芯片）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成长期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头部整机定点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无软件生态</w:t>
            </w:r>
          </w:p>
        </w:tc>
      </w:tr>
      <w:tr>
        <w:trPr>
          <w:cantSplit w:val="false"/>
          <w:tblHeader w:val="false"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六维力/关节力矩传感器国产替代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上游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量产期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中高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成长期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工业+人形双市场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价格战且无技术差异</w:t>
            </w:r>
          </w:p>
        </w:tc>
      </w:tr>
      <w:tr>
        <w:trPr>
          <w:cantSplit w:val="false"/>
          <w:tblHeader w:val="false"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轮式移动操作（任务闭环，工业/实验室）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中游+场景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商业验证期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中高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中高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★★★★★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A–C 轮；估值/收入 ≤10–15x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复购与回本证据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仅展示订单</w:t>
            </w:r>
          </w:p>
        </w:tc>
      </w:tr>
      <w:tr>
        <w:trPr>
          <w:cantSplit w:val="false"/>
          <w:tblHeader w:val="false"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物流搬箱/拆码垛具身系统（形态中立）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场景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商业验证期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中高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中（物流巨头自研）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★★★★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B–C 轮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生产环境部署与 RaaS 利用率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依赖单一客户试点</w:t>
            </w:r>
          </w:p>
        </w:tc>
      </w:tr>
      <w:tr>
        <w:trPr>
          <w:cantSplit w:val="false"/>
          <w:tblHeader w:val="false"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特种作业（巡检、电力、危化、矿山）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场景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早期规模化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中低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★★★★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B 轮至 Pre-IPO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国企复购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政府项目依赖</w:t>
            </w:r>
          </w:p>
        </w:tc>
      </w:tr>
      <w:tr>
        <w:trPr>
          <w:cantSplit w:val="false"/>
          <w:tblHeader w:val="false"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数据工具链（采集设备、数据管理、评估）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数据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成长期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中（被开源/大厂替代）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A 轮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软件化收入与多客户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代采劳务型</w:t>
            </w:r>
          </w:p>
        </w:tc>
      </w:tr>
      <w:tr>
        <w:trPr>
          <w:cantSplit w:val="false"/>
          <w:tblHeader w:val="false"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第三方评测/仿真/安全认证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基础设施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早期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中低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中（国家队）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天使–A 轮小额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被采购方采纳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无独立性</w:t>
            </w:r>
          </w:p>
        </w:tc>
      </w:tr>
      <w:tr>
        <w:trPr>
          <w:cantSplit w:val="false"/>
          <w:tblHeader w:val="false"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头部整机/平台（估值重置后）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中游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资本扩张末期→验证期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很高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低（头部）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★★★（看价格）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仅在重置估值+结构化条款下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收入质量与复购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估值/收入 &gt;50x 且无条款保护</w:t>
            </w:r>
          </w:p>
        </w:tc>
      </w:tr>
      <w:tr>
        <w:trPr>
          <w:cantSplit w:val="false"/>
          <w:tblHeader w:val="false"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机器人基础模型（纯模型）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中游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技术探索期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很高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很高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高（开源/大厂）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★★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仅早期、低估值、有数据闭环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第三方付费授权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100 亿元以上估值无收入</w:t>
            </w:r>
          </w:p>
        </w:tc>
      </w:tr>
      <w:tr>
        <w:trPr>
          <w:cantSplit w:val="false"/>
          <w:tblHeader w:val="false"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同质化双足全尺寸整机新项目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中游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过热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很高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回避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  <w:tr>
        <w:trPr>
          <w:cantSplit w:val="false"/>
          <w:tblHeader w:val="false"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家庭通用人形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中游+场景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技术探索期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很高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中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★（期权）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仅小额期权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家庭使用数据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依赖遥操作且无下降曲线</w:t>
            </w:r>
          </w:p>
        </w:tc>
      </w:tr>
      <w:tr>
        <w:trPr>
          <w:cantSplit w:val="false"/>
          <w:tblHeader w:val="false"/>
        </w:trPr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文娱/商演租赁</w:t>
            </w:r>
          </w:p>
        </w:tc>
        <w:tc>
          <w:tcPr>
            <w:tcW w:type="dxa" w:w="6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场景</w:t>
            </w:r>
          </w:p>
        </w:tc>
        <w:tc>
          <w:tcPr>
            <w:tcW w:type="dxa" w:w="129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价格崩塌</w:t>
            </w:r>
          </w:p>
        </w:tc>
        <w:tc>
          <w:tcPr>
            <w:tcW w:type="dxa" w:w="408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54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低</w:t>
            </w:r>
          </w:p>
        </w:tc>
        <w:tc>
          <w:tcPr>
            <w:tcW w:type="dxa" w:w="108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429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高</w:t>
            </w:r>
          </w:p>
        </w:tc>
        <w:tc>
          <w:tcPr>
            <w:tcW w:type="dxa" w:w="88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☆</w:t>
            </w:r>
          </w:p>
        </w:tc>
        <w:tc>
          <w:tcPr>
            <w:tcW w:type="dxa" w:w="231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回避</w:t>
            </w:r>
          </w:p>
        </w:tc>
        <w:tc>
          <w:tcPr>
            <w:tcW w:type="dxa" w:w="177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  <w:tc>
          <w:tcPr>
            <w:tcW w:type="dxa" w:w="191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3"/>
                <w:szCs w:val="13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50" w:id="1150"/>
      <w:r>
        <w:t xml:space="preserve">附录 7　关键产业判断及反证清单</w:t>
      </w:r>
      <w:bookmarkEnd w:id="1150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7"/>
        <w:gridCol w:w="4451"/>
        <w:gridCol w:w="4451"/>
        <w:gridCol w:w="4451"/>
        <w:gridCol w:w="610"/>
      </w:tblGrid>
      <w:tr>
        <w:trPr>
          <w:cantSplit w:val="false"/>
          <w:tblHeader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编号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结论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领先指标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推翻证据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置信度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T01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当前人形机器人市场本质上是'研发工具、展示与政策项目市场'，而非'劳动力替代市场'。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工业生产性收入占比；工业客户复购台数；中标结构中企业订单占比。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2027 年底前工业企业采购占比超过 50%，且出现单客户百台级复购。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高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T02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2026 年下半年是整机赛道由'资本扩张期'转入'商业验证期'的拐点，估值将分化而非整体崩塌。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下轮估值持平或下调的案例数；老股折价；IPO 过会率；地方基金出资节奏。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2027 年出现多家人形企业以高于前轮估值顺利上市，且上市后股价稳定。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中高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T03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人形形态在结构化工厂中的必要性被高估；2030 年前多数工业具身需求将被轮式移动操作与专用自动化拿走。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同一客户内人形与轮式方案的采购比例；双足/轮式 BOM 差价。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2028 年前双足人形在同一工业任务中的 TCO 低于轮式方案。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中高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T04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能力瓶颈已从'运动'转向'操作可靠性'，下一站将是'系统集成与运维成本'。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每小时人工接管次数；1 人看护台数；客户现场 MTBF。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第三方实测出现 1 人看护 50 台以上、接管率 &lt;0.1 次/小时的规模化部署。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高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T05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运动控制、基础关节与整机装配正在快速商品化；毛利将向两端迁移：高可靠精密部件，以及场景交付能力。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关节模组单价年降幅；整机毛利率分布；零部件企业人形业务毛利。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整机行业平均毛利率在 2028 年仍维持 40% 以上。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中高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T06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中国在硬件成本与出货规模上的优势在 3–5 年内具有持续性，但这是'制造优势'，不必然转化为'利润优势'。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海外收入占比；海外售价相对国内溢价；美欧政策进展。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美国以外的主要市场也对中国机器人实施限制，或美国本土成本快速接近中国。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T07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在中国，机器人基础模型层难以单独形成高利润的独立商业模式；模型价值需与本体、场景或数据闭环绑定。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第三方整机厂付费授权案例数；模型 API 收入；开源模型与头部闭源模型的评测差距。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2028 年前出现年授权收入超 10 亿元的中国独立机器人模型公司。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T08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数据壁垒的来源正从'采集规模'转向'部署回流与任务闭环'；纯采集服务将快速商品化。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单位有效数据成本；部署回流数据占训练数据比例；数采中心利用率。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2028 年数据服务商出现 30% 以上稳定毛利且客户集中度低。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T09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Scaling Law 在机器人领域'有条件成立'：依赖数据多样性与质量，且边际改进成本曲线比大语言模型更陡。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公开的规模—性能曲线；同等数据量下的跨本体迁移效果。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第三方复现显示真机能力随数据规模稳定幂律提升且无饱和。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T10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政策驱动的订单在 2026–2027 年构成中国整机收入的重要支撑，但将在 2027–2028 年退坡或转型，依赖者面临收入断崖。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数采中心类中标金额季度趋势；非政府收入占比；地方专项资金预算。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2028 年政府类采购仍保持增长且占比稳定。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中高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T11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订单口径混乱是当前最大的尽调风险；意向/框架订单应按 10%–30% 概率折算。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订单—收入转化率；预付款比例；期后回款。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监管出台统一订单披露规则，且主要公司订单转化率 &gt;70%。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高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T12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后期一级市场估值已透支：头部中国整机/模型公司 200–500 亿元的估值，需要约 2030 年收入达 40–100 亿元且毛利率 ≥30% 才能给新进投资人 3 倍回报。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上市可比公司估值/收入倍数；后期轮次估值增速与收入增速之比。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2028 年前出现多家估值 300 亿元以上公司在二级市场维持估值并持续增长。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中高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T13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美国市场正在分化：有收入的平台与资本密集整机仍享高估值，家庭人形率先被重定价。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美国人形公司下轮估值；SPAC 后股价表现；Optimus 外部交付进展。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Agility 上市后估值大幅上升且 1X 以高于 100 亿美元完成融资。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T14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特斯拉产能爬坡是全球零部件需求的最大单一变量，但时间表持续推迟；零部件投资不应以'特斯拉定点'为核心假设。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特斯拉季度产量披露；供应商定点函；AI5 集成进度。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2027 年特斯拉 Optimus 实现周产量 5,000 台以上并对外交付。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T15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汽车厂是'试点最多、规模化最慢'的场景；物流搬箱与特种巡检是 2027 年前最可能闭环的场景。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各场景复购台数与人员配比；车厂正式工位部署数。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2027 年前车厂出现千台级正式工位部署并公开 ROI。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中高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T16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家庭通用人形在 2030 年前难以形成规模化付费市场；遥操作兜底是过渡模式但难以盈利。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交付台数、日活与日均使用时长、遥操作占比、退货率。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2028 年前出现 10 万台级家庭人形交付且月流失率 &lt;3%。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中高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T17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上游'高精度+高可靠'部件（行星滚柱丝杠、高自由度灵巧手+触觉、六维力、高功率密度关节）是 2026–2030 年最具独立投资价值的环节，但必须验证多客户导入与非人形存量收入。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良率、寿命测试数据、海外定点、单价年降幅。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2028 年前精密部件价格下降超过 60% 且毛利率降至 20% 以下。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T18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端侧算力将呈'NVIDIA 主导高端、国产替代中低端'格局；国产替代受益于出口管制，但胜负取决于软件生态。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国产 SoC 在头部整机的定点数；模型部署适配数量。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出口管制放松且 NVIDIA 下沉中低端价格带。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T19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评测、安全认证与标准将成为'信任基础设施'型机会，但市场规模有限、易被国家队主导。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第三方评测的付费客户数；认证在采购中的强制性。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2028 年前采购方仍不要求第三方评测或认证。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T20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头部整机企业将向上游关节/手和下游模型纵向整合，独立'整机代工'与'通用模型'空间被挤压；专业分工机会在标准化部件与场景集成。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头部整机自研零部件比例；第三方模型授权案例。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2028 年前出现开放、被多家整机采用的'机器人 Android'级平台。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T21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RaaS 与租赁不是降低风险的魔法：它把客户的资本风险转移到机器人公司资产负债表，只有可用率与人员配比达标后才改善现金流。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单台年化收入、利用率、回收期、坏账。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RaaS 单台回收期在 2028 年前降至 2 年以内并规模化。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中高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T22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中国具身智能退出窗口在 2026 年打开后正在收紧；并购（含控股上市公司）将成为重要补充退出方式。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过会率、排队时长、上市后破发率、并购交易数。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2027 年多家无经常性收入的人形企业顺利上市。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中高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T23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中国整机企业数量（&gt;150 家）将在 2027–2029 年大规模出清，存活且具独立规模者 ≤20 家；出清主因是融资断档而非技术失败。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整机企业融资频次、裁员与欠薪报道、价格战烈度。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2029 年仍有超过 50 家独立整机企业保持增长。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T24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地缘政治将把全球人形市场切割为'中国+新兴市场'与'美国及盟友'两个体系，中国企业对美收入面临结构性折价。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法案进展、FCC 正式文件、中国企业对美出货。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美国明确豁免民用研究与教育机器人。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T25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'软件快、硬件慢'的错配使演示能力持续领先可部署能力 1–3 年，这是商业化幻觉的结构性来源。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公开演示与第三方部署指标的差距。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主要企业演示能力与客户现场指标的差距在 2028 年前缩小到 6 个月以内。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高</w:t>
            </w:r>
          </w:p>
        </w:tc>
      </w:tr>
      <w:tr>
        <w:trPr>
          <w:cantSplit w:val="false"/>
          <w:tblHeader w:val="false"/>
        </w:trPr>
        <w:tc>
          <w:tcPr>
            <w:tcW w:type="dxa" w:w="60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T26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未来三年的超额回报更可能来自：①估值重置后的头部平台与整机的结构化投资；②精密部件与工具链'卖铲子'；③任务闭环的场景公司——而非追逐'通用人形'叙事的新项目。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见第十二篇情景前置指标。</w:t>
            </w:r>
          </w:p>
        </w:tc>
        <w:tc>
          <w:tcPr>
            <w:tcW w:type="dxa" w:w="4451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乐观情景的触发事件在 2027 年前集中出现（见第十二篇）。</w:t>
            </w:r>
          </w:p>
        </w:tc>
        <w:tc>
          <w:tcPr>
            <w:tcW w:type="dxa" w:w="610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5"/>
                <w:szCs w:val="15"/>
              </w:rPr>
              <w:t xml:space="preserve">中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51" w:id="1151"/>
      <w:r>
        <w:t xml:space="preserve">附录 8　企业尽调问题库（89 题）</w:t>
      </w:r>
      <w:bookmarkEnd w:id="1151"/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★ 为关键问题（第十五篇展开）。字段：问题、验证的投资假设、积极信号、风险信号、可索取的底层证据与独立验证方法。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"/>
        <w:gridCol w:w="633"/>
        <w:gridCol w:w="2692"/>
        <w:gridCol w:w="2692"/>
        <w:gridCol w:w="2692"/>
        <w:gridCol w:w="2692"/>
        <w:gridCol w:w="2694"/>
      </w:tblGrid>
      <w:tr>
        <w:trPr>
          <w:cantSplit w:val="false"/>
          <w:tblHeader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类别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问题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验证的假设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积极信号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风险信号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证据与验证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Q01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★ 请在我们指定的、贵司未见过的场景与物体上，现场完成三项任务，各连续执行 30 次，全程录像不剪辑。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演示能力≠泛化能力；验证'未见场景成功率'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未事先布置、成功率稳定、失败模式可解释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只允许在自家展厅演示；拒绝更换物体；以视频代替现场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原始未剪辑视频、失败记录；投资方自带物体与场景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Q02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★ 演示与部署中是否有人工遥操作或人工接管？接管频率（次/小时）与平均接管时长是多少？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识别'人工接管未披露'这一最大造假风险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主动披露接管率，且随版本下降有曲线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回避、仅给'自主率'百分比而无定义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带时间戳的系统日志、遥操作链路记录；现场断开遥操作链路复测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Q03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★ 主力产品的任务成功率定义是什么？按子任务还是整任务？样本量与置信区间多少？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统一口径，防止子任务成功率冒充整任务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整任务定义、样本 ≥100、有置信区间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只报最好一次、无样本量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评测协议文档、评测原始表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Q04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连续无故障运行时长（MTBF）、单班有效工作时长与可用率分别是多少？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可靠性是商业化门槛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客户现场 MTBF 有统计且逐季改善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只有实验室数据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客户现场运维工单、停机记录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Q05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与熟练工人相比的节拍/吞吐率是多少？在客户产线上实测过吗？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吞吐率决定 ROI（见第六篇敏感性表）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≥60% 且有提升路线图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不愿给数字或只给'能完成'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产线 MES 数据、客户签字的验收报告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Q06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模型架构中哪些模块自研、哪些基于开源（如 Qwen、π0、GR00T）？自研部分的增量价值如何量化？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判断模型壁垒是否会被开源抹平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清晰的消融实验，自研部分带来可测增益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核心能力完全来自开源底座微调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代码仓库结构、训练日志、消融报告；技术顾问复核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Q07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换一种本体（或同型号不同批次）后，需要多少数据/时间重新适配？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跨本体与批次一致性决定规模化成本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小时级适配、批次间无需重训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每台需单独标定或重训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适配记录、不同批次机器的对照测试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Q08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端侧推理延迟、控制频率与功耗是多少？断网后还能做什么？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云端依赖是部署与安全风险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核心技能可离线、控制环 ≥200Hz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强依赖云端大模型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断网实测；功耗与热成像测试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Q09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最常见的三种失败模式是什么？分别如何检测与恢复？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成熟团队清楚自身边界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有失败分类学与自动恢复机制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回答'基本不失败'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失败案例库、恢复策略代码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Q10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安全机制：力/速度限制、急停、人机共融区域如何设计？是否通过第三方安全认证？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工业与家庭部署的硬门槛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已有或在申请功能安全认证路线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无安全设计文档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安全设计文档、认证机构往来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Q11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过去 12 个月模型/系统迭代了几个版本？每个版本在固定基准上的提升是多少？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迭代速度与工程化能力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固定基准、可追溯的版本曲线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每次换基准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版本发布记录与基准测试表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Q12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在公开第三方评测（如 RoboChallenge、BEHAVIOR 等）中的成绩与排名？是否参与过盲测？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降低自评偏差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参与盲测、结果稳定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只在自建榜单第一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评测平台公开记录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Q13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仿真到真机迁移的成功率差距是多少？仿真平台是否自建？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仿真投入的真实回报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差距可量化并持续缩小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仿真成绩好但真机数据缺失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仿真/真机对照实验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Q14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长时序任务（&gt;10 分钟、&gt;10 个子步骤）的完整完成率？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多步任务误差累积是核心难点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有长时序任务的整任务指标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仅展示短任务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长任务录像与日志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Q15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核心技术路线若被证明错误（如端到端 VLA 不及分层方案），公司如何调整？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路线风险与组织弹性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架构模块化、可替换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全部押注单一路线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架构文档、过往路线调整记录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Q16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技术团队中有多少人做过量产级机器人或汽车级系统？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论文能力≠工程能力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有量产交付经验的骨干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全部为学术背景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履历核验、前雇主背调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Q17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★ 累计数据量按模态拆分（真机遥操作/无本体/人类视频/仿真）各多少小时？每小时采集成本是多少？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数据规模与经济性；防止口径混用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分模态披露、单位成本清晰且下降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只给总小时数或'帧数'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数据湖目录、采集工单、成本台账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Q18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数据中有多少来自真实客户部署回流？回流数据是否有合同授权？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数据飞轮是否真实存在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部署回流占比上升、合同明确授权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全部来自自建采集场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客户合同数据条款、回流管道日志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Q19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数据规模翻倍时，在固定评测上的提升是多少？有无饱和迹象？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验证 Scaling 在本公司是否成立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有可复现的规模-性能曲线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无法给出曲线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训练实验记录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Q20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数据质量如何管控？标注、筛选、失败数据如何使用？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质量比数量更关键（π0.7 等证据）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有数据治理体系与质量指标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只追求规模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数据治理文档、抽样复核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Q21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采集设备（遥操作、手套、UMI 类）是否自研？单套成本与采集员效率？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数据成本结构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自研低成本设备、效率可量化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依赖外采且成本高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设备 BOM、采集员产出统计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Q22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是否向第三方出售或开源数据？收入占比？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数据商业模式与壁垒冲突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开源策略服务于生态、核心数据保留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依赖政府数采项目收入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合同与收入明细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Q23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政府数据采集中心项目中，数据所有权与使用权归谁？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政策订单的数据价值归属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公司保留训练使用权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数据归属地方平台、公司不可复用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项目合同条款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Q24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数据合规：涉及家庭/工厂视频的隐私与安全如何处理？是否涉及跨境？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合规风险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有合规评估与脱敏流程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无合规流程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合规文件、法律意见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Q25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若竞争对手开源同等规模数据集，贵司数据优势还剩什么？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数据壁垒的可持续性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优势在专有场景回流与闭环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优势仅在规模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访谈逻辑一致性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Q26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硬件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★ 当前单台 BOM 与完全成本（含装配、测试、良率、保修）是多少？未来 3 年降本路线分项是什么？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毛利率与价格战耐受度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分项清晰、关键件有二供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只给售价不给成本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BOM 表、采购合同、发票抽样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Q27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硬件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关节模组、减速器、丝杠、灵巧手、传感器、芯片分别自研还是外采？前五大供应商集中度？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供应链风险与差异化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关键件自研或深度绑定、有二供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单一供应商依赖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供应商清单与合同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Q28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硬件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整机下线良率、一次交付合格率、返修率是多少？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制造能力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良率 &gt;90% 且上升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不统计良率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产线质量报表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Q29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硬件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现场故障中，最常损坏的部件是什么？平均维修时长与备件成本？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全生命周期成本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有失效分析与改进闭环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无售后数据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售后工单、备件库存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Q30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硬件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电池续航、充换电方式与充电期间的可用率？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可用率影响 ROI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支持换电或机会充电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续航不足一班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现场实测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Q31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硬件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产能：当前月产能、产能利用率、扩产的资本开支与时间表？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产能与订单匹配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产能按真实订单扩张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产能先行、订单不足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工厂实地、设备采购合同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Q32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硬件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灵巧手：自由度、负载、寿命（循环次数）、触觉方案与单价？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操作能力与成本的核心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有寿命测试数据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仅有实验室样机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寿命测试报告、拆机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Q33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硬件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核心芯片是否依赖 NVIDIA？若受出口管制，替代方案与性能损失？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地缘风险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已有国产替代方案验证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完全依赖受限芯片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替代方案测试数据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Q34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硬件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整机平台化程度：不同型号共用多少零部件？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规模效应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高共用率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每型号独立设计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零部件清单对比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Q35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硬件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是否通过整机可靠性/环境/电磁兼容等测试？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工业准入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有第三方检测报告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无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检测报告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Q36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硬件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对上游零部件企业：前三大客户占比、是否进入海外头部主机厂供应链、价格年降要求？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零部件公司的客户集中与议价权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客户分散、海外定点有合同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依赖单一传闻客户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定点函、出货记录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Q37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硬件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对零部件企业：人形相关收入占比与工业/汽车存量业务的毛利对比？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区分'概念'与'实质'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人形收入可拆分且增长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人形收入不可拆分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分产品收入表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Q38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★ 订单按'意向—框架—正式合同—发货—验收—确认收入—回款'七个环节分别是多少金额与台数？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识别订单水分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各环节逐级披露、转化率可追溯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只有'签约金额'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合同、发货单、验收单、银行回单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Q39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★ 前十大客户名单、收入占比、是否为股东或关联方？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识别关联方收入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非关联客户占比高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股东客户占大头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股东名册与客户名单交叉比对；工商信息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Q40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★ 收入中政府/国资数据采集中心、教育科研、展厅展示、工业生产性用途各占多少？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区分政策驱动与真实需求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生产性用途收入占比提升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以数采中心与展示为主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合同用途条款、交付地点实地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Q41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★ 有多少客户完成第二次及以上采购？复购的台数与金额？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复购是需求真实性最强证据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复购率与扩量明确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全部为首单试点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多期合同、回款记录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Q42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客户采购决策链：谁发起、谁使用、谁付钱、谁验收？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理解销售周期与真实痛点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使用部门主导、有 ROI 测算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老板/政府关系驱动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客户访谈（使用方与采购方分开）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Q43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客户现场是否已纳入生产排程（承担节拍），还是在实训区/展示区？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区分生产与展示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纳入正式工位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在实训区或展厅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现场走访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Q44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客户的 ROI 测算与回本周期？客户自己是否认可？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客户付费意愿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客户主动给出 ROI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公司单方测算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客户访谈与内部审批文件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Q45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定价模式：一次性销售、租赁、RaaS 还是按任务计费？各模式毛利？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商业模式与现金流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模式与客户预算匹配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租赁/RaaS 实为变相融资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合同条款、账龄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Q46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单个项目从签约到稳定运行需要多少工程师、多长时间？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部署成本与可复制性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人天随项目数下降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每个项目重度定制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项目人天台账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Q47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与轮式移动操作、协作臂、AGV 等替代方案相比，客户为何选择你？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形态必要性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有明确不可替代原因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回答'更通用'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客户比选记录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Q48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海外收入占比？海外渠道、认证与售后体系？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出海能力与地缘风险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有本地服务能力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依赖贸易商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渠道合同、认证证书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Q49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租赁与商演业务的价格与利用率趋势？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租赁价格已从万元/天跌至千元/天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租赁占比低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依赖商演租赁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租赁台账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Q50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合同中的验收标准、违约与退货条款？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收入确认质量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清晰验收标准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无验收或可无条件退货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合同条款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Q51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应收账款账龄、回款周期、坏账准备？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政府/国企回款风险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账龄短、回款稳定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大额长账龄应收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账龄表、银行流水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Q52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渠道商/集成商在收入中的占比？是否存在压货？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渠道压货风险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终端销售可追溯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期末集中向渠道发货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期末发货与期后退货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Q53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补贴与政策性收入占比？若补贴退坡会怎样？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政策依赖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补贴占比低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补贴是利润主要来源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补贴文件与会计处理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Q54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现有客户中有多少流失？流失原因？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负面反馈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主动披露流失原因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无流失数据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前客户访谈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Q55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商业化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对家庭产品：已交付台数、日活率、日均使用时长、遥操作占比？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家庭场景需求真实性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有使用时长数据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只有预订数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用户使用数据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Q56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财务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★ 月度现金消耗、现金余额与跑道（月）？下一轮融资前的里程碑？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资本效率与生存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跑道 ≥18 个月、里程碑可验证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跑道 &lt;12 个月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银行对账单、预算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Q57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财务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收入确认政策（总额/净额、硬件与软件拆分、数采项目如何确认）？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收入质量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政策审慎、与同行一致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激进确认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审计报告、会计政策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Q58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财务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分产品/分客户毛利率？剔除政府项目后的毛利率？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真实盈利能力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生产性客户毛利率可观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毛利依赖政府项目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分项毛利表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Q59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财务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研发费用资本化比例？股份支付规模？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利润质量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资本化审慎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大量资本化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审计底稿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Q60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财务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存货（含整机库存）与周转天数？产量与销量差距？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产销差与压货（工信部产量与出货口径差）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产销率高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库存快速累积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存货盘点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Q61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财务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单位经济：单台/单项目贡献毛利与获客成本？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规模化后能否盈利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贡献毛利为正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贡献毛利为负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项目损益表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Q62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财务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资本开支计划与产能投资回收？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重资产风险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按订单分期投入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大额前置投入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投资计划与董事会决议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Q63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财务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有无对赌、回购条款与或有负债？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隐性负债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条款清晰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多轮叠加回购义务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股东协议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Q64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财务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政府产业基金投资是否附带落地、税收或产值承诺？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地方承诺的约束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无硬性产值对赌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有产值/税收承诺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投资协议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Q65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财务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审计机构与内控？是否有财务总监与独立审计？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财务透明度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知名审计、内控健全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无审计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审计报告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Q66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组织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★ 创始团队中谁对'量产与交付'负责？他过去交付过多少台复杂机电产品？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工程化领导力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有量产交付记录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仅研究背景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背调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Q67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组织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核心团队持股与激励？过去一年关键人员流失？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团队稳定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核心持股合理、流失低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核心技术负责人离职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期权台账、离职记录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Q68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组织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研发、工程、交付、销售人员结构？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组织是否匹配阶段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交付与客户成功团队在扩张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几乎全是研究员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花名册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Q69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组织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创始人如何看待人形形态的必要性？何时会放弃人形？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战略理性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能说清形态边界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坚持'人形万能'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访谈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Q70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组织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与大厂（字节、阿里、华为、特斯拉等）的人才竞争中如何保留人才？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人才成本与流失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有独特使命或股权吸引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薪酬战无优势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薪酬对标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Q71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组织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董事会构成与治理？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治理风险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有独立董事与规范决策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创始人一言堂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董事会纪要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Q72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组织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公司在过去两年做出的最大错误决策是什么？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反思能力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坦诚且有修正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无法回答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访谈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Q73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融资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★ 历轮融资估值、金额、领投方、实际到账时间？是否存在'宣布未到账'？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区分宣布与交割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到账与宣布一致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宣布金额远大于到账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验资报告、银行流水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Q74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融资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股东中产业资本、国资、财务投资人的比例？是否有地方返投要求？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股东结构对经营的约束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股东结构均衡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返投约束限制选址与扩张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股东协议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Q75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融资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优先清算权、反稀释、回购等条款的叠加情况？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下行保护是否有效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条款标准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后轮多倍优先清算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股东协议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Q76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融资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老股转让价格与新股价格差异？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二级市场对估值的真实看法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老股折价合理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老股大幅折价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交易记录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Q77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融资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下一轮估值的依据是什么？可比公司是谁？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估值逻辑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以收入/订单为锚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以融资热度为锚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访谈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Q78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融资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融资资金用途中研发、产能、数据、销售的比例？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资金效率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与里程碑匹配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大量用于展会与营销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预算表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Q79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融资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是否计划通过收购上市公司控制权实现上市？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替代上市路径的合规风险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合规审慎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以炒作为目的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交易方案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Q80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知识产权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核心专利数量、发明专利占比、海外布局？有无诉讼？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技术壁垒与出海风险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核心专利有海外布局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专利多为外观/实用新型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专利检索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Q81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知识产权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开源软件许可证合规（GPL 等）？基于开源模型的商用许可？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商用合规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许可证合规审查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未审查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开源合规报告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Q82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知识产权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核心人员是否存在前雇主竞业或职务发明争议？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法律风险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无争议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存在争议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法律尽调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Q83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合规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出口管制与美国法案（如 American Security Robotics Act、GUARD Act）对海外业务的影响？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地缘风险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有合规方案与区域化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海外收入集中在受限市场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法律意见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Q84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合规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产品安全、数据安全与网络安全认证？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准入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已有或推进中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无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认证文件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Q85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退出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★ 计划在哪个板块上市？对照证监会'经常性收入、亏损收窄或真正创新'的窗口指导要求，差距在哪？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退出可行性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清晰对标且差距可在 2–3 年内弥补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依赖市场情绪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上市辅导机构意见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Q86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退出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若 IPO 不可行，潜在并购方是谁？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下行退出路径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有产业方兴趣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无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产业方访谈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Q87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退出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可比上市公司估值与本轮估值的差距？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一二级倒挂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本轮估值低于可比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显著倒挂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可比公司表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Q88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退出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上市后锁定期、减持安排与股价波动风险？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二级市场流动性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对波动有预期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预期过于乐观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测算</w:t>
            </w:r>
          </w:p>
        </w:tc>
      </w:tr>
      <w:tr>
        <w:trPr>
          <w:cantSplit w:val="false"/>
          <w:tblHeader w:val="false"/>
        </w:trPr>
        <w:tc>
          <w:tcPr>
            <w:tcW w:type="dxa" w:w="47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Q89</w:t>
            </w:r>
          </w:p>
        </w:tc>
        <w:tc>
          <w:tcPr>
            <w:tcW w:type="dxa" w:w="63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退出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港股 120 日规则、18C 等规则对时间表的影响？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时间表风险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规划清晰</w:t>
            </w:r>
          </w:p>
        </w:tc>
        <w:tc>
          <w:tcPr>
            <w:tcW w:type="dxa" w:w="269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时间表与融资计划冲突</w:t>
            </w:r>
          </w:p>
        </w:tc>
        <w:tc>
          <w:tcPr>
            <w:tcW w:type="dxa" w:w="2694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律师意见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52" w:id="1152"/>
      <w:r>
        <w:t xml:space="preserve">附录 9　资料来源、引用链接、数据口径与证据等级索引</w:t>
      </w:r>
      <w:bookmarkEnd w:id="1152"/>
    </w:p>
    <w:p>
      <w:pPr>
        <w:pBdr>
          <w:left w:val="single" w:color="9AA8C2" w:sz="12" w:space="8"/>
        </w:pBdr>
        <w:shd w:fill="F5F7FA" w:color="auto" w:val="clear"/>
        <w:spacing w:after="60" w:before="40" w:line="300" w:lineRule="auto"/>
        <w:ind w:left="240"/>
      </w:pPr>
      <w:r>
        <w:rPr>
          <w:color w:val="3A3F4A"/>
          <w:sz w:val="18"/>
          <w:szCs w:val="18"/>
        </w:rPr>
        <w:t xml:space="preserve">证据等级：A 一手或高质量独立验证；B 可靠二手且交叉佐证；C 企业单方披露或单一来源；D 研究推断。日期为报道或发布时间。研究环境限制：多数网页无法直接打开原文，核验依赖检索摘录与多源比对。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3"/>
        <w:gridCol w:w="3135"/>
        <w:gridCol w:w="3135"/>
        <w:gridCol w:w="3135"/>
        <w:gridCol w:w="922"/>
        <w:gridCol w:w="553"/>
        <w:gridCol w:w="3137"/>
      </w:tblGrid>
      <w:tr>
        <w:trPr>
          <w:cantSplit w:val="false"/>
          <w:tblHeader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主题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来源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链接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日期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等级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用途/口径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S01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宇树招股书财务与出货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华尔街见闻·IPO 见闻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https://wallstreetcn.com/articles/3768005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2026-03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营收 17.08 亿元、毛利率、人形出货 &gt;5,500 台（媒体解读招股书）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S02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宇树发行与上市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同花顺财经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https://stock.10jqka.com.cn/20260818/c679025061.shtml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2026-08-18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发行价 150.80 元、发行市盈率 219 倍、募资约 61 亿元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S03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宇树发行定价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盖世汽车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https://autonews.gasgoo.com/articles/market-industry/unitree-ipo-priced-at-15080-yuan-per-share-corresponding-to-issuance-market-cap-of-nearly-61-billion-yuan-2085662758073761793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发行市值 609.93 亿元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S04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宇树首日表现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SCMP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https://scmp.com/tech/tech-trends/article/3364499/unitree-robotics-surges-629-us66-billion-valuation-shanghai-share-debut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2026-08-19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开盘 +629%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S05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宇树股价回撤与泡沫担忧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SCMP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https://scmp.com/tech/tech-trends/article/3365459/unitrees-stock-slump-ipo-stokes-fears-bubble-chinese-humanoid-robotics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2026-08/09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较峰值回撤 48%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S06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宇树股价跌破 550 元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同花顺财经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https://news.10jqka.com.cn/20260902/c679520153.shtml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2026-09-02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较首日高点腰斩；9-18 收盘 514.98 元（另见检索摘录）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S07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 2026H1 业绩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瑞财经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https://m.rccaijing.com/news-7500438674887865924.html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营收 11.52 亿元、+48.54%；归母净利 2.74 亿元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S08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优必选 2025 年报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华尔街见闻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https://wallstreetcn.com/articles/3768895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2026-03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营收 20.01 亿元、毛利率 37.7%、全尺寸人形 8.21 亿元/1,079 台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S09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优必选 2026 中期业绩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澎湃新闻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https://m.thepaper.cn/newsDetail_forward_33969262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2026-08-28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营收 12.7 亿元、全尺寸 921 台、净亏 3.39 亿元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S10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优必选 Walker S2 量产与订单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共同网 PR Wire（公司新闻稿）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https://kyodonewsprwire.jp/index.php/release/202511179261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2025-11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订单超 8 亿元（公司口径）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S11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优必选九江数采中心中标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IT 之家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https://www.ithome.com/0/900/878.htm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2025-11-28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1.43 亿元数据采集与训练中心项目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S12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优必选股价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同花顺财经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https://stock.10jqka.com.cn/20261012/c680583714.shtml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2026-10-12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68.10 港元；与厦门建发 1 万台合作目标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S13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IDC 2025 全球人形出货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界面新闻（英文）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https://en.jiemian.com/article/13925066.html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2026-01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1.8 万台、约 4.4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S14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Counterpoint 2026H1 出货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Counterpoint Research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https://counterpointresearch.com/cn/insights/humanoid-robot-shipments-up-300-forbes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全球 &gt;2.2 万台；厂商份额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S15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Counterpoint 排名（智元新闻稿）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智元官网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https://agibot.com/article/231/detail/89.html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智元第一（公司转引）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S16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智元新一轮与港股暂缓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36 氪（转引《财经》）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https://eu.36kr.com/zh/p/4025612762763138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2026-10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估值约 500 亿元、120 日规则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S17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智元营收口径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界面新闻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https://m.jiemian.com/article/13845721.html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2023–2025 营收、2026 年数万台目标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S18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智元收购上纬新材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界面新闻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https://www.jiemian.com/article/13008894.html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2025-07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拟收购 63.62% 股份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S19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标委会与产量数据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第一财经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https://www.yicai.com/news/103016803.html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2026-07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产量约 2 万台、2026H1 超 4 万台、全年预计超 10 万台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S20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标准体系与实景实训专项行动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新华网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https://www.news.cn/tech/20260612/a069b3a9948b4e0aaaa94cf3d618e545/c.html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2026-06-12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万台级规模落地目标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S21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发改委'泡沫风险'表态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国家发展改革委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https://www.ndrc.gov.cn/xwdt/wszb/11yxwfbh1/wzsl/202511/t20251127_1401983.html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2025-11-27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150 余家整机企业、同质化风险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S22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国家创业投资引导基金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中国政府网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https://www.gov.cn/zhengce/202512/content_7052828.htm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2025-12-26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中央财政出资 1,000 亿元、目标万亿规模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S23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2026H1 融资 935 亿元（IT 桔子）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虎嗅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https://www.huxiu.com/article/4872074.html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2026-07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322 笔、同比金额约 5 倍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S24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 前三季度融资 2,896 亿元（上奇）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搜狐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https://www.sohu.com/a/1088098885_121325195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2026-10-15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含单笔约 771 亿元异常值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S25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融资（投中）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投中网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https://m.chinaventure.com.cn/news/80-20251218-389389.html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2025-12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298 起、329 亿元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S26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交付能力成估值锚点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新华网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https://www.news.cn/tech/20260513/5cba0af26a5a4bfa847cc024100a6278/c.html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2026-05-13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资本逻辑迁移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S27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PitchBook 人形融资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PitchBook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https://pitchbook.com/news/articles/apptronik-raises-520m-as-vc-funding-for-humanoid-robotics-explodes-300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2026-02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 61 亿美元/139 笔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S28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Crunchbase 机器人融资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Crunchbase News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https://news.crunchbase.com/robotics/ai-funding-high-figure-raise-data/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 138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S29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特斯拉 2026Q3 财报会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The Motley Fool 文字稿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https://www.fool.com/earnings/call-transcripts/2026/10/22/tesla-tsla-q3-2026-earnings-call-transcript/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2026-10-22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弗里蒙特产线、交付时间、AI5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S30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特斯拉 8-K 财报附件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SEC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https://www.sec.gov/Archives/edgar/data/0001318605/000162828026049213/exhibit991.htm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2026-10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官方财报材料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S31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Optimus V3 推迟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Not a Tesla App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https://notateslaapp.com/news/3884/tesla-delays-optimus-gen-3-unveil-for-finishing-touches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2026-03-31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发布推迟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S32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Figure C 轮 390 亿美元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Bloomberg Law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https://news.bloomberglaw.com/artificial-intelligence/robotics-startup-figure-ai-valued-at-39-billion-in-new-funding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2025-09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投后估值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S33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宝马 Spartanburg 试点复盘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Humanoids Daily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https://www.humanoidsdaily.com/features/bmw-reflections-why-the-spartanburg-pilot-succeeded-and-why-figure-02-had-to-die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1,250 小时、9 万+零件、84 秒节拍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S34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Figure 第 1,000 台 Figure 03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Humanoids Daily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https://www.humanoidsdaily.com/news/a-golden-milestone-figure-manufactures-its-1-000th-figure-03-humanoid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2026-07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公司宣布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S35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Agility SPAC 财务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GeekWire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https://www.geekwire.com/2026/digit-maker-agility-robotics-to-go-public-in-2-5b-deal-heres-what-the-filings-say-about-its-finances/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营收 180 万美元、经营亏损 1.4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S36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GXO：45 次人形试点未达 ROI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BERI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https://www.beri.net/article/gxo-agility-digit-humanoid-expansion-statesville-lebanon-raas-no-roi-yet-45-pilots-warehouse-automation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2026-10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GXO CEO 财报会表态；RaaS 示意价 8,500 美元/月（SEC 文件）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S37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GXO 2026 年 2 万台机器人无人形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A3 Automate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https://www.automate.org/robotics/industry-insights/gxo-plans-20-000-robots-in-2026-none-of-them-will-be-humanoids/anc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客户侧形态选择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S38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Apptronik 9.35 亿美元 A 轮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TechCrunch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https://techcrunch.com/2026/02/11/humanoid-robot-startup-apptronik-has-now-raised-935m-at-a-5b-valuation/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2026-02-11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投后约 53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S39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Apptronik 新闻稿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Apptronik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https://apptronik.com/news-collection/apptronik-closes-over-935-million-series-a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2026-02-11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融资金额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S40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量产版 Atlas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Boston Dynamics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https://bostondynamics.com/blog/boston-dynamics-unveils-new-atlas-robot-to-revolutionize-industry/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2026-01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 交付锁定现代与 DeepMind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S41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现代机器人战略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Automotive World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https://www.automotiveworld.com/news/hyundai-unveils-ai-robotics-strategy-at-ces-2026/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2026-01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2.5 万台以上部署、3 万台/年产能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S42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1X NEO 价格与交付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eWeek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https://www.eweek.com/news/1x-neo-humanoid-home-robot-2026/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 万美元/499 美元每月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S43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1X 工厂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eWeek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https://www.eweek.com/news/news-1x-california-factory-neo-humanoid-robot/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2026-04/05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首年目标 1 万台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S44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软银洽购 1X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Startup Researcher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https://www.startupresearcher.com/news/softbank-in-talks-to-buy-majority-stake-in-1x-technologies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60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S45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PI 洽谈 110 亿美元估值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Bloomberg Government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https://news.bgov.com/artificial-intelligence/ai-robotics-lab-in-talks-to-nab-1-billion-at-11-billion-value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2026-03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洽谈中，未见交割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S46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Skild C 轮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Robotics Press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https://www.robotics.press/news/skild-ai-series-c-funding-1-4-billion/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2026-01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14 亿美元@140 亿美元+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S47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Skild 1 亿美元运行率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AI Weekly（转引彭博）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https://aiweekly.co/alerts/skild-ai-hits-100m-revenue-run-rate-10-months-after-first-deployment-grows-to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运行率口径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S48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Generalist 20 亿美元估值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SiliconANGLE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https://siliconangle.com/2026/06/04/generalist-ai-raises-400m-2b-valuation-build-general-intelligence-real-world/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2026-06-04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S49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Generalist 30 亿美元估值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TechCrunch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https://techcrunch.com/2026/08/25/robotics-startup-generalist-reaches-3b-valuation-sources-say/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2026-08-25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2 亿美元追加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S50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它石 4.55 亿美元 Pre-A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科技日报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https://www.stdaily.com/web/gdxw/2026-04/16/content_503350.html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2026-04-16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国内单轮纪录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S51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星海图、千寻融资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36 氪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https://www.36kr.com/p/3874254534710276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投后 200 亿元级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S52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银河通用融资与质疑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36 氪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https://eu.36kr.com/zh/p/4003795908908679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2026-09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股东客户重合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S53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云深处、乐聚 IPO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同花顺财经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https://news.10jqka.com.cn/20260526/c676982362.shtml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2026-05-26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营收、估值、受理时间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S54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云深处 IPO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财新 Global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https://www.caixinglobal.com/2026-05-19/robot-dog-maker-deep-robotics-seeks-370-million-shanghai-ipo-102445604.html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2026-05-19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募资规模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S55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证监会窗口指导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Khaleej Times（转引 The Information）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https://www.khaleejtimes.com/business/china-curbs-humanoid-ipos-after-unitrees-volatile-debut-the-information-reports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2026-09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经常性收入、亏损收窄或真正创新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S56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订单水分调查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蓝鲸新闻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https://www.lanjinger.com/d/1789482175583483970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三类注水订单、中标结构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S57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订单真实性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虎嗅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https://www.huxiu.com/article/4885231.html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'80% 订单不算真正商业化订单'为作者判断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S58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政府招采结构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虎嗅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https://www.huxiu.com/article/4882344.html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302 份招标书分析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S59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租赁价格下跌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杭州网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https://hznews.hangzhou.com.cn/jingji/content/2026-10/14/content_9337309.htm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2026-10-14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日租从万元级降至千元级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S60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数据采集补贴与数据缺口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中国金融信息网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https://www.cnfin.com/yw-lb/detail/20260924/4474924_1.html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2026-09-24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贵州补贴标准、合规数据 50 万小时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S61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灵巧手出货与价格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界面新闻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https://m.jiemian.com/article/15102794.html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GGII 1.92 万只、价格区间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S62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绿的谐波业绩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投中网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https://m.chinaventure.com.cn/news/114-20260903-393080.html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2026-09-03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年报与 2026H1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S63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丝杠与 BOM 结构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财联社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https://www.cls.cn/detail/2393045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国产化率、良率、三大件占比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S64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摩根士丹利 BOM 估算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SCMP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https://www.scmp.com/tech/article/3337151/china-packs-patent-punch-race-build-humanoid-robots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Optimus Gen2 中国供应链 4.6 万美元 vs 非中国 13.1 万美元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S65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IFR World Robotics 2026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CGTN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https://news.cgtn.com/news/2026-09-24/China-remains-world-s-largest-industrial-robot-market-report-1QHHXCQHdrq/p.html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2026-09-24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 年中国安装 35.4 万台、占全球 59%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S66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IFR World Robotics 2025（中国）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IFR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https://ifr.org/downloads/press_docs/2025-09-25-IFR_press_release_China_in_English.pdf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2025-09-25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 年中国安装 29.5 万台、存量 202.7 万台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S67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统计局 2025 年平均工资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国家统计局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https://www.stats.gov.cn/xxgk/sjfb/zxfb2020/202605/t20260515_1963707.html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2026-05-15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非私营 129,441 元、私营 71,590 元、规模以上 106,080 元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S68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高盛人形市场预测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Goldman Sachs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https://www.goldmansachs.com/intelligence/pages/the-global-market-for-robots-could-reach-38-billion-by-2035.html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2024-02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2035 年 380 亿美元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S69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高盛上调 2035 出货预测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Humanoid Guide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https://humanoid.guide/goldman-raises-2035-humanoid-robot-forecast-to-6-5-million/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2026-09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约 650 万台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S70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Jetson Thor 价格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DatacenterDynamics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https://www.datacenterdynamics.com/en/news/nvidia-launches-jetson-thor-compute-modules-for-humanoid-robots/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2025-08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3,499 美元开发套件、2,999 美元千片模组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S71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宇树 R1 价格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Interesting Engineering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https://interestingengineering.com/innovation/unitree-launches-cheapest-humanoid-robot-r1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2025-07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3.99 万元起（后报道降至 2.99 万元起）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S72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美国参议院采购禁令法案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FDD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https://www.fdd.org/analysis/2026/03/27/as-chinese-robotics-industry-surges-senate-considers-limited-federal-procurement-ban/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2026-03-27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American Security Robotics Act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S73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GUARD Act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Washington Times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https://m.washingtontimes.com/news/2026/jun/4/lawmakers-propose-bill-block-sale-robots-built-china/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2026-06-04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国家安全审查与潜在进口禁令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S74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FCC 进口限制（报道）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Business Standard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https://www.business-standard.com/world-news/us-bans-foreign-made-humanoid-robots-targeting-china-on-security-grounds-126072900521_1.html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2026-07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单一来源，待官方核实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S75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达闼破产清算（报道）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36 氪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https://eu.36kr.com/zh/p/4033766049698947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2026-10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单一来源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S76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达闼欠薪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界面新闻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https://m.jiemian.com/article/12650544.html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2025-04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欠薪裁员与公司回应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S77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极智嘉 2025 业绩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科技日报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https://www.stdaily.com/web/gdxw/2026-04/08/content_499039.html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2026-04-08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营收 31.71 亿元、经调整净利润转正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S78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港股机器人排队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财联社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https://www.cls.cn/detail/2442498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2026-08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46 家排队、年内 5 家上市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S79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IT 桔子 2025 全年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36 氪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https://www.36kr.com/p/3680181698113415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2025-12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305+ 起</w:t>
            </w:r>
          </w:p>
        </w:tc>
      </w:tr>
      <w:tr>
        <w:trPr>
          <w:cantSplit w:val="false"/>
          <w:tblHeader w:val="false"/>
        </w:trPr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S80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原技术报告（本仓库）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本仓库 report/ 目录</w:t>
            </w:r>
          </w:p>
        </w:tc>
        <w:tc>
          <w:tcPr>
            <w:tcW w:type="dxa" w:w="3135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../report/</w:t>
            </w:r>
          </w:p>
        </w:tc>
        <w:tc>
          <w:tcPr>
            <w:tcW w:type="dxa" w:w="922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2026-10-30</w:t>
            </w:r>
          </w:p>
        </w:tc>
        <w:tc>
          <w:tcPr>
            <w:tcW w:type="dxa" w:w="553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tcW w:type="dxa" w:w="3137"/>
            <w:tcBorders>
              <w:top w:val="single" w:color="D0D3D9" w:sz="2"/>
              <w:left w:val="single" w:color="D0D3D9" w:sz="2"/>
              <w:bottom w:val="single" w:color="D0D3D9" w:sz="2"/>
              <w:right w:val="single" w:color="D0D3D9" w:sz="2"/>
            </w:tcBorders>
            <w:shd w:fill="F3F5F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0" w:before="0" w:line="260" w:lineRule="auto"/>
            </w:pPr>
            <w:r>
              <w:rPr>
                <w:sz w:val="14"/>
                <w:szCs w:val="14"/>
              </w:rPr>
              <w:t xml:space="preserve">技术路线、模型与公司技术细节的线索库，事实以本报告复核为准</w:t>
            </w:r>
          </w:p>
        </w:tc>
      </w:tr>
    </w:tbl>
    <w:p>
      <w:pPr>
        <w:spacing w:after="120"/>
      </w:pPr>
    </w:p>
    <w:p>
      <w:pPr>
        <w:pStyle w:val="Heading2"/>
      </w:pPr>
      <w:bookmarkStart w:name="bm153" w:id="1153"/>
      <w:r>
        <w:t xml:space="preserve">附录 10　模型参数与复算说明</w:t>
      </w:r>
      <w:bookmarkEnd w:id="1153"/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复算方法</w:t>
      </w:r>
      <w:r>
        <w:t xml:space="preserve">：在 </w:t>
      </w:r>
      <w:r>
        <w:rPr>
          <w:rFonts w:ascii="Consolas" w:cs="Consolas" w:eastAsia="SimSun" w:hAnsi="Consolas"/>
          <w:color w:val="8A3B12"/>
        </w:rPr>
        <w:t xml:space="preserve">investment_report/scripts/</w:t>
      </w:r>
      <w:r>
        <w:t xml:space="preserve"> 目录下依次运行 </w:t>
      </w:r>
      <w:r>
        <w:rPr>
          <w:rFonts w:ascii="Consolas" w:cs="Consolas" w:eastAsia="SimSun" w:hAnsi="Consolas"/>
          <w:color w:val="8A3B12"/>
        </w:rPr>
        <w:t xml:space="preserve">python3 models.py</w:t>
      </w:r>
      <w:r>
        <w:t xml:space="preserve">、</w:t>
      </w:r>
      <w:r>
        <w:rPr>
          <w:rFonts w:ascii="Consolas" w:cs="Consolas" w:eastAsia="SimSun" w:hAnsi="Consolas"/>
          <w:color w:val="8A3B12"/>
        </w:rPr>
        <w:t xml:space="preserve">python3 build_data.py</w:t>
      </w:r>
      <w:r>
        <w:t xml:space="preserve">、</w:t>
      </w:r>
      <w:r>
        <w:rPr>
          <w:rFonts w:ascii="Consolas" w:cs="Consolas" w:eastAsia="SimSun" w:hAnsi="Consolas"/>
          <w:color w:val="8A3B12"/>
        </w:rPr>
        <w:t xml:space="preserve">python3 charts.py</w:t>
      </w:r>
      <w:r>
        <w:t xml:space="preserve">，即可重新生成全部模型表、数据底表与图表；运行 </w:t>
      </w:r>
      <w:r>
        <w:rPr>
          <w:rFonts w:ascii="Consolas" w:cs="Consolas" w:eastAsia="SimSun" w:hAnsi="Consolas"/>
          <w:color w:val="8A3B12"/>
        </w:rPr>
        <w:t xml:space="preserve">node build_docx.js</w:t>
      </w:r>
      <w:r>
        <w:t xml:space="preserve"> 重新生成 Word 报告。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BOM 模型</w:t>
      </w:r>
      <w:r>
        <w:t xml:space="preserve">：全尺寸工业人形 28 个本体关节、2 只灵巧手；单价分低、基准、高三档；装配测试良率加成分别为 8%、12%、18%。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TCO 模型</w:t>
      </w:r>
      <w:r>
        <w:t xml:space="preserve">：双班 4,800 小时/年；一线全口径用工成本 10 万元/人·年；看护人员 25 万元/人·年；资本成本 8%；能源 0.8 元/千瓦时。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情景模型</w:t>
      </w:r>
      <w:r>
        <w:t xml:space="preserve">：2025 年为 IDC 实际值，其余为情景假设。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VC 模型</w:t>
      </w:r>
      <w:r>
        <w:t xml:space="preserve">：并购情景按 1x 优先清算权近似，IPO 情景按持股比例。</w:t>
      </w:r>
    </w:p>
    <w:p>
      <w:pPr>
        <w:pStyle w:val="ListParagraph"/>
        <w:numPr>
          <w:ilvl w:val="0"/>
          <w:numId w:val="2"/>
        </w:numPr>
        <w:spacing w:after="60" w:line="312" w:lineRule="auto"/>
      </w:pPr>
      <w:r>
        <w:rPr>
          <w:b/>
          <w:bCs/>
        </w:rPr>
        <w:t xml:space="preserve">汇率</w:t>
      </w:r>
      <w:r>
        <w:t xml:space="preserve">：1 美元约等于 7.1 元人民币，近似处理。</w:t>
      </w:r>
    </w:p>
    <w:sectPr>
      <w:headerReference w:type="default" r:id="rId9"/>
      <w:footerReference w:type="default" r:id="rId10"/>
      <w:pgSz w:w="16838" w:h="11906" w:orient="landscape"/>
      <w:pgMar w:top="1134" w:right="1134" w:bottom="1134" w:left="1134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F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F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jc w:val="right"/>
    </w:pPr>
    <w:r>
      <w:rPr>
        <w:color w:val="8A8F99"/>
        <w:sz w:val="16"/>
        <w:szCs w:val="16"/>
      </w:rPr>
      <w:t xml:space="preserve">具身智能全产业链深度研究与投资决策报告 · 2026-10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jc w:val="right"/>
    </w:pPr>
    <w:r>
      <w:rPr>
        <w:color w:val="8A8F99"/>
        <w:sz w:val="16"/>
        <w:szCs w:val="16"/>
      </w:rPr>
      <w:t xml:space="preserve">具身智能全产业链深度研究与投资决策报告 · 2026-10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>
      <w:pPr>
        <w:spacing w:line="32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240"/>
      <w:outlineLvl w:val="0"/>
    </w:pPr>
    <w:rPr>
      <w:rFonts w:ascii="Calibri" w:cs="Calibri" w:eastAsia="Microsoft YaHe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Microsoft YaHei" w:hAnsi="Calibr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Microsoft YaHei" w:hAnsi="Calibri"/>
      <w:b/>
      <w:bCs/>
      <w:color w:val="2F4A7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Calibri" w:cs="Calibri" w:eastAsia="Microsoft YaHei" w:hAnsi="Calibri"/>
      <w:b/>
      <w:bCs/>
      <w:color w:val="2F4A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d4efe7cad2245462c2f05145ff6e4b50027ff0b7.png"/><Relationship Id="rId12" Type="http://schemas.openxmlformats.org/officeDocument/2006/relationships/image" Target="media/7a20159a6af0878f00f042746f0f4df1c8c0a25b.png"/><Relationship Id="rId13" Type="http://schemas.openxmlformats.org/officeDocument/2006/relationships/image" Target="media/0897ae2fe6c2e08df6445b63ed592643b416b310.png"/><Relationship Id="rId14" Type="http://schemas.openxmlformats.org/officeDocument/2006/relationships/image" Target="media/841f63914e2758520f0705cb53385124c7328fb7.png"/><Relationship Id="rId15" Type="http://schemas.openxmlformats.org/officeDocument/2006/relationships/image" Target="media/45a2136f7848ccf8de4bf85c29f3f28180ccc7c1.png"/><Relationship Id="rId16" Type="http://schemas.openxmlformats.org/officeDocument/2006/relationships/image" Target="media/36a251aab469d91817f02956368b980f00ceb32d.png"/><Relationship Id="rId17" Type="http://schemas.openxmlformats.org/officeDocument/2006/relationships/image" Target="media/34b7ea007c82eb6476f318e4c6902bc93edefa62.png"/><Relationship Id="rId18" Type="http://schemas.openxmlformats.org/officeDocument/2006/relationships/image" Target="media/28b57bde72e0434070c274f6c6b1896183eafe57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具身智能全产业链深度研究与投资决策报告</dc:title>
  <dc:creator>联合研究团队</dc:creator>
  <dc:description>全球产业格局 · 技术成熟度 · 商业化 · 资本周期 · 未来投资机会</dc:description>
  <cp:lastModifiedBy>Un-named</cp:lastModifiedBy>
  <cp:revision>1</cp:revision>
  <dcterms:created xsi:type="dcterms:W3CDTF">2026-10-30T06:12:49.383Z</dcterms:created>
  <dcterms:modified xsi:type="dcterms:W3CDTF">2026-10-30T06:12:49.384Z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