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color w:val="2E74B5"/>
          <w:sz w:val="32"/>
        </w:rPr>
        <w:t>COVER LETTER</w:t>
      </w:r>
    </w:p>
    <w:p>
      <w:pPr>
        <w:spacing w:after="280"/>
      </w:pPr>
      <w:r>
        <w:rPr>
          <w:rFonts w:ascii="Calibri" w:hAnsi="Calibri"/>
          <w:b/>
          <w:color w:val="000000"/>
          <w:sz w:val="24"/>
        </w:rPr>
        <w:t>RevTrace: A Transactional Runtime for Feedback-State Integrity in Revision-Generative ASR Serving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3 September 2026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Editor-in-Chief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IEEE Transactions on Computers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0" w:after="160" w:line="264" w:lineRule="auto"/>
      </w:pPr>
      <w:r>
        <w:rPr>
          <w:rFonts w:ascii="Calibri" w:hAnsi="Calibri"/>
          <w:b w:val="0"/>
          <w:color w:val="000000"/>
          <w:sz w:val="22"/>
        </w:rPr>
        <w:t>Dear Editor-in-Chief,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Please consider our manuscript, entitled "RevTrace: A Transactional Runtime for Feedback-State Integrity in Revision-Generative ASR Serving," as a Regular Paper in IEEE Transactions on Computers.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RevTrace is a runtime-systems contribution rather than a new ASR model. It identifies a feedback-state integrity failure caused when batch-dependent accelerator outputs are written into later execution state. To address this failure, the manuscript introduces Dual-Granularity Feedback Transactions (DGFT), a versioned state-write authorization protocol, and implements a parallel proposer-authority runtime. The evaluation covers transaction integrity, throughput, tail latency, energy, semantic quality, and replica scaling across Qwen3-ASR and Whisper on RTX 3090 and V100 GPU platforms.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manuscript makes three principal contributions. First, a causal study shows that a feedback edge can turn a local execution difference into persistent state divergence. Second, certificate, parent-version, frontier, and runtime-configuration binding provide formal accepted-history guarantees. Third, Coarse authority improves matched-workload throughput by 1.39x/1.28x; the complete two-plane system reaches up to 6.88x wall-clock speedup over its per-path all-singleton reference and scales to a balanced eight-V100 configuration.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These contributions directly concern runtime systems, parallel accelerator execution, and the performance and reliability of computer systems. Streaming ASR is the latency-critical, revision-generative implementation and evaluation setting; the paper does not claim a new accelerator architecture, GPU kernel, datacenter-scale deployment, or multi-node system.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work is original, is not under consideration elsewhere, and has been approved by all authors. The authors declare no competing interests.</w:t>
      </w:r>
    </w:p>
    <w:p>
      <w:pPr>
        <w:spacing w:before="0" w:after="160" w:line="264" w:lineRule="auto"/>
      </w:pPr>
      <w:r>
        <w:rPr>
          <w:rFonts w:ascii="Calibri" w:hAnsi="Calibri"/>
          <w:b w:val="0"/>
          <w:color w:val="000000"/>
          <w:sz w:val="22"/>
        </w:rPr>
        <w:t>Sincerely,</w:t>
      </w:r>
    </w:p>
    <w:p>
      <w:pPr>
        <w:spacing w:before="0" w:after="0" w:line="264" w:lineRule="auto"/>
      </w:pPr>
      <w:r>
        <w:rPr>
          <w:rFonts w:ascii="Calibri" w:hAnsi="Calibri"/>
          <w:b/>
          <w:color w:val="000000"/>
          <w:sz w:val="22"/>
        </w:rPr>
        <w:t>Xi Cao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Corresponding author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Beijing University of Chemical Technology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Beijing, China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caoxi@buct.edu.cn</w:t>
      </w:r>
    </w:p>
    <w:sectPr w:rsidR="00FC693F" w:rsidRPr="0006063C" w:rsidSect="00034616">
      <w:pgSz w:w="12240" w:h="15840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RevTrace - IEEE Transactions on Computers</dc:title>
  <dc:subject>Regular Paper submission</dc:subject>
  <dc:creator>Xi Cao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