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 w:val="24"/>
                <w:szCs w:val="24"/>
                <w:lang w:eastAsia="zh-CN"/>
              </w:rPr>
              <w:t>伊斯坦布尔国际</w:t>
            </w:r>
            <w:r>
              <w:rPr>
                <w:rFonts w:hint="eastAsia" w:ascii="宋体" w:hAnsi="宋体" w:cs="宋体"/>
                <w:b/>
                <w:color w:val="000000" w:themeColor="text1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土耳其/伊斯坦布尔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LTFM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土耳其语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土耳其里拉/1:1.17RMB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UTC/GMT+03:00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航班号：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HO1655/6</w:t>
            </w:r>
          </w:p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机型：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  <w:p>
            <w:pPr>
              <w:widowControl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班期：周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1357</w:t>
            </w:r>
          </w:p>
          <w:p>
            <w:pPr>
              <w:widowControl/>
              <w:jc w:val="both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航线：浦东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0830 1510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伊斯坦布尔</w:t>
            </w:r>
            <w:r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 xml:space="preserve"> 1900 1020 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浦东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土耳其航空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IATP可共享B787机轮资源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土耳其航空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IATP可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共享B787机轮资源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土耳其航空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土耳其国家航空，伊斯坦布尔总基地，配备有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B787资源。（目前B787一架，总订购25架）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"mailto:AOGPURCHASING@THY.COM"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AOGPURCHASING@THY.COM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国内直飞伊斯坦布尔航线有</w:t>
            </w:r>
            <w:r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北京（南航A330，每周二、四、六共计3班）；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武汉（南航B787-8机型，每周一、三、五共计3班）；</w:t>
            </w:r>
          </w:p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成都（川航A330机型，每周二、四、六共计3班）；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@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202F60AC"/>
    <w:rsid w:val="20F70559"/>
    <w:rsid w:val="2104506C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F71A6D"/>
    <w:rsid w:val="390C1FDA"/>
    <w:rsid w:val="39391BC2"/>
    <w:rsid w:val="39653C76"/>
    <w:rsid w:val="3A0D748E"/>
    <w:rsid w:val="3A6C7728"/>
    <w:rsid w:val="3B261DC1"/>
    <w:rsid w:val="3B325B39"/>
    <w:rsid w:val="3B3F1068"/>
    <w:rsid w:val="3C825A07"/>
    <w:rsid w:val="3C9C6D44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1B296B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12B74CB"/>
    <w:rsid w:val="71B10356"/>
    <w:rsid w:val="71CE25EB"/>
    <w:rsid w:val="71D24798"/>
    <w:rsid w:val="7200504A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5</TotalTime>
  <ScaleCrop>false</ScaleCrop>
  <LinksUpToDate>false</LinksUpToDate>
  <CharactersWithSpaces>1459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2020-01-02T08:11:04Z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