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docProps/app.xml" ContentType="application/vnd.openxmlformats-officedocument.extended-properties+xml"/>
  <Override PartName="/word/fontTable.xml" ContentType="application/vnd.openxmlformats-officedocument.wordprocessingml.fontTable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0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1" Type="http://schemas.openxmlformats.org/package/2006/relationships/metadata/core-properties" Target="docProps/core.xml" /></Relationships>
</file>

<file path=word/document.xml><?xml version="1.0" encoding="utf-8"?>
<w:document xmlns:pic="http://schemas.openxmlformats.org/drawingml/2006/picture" xmlns:wp="http://schemas.openxmlformats.org/drawingml/2006/wordprocessingDrawing" xmlns:a="http://schemas.openxmlformats.org/drawingml/2006/main" xmlns:w="http://schemas.openxmlformats.org/wordprocessingml/2006/main" xmlns:r="http://schemas.openxmlformats.org/officeDocument/2006/relationships">
  <w:body>
    <w:p>
      <w:pPr>
        <w:pStyle w:val="rdbvau"/>
        <w:numPr/>
        <w:jc w:val="left"/>
        <w:rPr/>
      </w:pPr>
      <w:r>
        <w:rPr>
          <w:rFonts w:hint="eastAsia"/>
        </w:rPr>
        <w:t>米兰</w:t>
      </w:r>
      <w:r>
        <w:rPr>
          <w:rFonts w:hint="eastAsia"/>
        </w:rPr>
        <w:t>自有</w:t>
      </w:r>
      <w:r>
        <w:rPr>
          <w:rFonts w:hint="eastAsia"/>
        </w:rPr>
        <w:t>备件</w:t>
      </w:r>
      <w:r>
        <w:rPr>
          <w:rFonts w:hint="eastAsia"/>
        </w:rPr>
        <w:t>取件</w:t>
      </w:r>
      <w:r>
        <w:rPr>
          <w:rFonts w:hint="eastAsia"/>
        </w:rPr>
        <w:t>经验</w:t>
      </w:r>
    </w:p>
    <w:p>
      <w:pPr>
        <w:pStyle w:val="ablt93"/>
        <w:numPr/>
        <w:pBdr/>
        <w:ind w:left="0"/>
        <w:rPr>
          <w:rFonts w:hint="eastAsia"/>
        </w:rPr>
      </w:pPr>
      <w:r>
        <w:rPr>
          <w:rFonts w:hint="eastAsia"/>
        </w:rPr>
        <w:t>（</w:t>
      </w:r>
      <w:r>
        <w:rPr>
          <w:rFonts w:hint="eastAsia"/>
        </w:rPr>
        <w:t>1</w:t>
      </w:r>
      <w:r>
        <w:rPr>
          <w:rFonts w:hint="eastAsia"/>
        </w:rPr>
        <w:t>）</w:t>
      </w:r>
      <w:r>
        <w:rPr>
          <w:rFonts w:hint="eastAsia"/>
        </w:rPr>
        <w:t>米兰（MXP）机场3号门，距离</w:t>
      </w:r>
      <w:r>
        <w:rPr>
          <w:rFonts w:hint="eastAsia"/>
        </w:rPr>
        <w:t>Nayak</w:t>
      </w:r>
      <w:r>
        <w:rPr>
          <w:rFonts w:hint="eastAsia"/>
        </w:rPr>
        <w:t>米兰</w:t>
      </w:r>
      <w:r>
        <w:rPr>
          <w:rFonts w:hint="eastAsia"/>
        </w:rPr>
        <w:t>库房走路2分钟，可以考虑后续让物流直接去3号门外取航材，需要邮件抄送Valter介入协调</w:t>
      </w:r>
      <w:r>
        <w:rPr>
          <w:rFonts w:hint="eastAsia"/>
        </w:rPr>
        <w:t>Nayak</w:t>
      </w:r>
      <w:r>
        <w:rPr>
          <w:rFonts w:hint="eastAsia"/>
        </w:rPr>
        <w:t>米兰</w:t>
      </w:r>
      <w:r>
        <w:rPr>
          <w:rFonts w:hint="eastAsia"/>
        </w:rPr>
        <w:t>库房人员配合（经过2026年</w:t>
      </w:r>
      <w:r>
        <w:rPr>
          <w:rFonts w:hint="eastAsia"/>
        </w:rPr>
        <w:t>3月1日赫尔辛基AOG的保障经验，此操作存在可行性，当天由</w:t>
      </w:r>
      <w:r>
        <w:rPr>
          <w:rFonts w:hint="eastAsia"/>
        </w:rPr>
        <w:t>Nayak</w:t>
      </w:r>
      <w:r>
        <w:rPr>
          <w:rFonts w:hint="eastAsia"/>
        </w:rPr>
        <w:t>米兰</w:t>
      </w:r>
      <w:r>
        <w:rPr>
          <w:rFonts w:hint="eastAsia"/>
        </w:rPr>
        <w:t>库房人员直接开车将航材送来航站楼与曾德威交接）；从3号门去航站楼车程5-10分钟，但注意3号门在周末不对车辆开放，仅有人和航材可以通过，周末车辆需要从4号门进出，距离3号门开车2分钟</w:t>
      </w:r>
    </w:p>
    <w:p>
      <w:pPr>
        <w:numPr/>
        <w:pBdr/>
        <w:snapToGrid/>
        <w:spacing w:line="240"/>
        <w:ind/>
        <w:rPr>
          <w:rFonts w:hint="eastAsia"/>
          <w:i w:val="false"/>
          <w:strike w:val="false"/>
          <w:spacing w:val="0"/>
          <w:u w:val="none"/>
        </w:rPr>
      </w:pPr>
      <w:r>
        <w:rPr>
          <w:rFonts w:hint="eastAsia"/>
          <w:i w:val="false"/>
          <w:strike w:val="false"/>
          <w:spacing w:val="0"/>
          <w:u w:val="none"/>
        </w:rPr>
        <w:t>3号门地图上无法选中，可搜索距离3号门最近的公交站：</w:t>
      </w:r>
    </w:p>
    <w:p>
      <w:pPr>
        <w:numPr/>
        <w:snapToGrid/>
        <w:spacing w:line="240"/>
        <w:ind/>
        <w:rPr>
          <w:b/>
        </w:rPr>
      </w:pPr>
      <w:r>
        <w:rPr>
          <w:b/>
          <w:i w:val="false"/>
          <w:strike w:val="false"/>
          <w:spacing w:val="0"/>
          <w:u w:val="none"/>
        </w:rPr>
        <w:t>Via Natale Palli 11</w:t>
      </w:r>
    </w:p>
    <w:p>
      <w:pPr>
        <w:numPr/>
        <w:snapToGrid/>
        <w:spacing w:line="240"/>
        <w:ind/>
        <w:rPr>
          <w:b/>
        </w:rPr>
      </w:pPr>
      <w:r>
        <w:rPr>
          <w:b/>
          <w:i w:val="false"/>
          <w:strike w:val="false"/>
          <w:spacing w:val="0"/>
          <w:u w:val="none"/>
        </w:rPr>
        <w:t>21019 Case Nuove VA</w:t>
      </w:r>
    </w:p>
    <w:p>
      <w:pPr>
        <w:pStyle w:val="ablt93"/>
        <w:numPr/>
        <w:pBdr/>
        <w:ind w:left="0"/>
        <w:rPr>
          <w:b/>
          <w:i w:val="false"/>
          <w:strike w:val="false"/>
          <w:spacing w:val="0"/>
          <w:u w:val="none"/>
        </w:rPr>
      </w:pPr>
      <w:r>
        <w:rPr>
          <w:b/>
          <w:i w:val="false"/>
          <w:strike w:val="false"/>
          <w:spacing w:val="0"/>
          <w:u w:val="none"/>
        </w:rPr>
        <w:t>Italy</w:t>
      </w:r>
    </w:p>
    <w:p>
      <w:pPr>
        <w:pStyle w:val="ablt93"/>
        <w:numPr/>
        <w:pBdr/>
        <w:ind w:left="0"/>
        <w:rPr>
          <w:rFonts w:hint="eastAsia"/>
          <w:b/>
        </w:rPr>
      </w:pPr>
    </w:p>
    <w:p>
      <w:pPr>
        <w:pStyle w:val="ablt93"/>
        <w:numPr/>
        <w:pBdr/>
        <w:ind w:left="0"/>
        <w:rPr>
          <w:rFonts w:hint="eastAsia"/>
          <w:b/>
        </w:rPr>
      </w:pPr>
      <w:r>
        <w:rPr/>
        <w:drawing>
          <wp:inline distT="0" distB="0" distL="0" distR="0">
            <wp:extent cx="5760085" cy="3240048"/>
            <wp:effectExtent l="0" t="0" r="0" b="0"/>
            <wp:docPr id="2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3" name="picture" descr="descript"/>
                    <pic:cNvPicPr/>
                  </pic:nvPicPr>
                  <pic:blipFill rotWithShape="true">
                    <a:blip r:embed="rId3">
                      <a:extLst/>
                    </a:blip>
                    <a:srcRect/>
                    <a:stretch/>
                  </pic:blipFill>
                  <pic:spPr>
                    <a:xfrm>
                      <a:off x="0" y="0"/>
                      <a:ext cx="5760085" cy="3240048"/>
                    </a:xfrm>
                    <a:prstGeom prst="rect">
                      <a:avLst/>
                    </a:prstGeom>
                    <a:ln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ablt93"/>
        <w:pBdr/>
        <w:ind/>
        <w:rPr/>
      </w:pPr>
      <w:r>
        <w:rPr/>
        <w:drawing>
          <wp:inline distT="0" distB="0" distL="0" distR="0">
            <wp:extent cx="4042022" cy="8787879"/>
            <wp:effectExtent l="0" t="0" r="0" b="0"/>
            <wp:docPr id="5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6" name="picture" descr="descript"/>
                    <pic:cNvPicPr/>
                  </pic:nvPicPr>
                  <pic:blipFill rotWithShape="true">
                    <a:blip r:embed="rId4">
                      <a:extLst/>
                    </a:blip>
                    <a:srcRect/>
                    <a:stretch/>
                  </pic:blipFill>
                  <pic:spPr>
                    <a:xfrm flipH="false" flipV="false">
                      <a:off x="0" y="0"/>
                      <a:ext cx="4042022" cy="8787879"/>
                    </a:xfrm>
                    <a:prstGeom prst="rect">
                      <a:avLst/>
                    </a:prstGeom>
                    <a:ln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ablt93"/>
        <w:pBdr/>
        <w:ind/>
        <w:rPr/>
      </w:pPr>
      <w:r>
        <w:rPr/>
        <w:drawing>
          <wp:inline distT="0" distB="0" distL="0" distR="0">
            <wp:extent cx="4047667" cy="8800152"/>
            <wp:effectExtent l="0" t="0" r="0" b="0"/>
            <wp:docPr id="8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9" name="picture" descr="descript"/>
                    <pic:cNvPicPr/>
                  </pic:nvPicPr>
                  <pic:blipFill rotWithShape="true">
                    <a:blip r:embed="rId5">
                      <a:extLst/>
                    </a:blip>
                    <a:srcRect/>
                    <a:stretch/>
                  </pic:blipFill>
                  <pic:spPr>
                    <a:xfrm flipH="false" flipV="false">
                      <a:off x="0" y="0"/>
                      <a:ext cx="4047667" cy="8800152"/>
                    </a:xfrm>
                    <a:prstGeom prst="rect">
                      <a:avLst/>
                    </a:prstGeom>
                    <a:ln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ablt93"/>
        <w:pBdr/>
        <w:ind/>
        <w:rPr/>
      </w:pPr>
    </w:p>
    <w:p>
      <w:pPr>
        <w:pStyle w:val="ablt93"/>
        <w:numPr/>
        <w:pBdr/>
        <w:ind w:left="0"/>
        <w:rPr>
          <w:rFonts w:hint="eastAsia"/>
        </w:rPr>
      </w:pPr>
      <w:r>
        <w:rPr>
          <w:rFonts w:hint="eastAsia"/>
        </w:rPr>
        <w:t>（</w:t>
      </w:r>
      <w:r>
        <w:rPr>
          <w:rFonts w:hint="eastAsia"/>
        </w:rPr>
        <w:t>2</w:t>
      </w:r>
      <w:r>
        <w:rPr>
          <w:rFonts w:hint="eastAsia"/>
        </w:rPr>
        <w:t>）</w:t>
      </w:r>
      <w:r>
        <w:rPr>
          <w:rFonts w:hint="eastAsia"/>
        </w:rPr>
        <w:t>N</w:t>
      </w:r>
      <w:r>
        <w:rPr>
          <w:rFonts w:hint="eastAsia"/>
        </w:rPr>
        <w:t>ayak</w:t>
      </w:r>
      <w:r>
        <w:rPr>
          <w:rFonts w:hint="eastAsia"/>
        </w:rPr>
        <w:t>在米兰当地的协议运输代理为GB Malpensa（简称GBM），每天有固定车辆往返其外场库房与</w:t>
      </w:r>
      <w:r>
        <w:rPr>
          <w:rFonts w:hint="eastAsia"/>
        </w:rPr>
        <w:t>Nayak</w:t>
      </w:r>
      <w:r>
        <w:rPr>
          <w:rFonts w:hint="eastAsia"/>
        </w:rPr>
        <w:t>的内场库房，GBM外场库房距离机场车程约20分钟，根据</w:t>
      </w:r>
      <w:r>
        <w:rPr>
          <w:rFonts w:hint="eastAsia"/>
        </w:rPr>
        <w:t>Nayak</w:t>
      </w:r>
      <w:r>
        <w:rPr>
          <w:rFonts w:hint="eastAsia"/>
        </w:rPr>
        <w:t>米兰</w:t>
      </w:r>
      <w:r>
        <w:rPr>
          <w:rFonts w:hint="eastAsia"/>
        </w:rPr>
        <w:t>库房</w:t>
      </w:r>
      <w:r>
        <w:rPr>
          <w:rFonts w:hint="eastAsia"/>
        </w:rPr>
        <w:t>反馈他们没有带航材进入米兰（MXP）的权限，必须通过GBM（有权限），但实际AOG场景，绝大多数</w:t>
      </w:r>
      <w:r>
        <w:rPr>
          <w:rFonts w:hint="eastAsia"/>
        </w:rPr>
        <w:t>航材通过手提货送达航站楼，如果再送去GBM外场库房，那预估至少额外花费1.5小时（机场往返GBM库房，以及GBM完成入库检验手续）才能将航材送达内场（开口问题10：确认米兰航材进场方式：1）协调</w:t>
      </w:r>
      <w:r>
        <w:rPr>
          <w:rFonts w:hint="eastAsia"/>
        </w:rPr>
        <w:t>Nayak</w:t>
      </w:r>
      <w:r>
        <w:rPr>
          <w:rFonts w:hint="eastAsia"/>
        </w:rPr>
        <w:t>米兰</w:t>
      </w:r>
      <w:r>
        <w:rPr>
          <w:rFonts w:hint="eastAsia"/>
        </w:rPr>
        <w:t>库房</w:t>
      </w:r>
      <w:r>
        <w:rPr>
          <w:rFonts w:hint="eastAsia"/>
        </w:rPr>
        <w:t>让GBM与OBC送货人在航站楼直接交接并送往内场；2）协调AP找Skystar与OBC送货人在航班楼交接并送往内场；3）确认Logaero米兰进场能力后，与OBC送货人在航班楼交接并送往内场）</w:t>
      </w:r>
    </w:p>
    <w:p>
      <w:pPr>
        <w:pStyle w:val="ablt93"/>
        <w:rPr/>
      </w:pPr>
    </w:p>
    <w:sectPr>
      <w:pgSz w:w="11905" w:h="16838"/>
      <w:pgMar w:top="1361" w:right="1417" w:bottom="1361" w:left="1417"/>
    </w:sectPr>
  </w:body>
</w:document>
</file>

<file path=word/fontTable.xml><?xml version="1.0" encoding="utf-8"?>
<w:fonts xmlns:w="http://schemas.openxmlformats.org/wordprocessingml/2006/main"/>
</file>

<file path=word/settings.xml><?xml version="1.0" encoding="utf-8"?>
<w:settings xmlns:w14="http://schemas.microsoft.com/office/word/2010/wordml" xmlns:w15="http://schemas.microsoft.com/office/word/2012/wordml" xmlns:w="http://schemas.openxmlformats.org/wordprocessingml/2006/main" xmlns:m="http://schemas.openxmlformats.org/officeDocument/2006/math" xmlns:mc="http://schemas.openxmlformats.org/markup-compatibility/2006" mc:Ignorable="w14 w15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doNotLeaveBackslashAlone/>
    <w:ulTrailSpace/>
    <w:doNotExpandShiftReturn/>
    <w:adjustLineHeightInTable/>
    <w:useFELayout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  <w:compatSetting w:name="overrideTableStyleFontSizeAndJustification" w:uri="http://schemas.microsoft.com/office/word" w:val="1"/>
    <w:compatSetting w:name="compatibilityMode" w:uri="http://schemas.microsoft.com/office/word" w:val="15"/>
    <w:compatSetting w:name="enableOpenTypeFeatures" w:uri="http://schemas.microsoft.com/office/word" w:val="1"/>
  </w:compat>
  <w:rsids>
    <w:rsidRoot w:val="00E023A0"/>
    <w:rsid w:val="00680AC3"/>
    <w:rsid w:val="007452DF"/>
    <w:rsid w:val="00E023A0"/>
  </w:rsids>
  <m:mathPr>
    <m:mathFont m:val="Cambria Math"/>
    <m:brkBin m:val="before"/>
    <m:brkBinSub m:val="--"/>
    <m:smallFrac m:val="false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4CB54FC"/>
  <w15:chartTrackingRefBased/>
  <w15:docId w15:val="{0549D595-5F3E-9A49-832F-E7DF37783478}"/>
</w:settings>
</file>

<file path=word/styles.xml><?xml version="1.0" encoding="utf-8"?>
<w:styles xmlns:w="http://schemas.openxmlformats.org/wordprocessingml/2006/main">
  <w:docDefaults>
    <w:rPrDefault>
      <w:rPr>
        <w:rFonts w:ascii="minorHAnsi" w:hAnsi="minorHAnsi" w:eastAsia="minorEastAsia" w:cstheme="minorBidi"/>
        <w:color w:val="333333"/>
        <w:kern w:val="2"/>
        <w:sz w:val="22"/>
        <w:szCs w:val="22"/>
      </w:rPr>
    </w:rPrDefault>
    <w:pPrDefault>
      <w:pPr>
        <w:snapToGrid w:val="false"/>
        <w:spacing w:before="60" w:after="60" w:line="312" w:lineRule="auto"/>
      </w:pPr>
    </w:pPrDefault>
  </w:docDefaults>
  <w:style w:type="paragraph" w:styleId="ablt93" w:default="true">
    <w:name w:val="Normal"/>
    <w:pPr>
      <w:widowControl w:val="false"/>
      <w:jc w:val="left"/>
    </w:pPr>
  </w:style>
  <w:style w:type="paragraph" w:styleId="rdbvau">
    <w:name w:val="Title"/>
    <w:basedOn w:val="ablt93"/>
    <w:next w:val="ablt93"/>
    <w:uiPriority w:val="9"/>
    <w:qFormat/>
    <w:pPr>
      <w:keepNext/>
      <w:keepLines/>
      <w:spacing w:before="0" w:after="0" w:line="408" w:lineRule="auto"/>
      <w:jc w:val="center"/>
      <w:outlineLvl w:val="0"/>
    </w:pPr>
    <w:rPr>
      <w:b/>
      <w:bCs/>
      <w:color w:val="1A1A1A"/>
      <w:sz w:val="48"/>
      <w:szCs w:val="48"/>
    </w:rPr>
  </w:style>
</w:styles>
</file>

<file path=word/_rels/document.xml.rels><?xml version="1.0" encoding="UTF-8" standalone="yes"?><Relationships xmlns="http://schemas.openxmlformats.org/package/2006/relationships"><Relationship Id="rId5" Type="http://schemas.openxmlformats.org/officeDocument/2006/relationships/image" Target="media/image3.png" /><Relationship Id="rId4" Type="http://schemas.openxmlformats.org/officeDocument/2006/relationships/image" Target="media/image2.png" /><Relationship Id="rId3" Type="http://schemas.openxmlformats.org/officeDocument/2006/relationships/image" Target="media/image1.jpg" /><Relationship Id="rId2" Type="http://schemas.openxmlformats.org/officeDocument/2006/relationships/fontTable" Target="fontTable.xml" /><Relationship Id="rId0" Type="http://schemas.openxmlformats.org/officeDocument/2006/relationships/styles" Target="styles.xml" /><Relationship Id="rId1" Type="http://schemas.openxmlformats.org/officeDocument/2006/relationships/settings" Target="settings.xml" /></Relationships>
</file>

<file path=docProps/app.xml><?xml version="1.0" encoding="utf-8"?>
<Properties xmlns:vt="http://schemas.openxmlformats.org/officeDocument/2006/docPropsVTypes" xmlns="http://schemas.openxmlformats.org/officeDocument/2006/extended-properties">
  <Application>Tencent office</Application>
</Properties>
</file>

<file path=docProps/core.xml><?xml version="1.0" encoding="utf-8"?>
<cp:coreProperties xmlns:xsi="http://www.w3.org/2001/XMLSchema-instance" xmlns:dcmitype="http://purl.org/dc/dcmitype/" xmlns:dcterms="http://purl.org/dc/terms/" xmlns:cp="http://schemas.openxmlformats.org/package/2006/metadata/core-properties" xmlns:dc="http://purl.org/dc/elements/1.1/">
  <dcterms:created xsi:type="dcterms:W3CDTF">2026-04-22T10:39:46Z</dcterms:created>
  <dcterms:modified xsi:type="dcterms:W3CDTF">2026-04-22T10:39:46Z</dcterms:modified>
</cp:coreProperties>
</file>