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>
  <w:body>
    <w:p>
      <w:pPr>
        <w:pStyle w:val="rdbvau"/>
        <w:rPr/>
      </w:pPr>
      <w:r>
        <w:rPr/>
        <w:t>西安兰州郑州铁路运输方案</w:t>
      </w:r>
    </w:p>
    <w:p>
      <w:pPr>
        <w:pStyle w:val="42o17b"/>
        <w:numPr>
          <w:ilvl w:val="0"/>
          <w:numId w:val="1"/>
        </w:numPr>
        <w:rPr/>
      </w:pPr>
      <w:r>
        <w:rPr/>
        <w:t>可使用高铁管家，按图示位置可按到达站时间从早到晚排序</w:t>
      </w:r>
    </w:p>
    <w:p>
      <w:pPr>
        <w:pStyle w:val="ablt93"/>
        <w:rPr/>
      </w:pPr>
      <w:r>
        <w:rPr/>
        <w:drawing>
          <wp:inline distT="0" distB="0" distL="0" distR="0">
            <wp:extent cx="4010025" cy="7467600"/>
            <wp:effectExtent l="0" t="0" r="0" b="0"/>
            <wp:docPr id="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" name="picture" descr="descript"/>
                    <pic:cNvPicPr/>
                  </pic:nvPicPr>
                  <pic:blipFill rotWithShape="true">
                    <a:blip r:embed="rId4"/>
                    <a:stretch/>
                  </pic:blipFill>
                  <pic:spPr>
                    <a:xfrm>
                      <a:off x="0" y="0"/>
                      <a:ext cx="4010025" cy="746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2o17b"/>
        <w:numPr/>
        <w:ind/>
        <w:rPr/>
      </w:pPr>
      <w:r>
        <w:rPr/>
        <w:t>2</w:t>
      </w:r>
      <w:r>
        <w:rPr>
          <w:rFonts w:hint="eastAsia"/>
        </w:rPr>
        <w:t>.</w:t>
      </w:r>
      <w:r>
        <w:rPr>
          <w:rFonts w:hint="eastAsia"/>
        </w:rPr>
        <w:t>机场-高铁站时间</w:t>
      </w:r>
    </w:p>
    <w:p>
      <w:pPr>
        <w:pStyle w:val="ablt93"/>
        <w:numPr>
          <w:ilvl w:val="0"/>
          <w:numId w:val="2"/>
        </w:numPr>
        <w:pBdr/>
        <w:ind/>
        <w:rPr>
          <w:b/>
        </w:rPr>
      </w:pPr>
      <w:r>
        <w:rPr>
          <w:b/>
        </w:rPr>
        <w:t>兰州</w:t>
      </w:r>
    </w:p>
    <w:p>
      <w:pPr>
        <w:pStyle w:val="ablt93"/>
        <w:pBdr/>
        <w:ind w:left="336"/>
        <w:rPr/>
      </w:pPr>
    </w:p>
    <w:tbl>
      <w:tblPr>
        <w:tblStyle w:val="pmq6rr"/>
        <w:tblLayout w:type="fixed"/>
      </w:tblPr>
      <w:tblGrid>
        <w:gridCol w:w="1848"/>
        <w:gridCol w:w="2350"/>
        <w:gridCol w:w="2192"/>
        <w:gridCol w:w="2757"/>
      </w:tblGrid>
      <w:tr>
        <w:trPr>
          <w:trHeight w:val="642" w:hRule="atLeast"/>
        </w:trPr>
        <w:tc>
          <w:tcPr>
            <w:tcW w:w="184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jc w:val="center"/>
              <w:rPr/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机场</w:t>
            </w:r>
          </w:p>
        </w:tc>
        <w:tc>
          <w:tcPr>
            <w:tcW w:w="23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jc w:val="center"/>
              <w:rPr/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路程时间</w:t>
            </w:r>
          </w:p>
        </w:tc>
        <w:tc>
          <w:tcPr>
            <w:tcW w:w="219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jc w:val="center"/>
              <w:rPr/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运输方式</w:t>
            </w:r>
          </w:p>
        </w:tc>
        <w:tc>
          <w:tcPr>
            <w:tcW w:w="27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jc w:val="center"/>
              <w:rPr/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高铁站</w:t>
            </w:r>
          </w:p>
        </w:tc>
      </w:tr>
      <w:tr>
        <w:trPr>
          <w:trHeight w:val="460" w:hRule="atLeast"/>
        </w:trPr>
        <w:tc>
          <w:tcPr>
            <w:tcW w:w="1848" w:type="dxa"/>
            <w:vMerge w:val="restart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兰州机场</w:t>
            </w:r>
          </w:p>
        </w:tc>
        <w:tc>
          <w:tcPr>
            <w:tcW w:w="2350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jc w:val="center"/>
              <w:rPr/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15分钟</w:t>
            </w:r>
          </w:p>
        </w:tc>
        <w:tc>
          <w:tcPr>
            <w:tcW w:w="2192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jc w:val="center"/>
              <w:rPr/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专车</w:t>
            </w:r>
          </w:p>
        </w:tc>
        <w:tc>
          <w:tcPr>
            <w:tcW w:w="2757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jc w:val="center"/>
              <w:rPr/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中川机场站</w:t>
            </w:r>
          </w:p>
        </w:tc>
      </w:tr>
      <w:tr>
        <w:trPr>
          <w:trHeight w:val="448" w:hRule="atLeast"/>
        </w:trPr>
        <w:tc>
          <w:tcPr>
            <w:tcW w:w="1848" w:type="dxa"/>
            <w:vMerge w:val="continue"/>
            <w:tcBorders>
              <w:top w:val="single" w:color="CBCDD1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line="240"/>
              <w:ind/>
              <w:rPr/>
            </w:pPr>
          </w:p>
        </w:tc>
        <w:tc>
          <w:tcPr>
            <w:tcW w:w="2350" w:type="dxa"/>
            <w:tcBorders>
              <w:top w:val="single" w:color="CBCDD1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jc w:val="center"/>
              <w:rPr/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20分钟</w:t>
            </w:r>
          </w:p>
        </w:tc>
        <w:tc>
          <w:tcPr>
            <w:tcW w:w="2192" w:type="dxa"/>
            <w:tcBorders>
              <w:top w:val="single" w:color="CBCDD1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jc w:val="center"/>
              <w:rPr/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专车</w:t>
            </w:r>
          </w:p>
        </w:tc>
        <w:tc>
          <w:tcPr>
            <w:tcW w:w="2757" w:type="dxa"/>
            <w:tcBorders>
              <w:top w:val="single" w:color="CBCDD1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jc w:val="center"/>
              <w:rPr/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兰州新区</w:t>
            </w:r>
          </w:p>
        </w:tc>
      </w:tr>
      <w:tr>
        <w:trPr>
          <w:trHeight w:val="445" w:hRule="atLeast"/>
        </w:trPr>
        <w:tc>
          <w:tcPr>
            <w:tcW w:w="1848" w:type="dxa"/>
            <w:vMerge w:val="continue"/>
            <w:tcBorders>
              <w:top w:val="single" w:color="CBCDD1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line="240"/>
              <w:ind/>
              <w:rPr/>
            </w:pPr>
          </w:p>
        </w:tc>
        <w:tc>
          <w:tcPr>
            <w:tcW w:w="2350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jc w:val="center"/>
              <w:rPr/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30分钟</w:t>
            </w:r>
          </w:p>
        </w:tc>
        <w:tc>
          <w:tcPr>
            <w:tcW w:w="2192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jc w:val="center"/>
              <w:rPr/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专车</w:t>
            </w:r>
          </w:p>
        </w:tc>
        <w:tc>
          <w:tcPr>
            <w:tcW w:w="2757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jc w:val="center"/>
              <w:rPr/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秦王川</w:t>
            </w:r>
          </w:p>
        </w:tc>
      </w:tr>
      <w:tr>
        <w:trPr>
          <w:trHeight w:val="445" w:hRule="atLeast"/>
        </w:trPr>
        <w:tc>
          <w:tcPr>
            <w:tcW w:w="1848" w:type="dxa"/>
            <w:vMerge w:val="continue"/>
            <w:tcBorders>
              <w:top w:val="single" w:color="CBCDD1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line="240"/>
              <w:ind/>
              <w:rPr/>
            </w:pPr>
          </w:p>
        </w:tc>
        <w:tc>
          <w:tcPr>
            <w:tcW w:w="2350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jc w:val="center"/>
              <w:rPr/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75分钟</w:t>
            </w:r>
          </w:p>
        </w:tc>
        <w:tc>
          <w:tcPr>
            <w:tcW w:w="2192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jc w:val="center"/>
              <w:rPr/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专车</w:t>
            </w:r>
          </w:p>
        </w:tc>
        <w:tc>
          <w:tcPr>
            <w:tcW w:w="2757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jc w:val="center"/>
              <w:rPr/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永登北</w:t>
            </w:r>
          </w:p>
        </w:tc>
      </w:tr>
      <w:tr>
        <w:trPr>
          <w:trHeight w:val="445" w:hRule="atLeast"/>
        </w:trPr>
        <w:tc>
          <w:tcPr>
            <w:tcW w:w="1848" w:type="dxa"/>
            <w:vMerge w:val="continue"/>
            <w:tcBorders>
              <w:top w:val="single" w:color="CBCDD1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line="240"/>
              <w:ind/>
              <w:rPr/>
            </w:pPr>
          </w:p>
        </w:tc>
        <w:tc>
          <w:tcPr>
            <w:tcW w:w="2350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jc w:val="center"/>
              <w:rPr/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75分钟</w:t>
            </w:r>
          </w:p>
        </w:tc>
        <w:tc>
          <w:tcPr>
            <w:tcW w:w="2192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jc w:val="center"/>
              <w:rPr/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专车</w:t>
            </w:r>
          </w:p>
        </w:tc>
        <w:tc>
          <w:tcPr>
            <w:tcW w:w="2757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jc w:val="center"/>
              <w:rPr/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兰州西</w:t>
            </w:r>
          </w:p>
        </w:tc>
      </w:tr>
      <w:tr>
        <w:trPr>
          <w:trHeight w:val="445" w:hRule="atLeast"/>
        </w:trPr>
        <w:tc>
          <w:tcPr>
            <w:tcW w:w="1848" w:type="dxa"/>
            <w:vMerge w:val="continue"/>
            <w:tcBorders>
              <w:top w:val="single" w:color="CBCDD1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line="240"/>
              <w:ind/>
              <w:rPr/>
            </w:pPr>
          </w:p>
        </w:tc>
        <w:tc>
          <w:tcPr>
            <w:tcW w:w="2350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jc w:val="center"/>
              <w:rPr/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75分钟</w:t>
            </w:r>
          </w:p>
        </w:tc>
        <w:tc>
          <w:tcPr>
            <w:tcW w:w="2192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jc w:val="center"/>
              <w:rPr/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专车</w:t>
            </w:r>
          </w:p>
        </w:tc>
        <w:tc>
          <w:tcPr>
            <w:tcW w:w="2757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jc w:val="center"/>
              <w:rPr/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兰州</w:t>
            </w:r>
          </w:p>
        </w:tc>
      </w:tr>
    </w:tbl>
    <w:p>
      <w:pPr>
        <w:pStyle w:val="ablt93"/>
        <w:pBdr/>
        <w:ind w:left="0"/>
        <w:rPr>
          <w:b/>
        </w:rPr>
      </w:pPr>
    </w:p>
    <w:p>
      <w:pPr>
        <w:pStyle w:val="ablt93"/>
        <w:numPr>
          <w:ilvl w:val="0"/>
          <w:numId w:val="2"/>
        </w:numPr>
        <w:pBdr>
          <w:bottom/>
        </w:pBdr>
        <w:ind/>
        <w:rPr>
          <w:b/>
        </w:rPr>
      </w:pPr>
      <w:r>
        <w:rPr>
          <w:rFonts w:hint="eastAsia"/>
          <w:b/>
        </w:rPr>
        <w:t>西安</w:t>
      </w:r>
    </w:p>
    <w:tbl>
      <w:tblPr>
        <w:tblStyle w:val="pmq6rr"/>
        <w:tblLayout w:type="fixed"/>
      </w:tblPr>
      <w:tblGrid>
        <w:gridCol w:w="2087"/>
        <w:gridCol w:w="2419"/>
        <w:gridCol w:w="2386"/>
        <w:gridCol w:w="2220"/>
      </w:tblGrid>
      <w:tr>
        <w:trPr>
          <w:trHeight w:val="514" w:hRule="atLeast"/>
        </w:trPr>
        <w:tc>
          <w:tcPr>
            <w:tcW w:w="208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jc w:val="center"/>
              <w:rPr/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机场</w:t>
            </w:r>
          </w:p>
        </w:tc>
        <w:tc>
          <w:tcPr>
            <w:tcW w:w="241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jc w:val="center"/>
              <w:rPr/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路程时间</w:t>
            </w:r>
          </w:p>
        </w:tc>
        <w:tc>
          <w:tcPr>
            <w:tcW w:w="238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jc w:val="center"/>
              <w:rPr/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运输方式</w:t>
            </w:r>
          </w:p>
        </w:tc>
        <w:tc>
          <w:tcPr>
            <w:tcW w:w="22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jc w:val="center"/>
              <w:rPr/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高铁站</w:t>
            </w:r>
          </w:p>
        </w:tc>
      </w:tr>
      <w:tr>
        <w:trPr>
          <w:trHeight w:val="604" w:hRule="atLeast"/>
        </w:trPr>
        <w:tc>
          <w:tcPr>
            <w:tcW w:w="2087" w:type="dxa"/>
            <w:vMerge w:val="restart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jc w:val="center"/>
              <w:rPr/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西安咸阳机场</w:t>
            </w:r>
          </w:p>
        </w:tc>
        <w:tc>
          <w:tcPr>
            <w:tcW w:w="2419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jc w:val="center"/>
              <w:rPr/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30分钟</w:t>
            </w:r>
          </w:p>
        </w:tc>
        <w:tc>
          <w:tcPr>
            <w:tcW w:w="2386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jc w:val="center"/>
              <w:rPr/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专车</w:t>
            </w:r>
          </w:p>
        </w:tc>
        <w:tc>
          <w:tcPr>
            <w:tcW w:w="2220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jc w:val="center"/>
              <w:rPr/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西安北</w:t>
            </w:r>
          </w:p>
        </w:tc>
      </w:tr>
      <w:tr>
        <w:trPr>
          <w:trHeight w:val="650" w:hRule="atLeast"/>
        </w:trPr>
        <w:tc>
          <w:tcPr>
            <w:tcW w:w="2087" w:type="dxa"/>
            <w:vMerge w:val="continue"/>
            <w:tcBorders>
              <w:top w:val="single" w:color="CBCDD1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line="240"/>
              <w:ind/>
              <w:rPr/>
            </w:pPr>
          </w:p>
        </w:tc>
        <w:tc>
          <w:tcPr>
            <w:tcW w:w="2419" w:type="dxa"/>
            <w:tcBorders>
              <w:top w:val="single" w:color="CBCDD1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jc w:val="center"/>
              <w:rPr/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45分钟</w:t>
            </w:r>
          </w:p>
        </w:tc>
        <w:tc>
          <w:tcPr>
            <w:tcW w:w="2386" w:type="dxa"/>
            <w:tcBorders>
              <w:top w:val="single" w:color="CBCDD1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jc w:val="center"/>
              <w:rPr/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专车</w:t>
            </w:r>
          </w:p>
        </w:tc>
        <w:tc>
          <w:tcPr>
            <w:tcW w:w="2220" w:type="dxa"/>
            <w:tcBorders>
              <w:top w:val="single" w:color="CBCDD1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jc w:val="center"/>
              <w:rPr/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西安</w:t>
            </w:r>
          </w:p>
        </w:tc>
      </w:tr>
      <w:tr>
        <w:trPr>
          <w:trHeight w:val="633" w:hRule="atLeast"/>
        </w:trPr>
        <w:tc>
          <w:tcPr>
            <w:tcW w:w="2087" w:type="dxa"/>
            <w:vMerge w:val="continue"/>
            <w:tcBorders>
              <w:top w:val="single" w:color="CBCDD1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line="240"/>
              <w:ind/>
              <w:rPr/>
            </w:pPr>
          </w:p>
        </w:tc>
        <w:tc>
          <w:tcPr>
            <w:tcW w:w="2419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jc w:val="center"/>
              <w:rPr/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60分钟</w:t>
            </w:r>
          </w:p>
        </w:tc>
        <w:tc>
          <w:tcPr>
            <w:tcW w:w="2386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jc w:val="center"/>
              <w:rPr/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专车</w:t>
            </w:r>
          </w:p>
        </w:tc>
        <w:tc>
          <w:tcPr>
            <w:tcW w:w="2220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jc w:val="center"/>
              <w:rPr/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临潼</w:t>
            </w:r>
          </w:p>
        </w:tc>
      </w:tr>
      <w:tr>
        <w:trPr>
          <w:trHeight w:val="561" w:hRule="atLeast"/>
        </w:trPr>
        <w:tc>
          <w:tcPr>
            <w:tcW w:w="2087" w:type="dxa"/>
            <w:vMerge w:val="continue"/>
            <w:tcBorders>
              <w:top w:val="single" w:color="CBCDD1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line="240"/>
              <w:ind/>
              <w:rPr/>
            </w:pPr>
          </w:p>
        </w:tc>
        <w:tc>
          <w:tcPr>
            <w:tcW w:w="2419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jc w:val="center"/>
              <w:rPr/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75分钟</w:t>
            </w:r>
          </w:p>
        </w:tc>
        <w:tc>
          <w:tcPr>
            <w:tcW w:w="2386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jc w:val="center"/>
              <w:rPr/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专车</w:t>
            </w:r>
          </w:p>
        </w:tc>
        <w:tc>
          <w:tcPr>
            <w:tcW w:w="2220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jc w:val="center"/>
              <w:rPr/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引镇</w:t>
            </w:r>
          </w:p>
        </w:tc>
      </w:tr>
    </w:tbl>
    <w:p>
      <w:pPr>
        <w:pStyle w:val="ablt93"/>
        <w:pBdr/>
        <w:ind w:left="0"/>
        <w:rPr>
          <w:b/>
        </w:rPr>
      </w:pPr>
    </w:p>
    <w:p>
      <w:pPr>
        <w:pStyle w:val="ablt93"/>
        <w:numPr>
          <w:ilvl w:val="0"/>
          <w:numId w:val="2"/>
        </w:numPr>
        <w:pBdr>
          <w:bottom/>
        </w:pBdr>
        <w:ind/>
        <w:rPr>
          <w:b/>
        </w:rPr>
      </w:pPr>
      <w:r>
        <w:rPr>
          <w:rFonts w:hint="eastAsia"/>
          <w:b/>
        </w:rPr>
        <w:t>郑州</w:t>
      </w:r>
    </w:p>
    <w:tbl>
      <w:tblPr>
        <w:tblStyle w:val="pmq6rr"/>
        <w:tblLayout w:type="fixed"/>
      </w:tblPr>
      <w:tblGrid>
        <w:gridCol w:w="2242"/>
        <w:gridCol w:w="2392"/>
        <w:gridCol w:w="2165"/>
        <w:gridCol w:w="2316"/>
      </w:tblGrid>
      <w:tr>
        <w:trPr>
          <w:trHeight w:val="809" w:hRule="atLeast"/>
        </w:trPr>
        <w:tc>
          <w:tcPr>
            <w:tcW w:w="224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jc w:val="center"/>
              <w:rPr/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机场</w:t>
            </w:r>
          </w:p>
        </w:tc>
        <w:tc>
          <w:tcPr>
            <w:tcW w:w="239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jc w:val="center"/>
              <w:rPr/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路程时间</w:t>
            </w:r>
          </w:p>
        </w:tc>
        <w:tc>
          <w:tcPr>
            <w:tcW w:w="21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jc w:val="center"/>
              <w:rPr/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运输方式</w:t>
            </w:r>
          </w:p>
        </w:tc>
        <w:tc>
          <w:tcPr>
            <w:tcW w:w="231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jc w:val="center"/>
              <w:rPr/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高铁站</w:t>
            </w:r>
          </w:p>
        </w:tc>
      </w:tr>
      <w:tr>
        <w:trPr>
          <w:trHeight w:val="690" w:hRule="atLeast"/>
        </w:trPr>
        <w:tc>
          <w:tcPr>
            <w:tcW w:w="2242" w:type="dxa"/>
            <w:vMerge w:val="restart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jc w:val="both"/>
              <w:rPr/>
            </w:pPr>
            <w:r>
              <w:rPr>
                <w:rFonts w:ascii="等线" w:hAnsi="等线" w:eastAsia="等线" w:cs="等线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新郑机场站</w:t>
            </w:r>
          </w:p>
        </w:tc>
        <w:tc>
          <w:tcPr>
            <w:tcW w:w="2392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jc w:val="center"/>
              <w:rPr/>
            </w:pPr>
            <w:r>
              <w:rPr>
                <w:rFonts w:ascii="等线" w:hAnsi="等线" w:eastAsia="等线" w:cs="等线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9分钟</w:t>
            </w:r>
          </w:p>
        </w:tc>
        <w:tc>
          <w:tcPr>
            <w:tcW w:w="2165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jc w:val="center"/>
              <w:rPr/>
            </w:pPr>
            <w:r>
              <w:rPr>
                <w:rFonts w:ascii="等线" w:hAnsi="等线" w:eastAsia="等线" w:cs="等线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高铁</w:t>
            </w:r>
          </w:p>
        </w:tc>
        <w:tc>
          <w:tcPr>
            <w:tcW w:w="2316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jc w:val="center"/>
              <w:rPr/>
            </w:pPr>
            <w:r>
              <w:rPr>
                <w:rFonts w:ascii="等线" w:hAnsi="等线" w:eastAsia="等线" w:cs="等线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郑州航空港</w:t>
            </w:r>
          </w:p>
        </w:tc>
      </w:tr>
      <w:tr>
        <w:trPr>
          <w:trHeight w:val="623" w:hRule="atLeast"/>
        </w:trPr>
        <w:tc>
          <w:tcPr>
            <w:tcW w:w="2242" w:type="dxa"/>
            <w:vMerge w:val="continue"/>
            <w:tcBorders>
              <w:top w:val="single" w:color="CBCDD1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line="240"/>
              <w:ind/>
              <w:rPr/>
            </w:pPr>
          </w:p>
        </w:tc>
        <w:tc>
          <w:tcPr>
            <w:tcW w:w="2392" w:type="dxa"/>
            <w:tcBorders>
              <w:top w:val="single" w:color="CBCDD1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jc w:val="center"/>
              <w:rPr/>
            </w:pPr>
            <w:r>
              <w:rPr>
                <w:rFonts w:ascii="等线" w:hAnsi="等线" w:eastAsia="等线" w:cs="等线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25分钟</w:t>
            </w:r>
          </w:p>
        </w:tc>
        <w:tc>
          <w:tcPr>
            <w:tcW w:w="2165" w:type="dxa"/>
            <w:tcBorders>
              <w:top w:val="single" w:color="CBCDD1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jc w:val="center"/>
              <w:rPr/>
            </w:pPr>
            <w:r>
              <w:rPr>
                <w:rFonts w:ascii="等线" w:hAnsi="等线" w:eastAsia="等线" w:cs="等线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高铁</w:t>
            </w:r>
          </w:p>
        </w:tc>
        <w:tc>
          <w:tcPr>
            <w:tcW w:w="2316" w:type="dxa"/>
            <w:tcBorders>
              <w:top w:val="single" w:color="CBCDD1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jc w:val="center"/>
              <w:rPr/>
            </w:pPr>
            <w:r>
              <w:rPr>
                <w:rFonts w:ascii="等线" w:hAnsi="等线" w:eastAsia="等线" w:cs="等线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郑州</w:t>
            </w:r>
          </w:p>
        </w:tc>
      </w:tr>
      <w:tr>
        <w:trPr>
          <w:trHeight w:val="703" w:hRule="atLeast"/>
        </w:trPr>
        <w:tc>
          <w:tcPr>
            <w:tcW w:w="2242" w:type="dxa"/>
            <w:vMerge w:val="continue"/>
            <w:tcBorders>
              <w:top w:val="single" w:color="CBCDD1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line="240"/>
              <w:ind/>
              <w:rPr/>
            </w:pPr>
          </w:p>
        </w:tc>
        <w:tc>
          <w:tcPr>
            <w:tcW w:w="2392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jc w:val="center"/>
              <w:rPr/>
            </w:pPr>
            <w:r>
              <w:rPr>
                <w:rFonts w:ascii="等线" w:hAnsi="等线" w:eastAsia="等线" w:cs="等线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15-30分钟</w:t>
            </w:r>
          </w:p>
        </w:tc>
        <w:tc>
          <w:tcPr>
            <w:tcW w:w="2165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jc w:val="center"/>
              <w:rPr/>
            </w:pPr>
            <w:r>
              <w:rPr>
                <w:rFonts w:ascii="等线" w:hAnsi="等线" w:eastAsia="等线" w:cs="等线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高铁</w:t>
            </w:r>
          </w:p>
        </w:tc>
        <w:tc>
          <w:tcPr>
            <w:tcW w:w="2316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jc w:val="center"/>
              <w:rPr/>
            </w:pPr>
            <w:r>
              <w:rPr>
                <w:rFonts w:ascii="等线" w:hAnsi="等线" w:eastAsia="等线" w:cs="等线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郑州东</w:t>
            </w:r>
          </w:p>
        </w:tc>
      </w:tr>
      <w:tr>
        <w:trPr>
          <w:trHeight w:val="842" w:hRule="atLeast"/>
        </w:trPr>
        <w:tc>
          <w:tcPr>
            <w:tcW w:w="2242" w:type="dxa"/>
            <w:vMerge w:val="continue"/>
            <w:tcBorders>
              <w:top w:val="single" w:color="CBCDD1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line="240"/>
              <w:ind/>
              <w:rPr/>
            </w:pPr>
          </w:p>
        </w:tc>
        <w:tc>
          <w:tcPr>
            <w:tcW w:w="2392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jc w:val="center"/>
              <w:rPr/>
            </w:pPr>
            <w:r>
              <w:rPr>
                <w:rFonts w:ascii="等线" w:hAnsi="等线" w:eastAsia="等线" w:cs="等线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60分钟</w:t>
            </w:r>
          </w:p>
        </w:tc>
        <w:tc>
          <w:tcPr>
            <w:tcW w:w="2165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jc w:val="center"/>
              <w:rPr/>
            </w:pPr>
            <w:r>
              <w:rPr>
                <w:rFonts w:ascii="等线" w:hAnsi="等线" w:eastAsia="等线" w:cs="等线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高铁/专车</w:t>
            </w:r>
          </w:p>
        </w:tc>
        <w:tc>
          <w:tcPr>
            <w:tcW w:w="2316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jc w:val="center"/>
              <w:rPr/>
            </w:pPr>
            <w:r>
              <w:rPr>
                <w:rFonts w:ascii="等线" w:hAnsi="等线" w:eastAsia="等线" w:cs="等线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郑州西</w:t>
            </w:r>
          </w:p>
        </w:tc>
      </w:tr>
    </w:tbl>
    <w:p>
      <w:pPr>
        <w:pStyle w:val="ablt93"/>
        <w:ind w:left="336"/>
        <w:rPr>
          <w:b/>
        </w:rPr>
      </w:pPr>
    </w:p>
    <w:p>
      <w:pPr>
        <w:pStyle w:val="rdbvau"/>
        <w:numPr/>
        <w:jc w:val="left"/>
        <w:rPr/>
      </w:pPr>
    </w:p>
    <w:p>
      <w:pPr>
        <w:pStyle w:val="ablt93"/>
        <w:rPr/>
      </w:pPr>
    </w:p>
    <w:sectPr>
      <w:pgSz w:w="11905" w:h="16838"/>
      <w:pgMar w:top="1361" w:right="1417" w:bottom="1361" w:left="1417"/>
    </w:sectPr>
  </w:body>
</w:document>
</file>

<file path=word/fontTable.xml><?xml version="1.0" encoding="utf-8"?>
<w:fonts xmlns:w="http://schemas.openxmlformats.org/wordprocessingml/2006/main"/>
</file>

<file path=word/numbering.xml><?xml version="1.0" encoding="utf-8"?>
<w:numbering xmlns:w="http://schemas.openxmlformats.org/wordprocessingml/2006/main">
  <w:abstractNum w:abstractNumId="1">
    <w:lvl w:ilvl="8">
      <w:start w:val="1"/>
      <w:numFmt w:val="decimal"/>
      <w:lvlText w:val="%1.%2.%3.%4.%5.%6.%7.%8.%9."/>
      <w:lvlJc w:val="left"/>
      <w:pPr>
        <w:ind w:left="5200" w:hanging="1680"/>
      </w:pPr>
    </w:lvl>
    <w:lvl w:ilvl="7">
      <w:start w:val="1"/>
      <w:numFmt w:val="decimal"/>
      <w:lvlText w:val="%1.%2.%3.%4.%5.%6.%7.%8."/>
      <w:lvlJc w:val="left"/>
      <w:pPr>
        <w:ind w:left="4592" w:hanging="1512"/>
      </w:pPr>
    </w:lvl>
    <w:lvl w:ilvl="3">
      <w:start w:val="1"/>
      <w:numFmt w:val="decimal"/>
      <w:lvlText w:val="%1.%2.%3.%4."/>
      <w:lvlJc w:val="left"/>
      <w:pPr>
        <w:ind w:left="2160" w:hanging="840"/>
      </w:pPr>
    </w:lvl>
    <w:lvl w:ilvl="0">
      <w:start w:val="1"/>
      <w:numFmt w:val="decimal"/>
      <w:lvlText w:val="%1."/>
      <w:lvlJc w:val="left"/>
      <w:pPr>
        <w:ind w:left="336" w:hanging="336"/>
      </w:pPr>
      <w:rPr>
        <w:rFonts w:hint="default" w:ascii="" w:hAnsi="" w:cs=""/>
      </w:rPr>
    </w:lvl>
    <w:lvl w:ilvl="1">
      <w:start w:val="1"/>
      <w:numFmt w:val="decimal"/>
      <w:lvlText w:val="%1.%2."/>
      <w:lvlJc w:val="left"/>
      <w:pPr>
        <w:ind w:left="944" w:hanging="504"/>
      </w:pPr>
    </w:lvl>
    <w:lvl w:ilvl="6">
      <w:start w:val="1"/>
      <w:numFmt w:val="decimal"/>
      <w:lvlText w:val="%1.%2.%3.%4.%5.%6.%7."/>
      <w:lvlJc w:val="left"/>
      <w:pPr>
        <w:ind w:left="3984" w:hanging="1344"/>
      </w:pPr>
    </w:lvl>
    <w:lvl w:ilvl="5">
      <w:start w:val="1"/>
      <w:numFmt w:val="decimal"/>
      <w:lvlText w:val="%1.%2.%3.%4.%5.%6."/>
      <w:lvlJc w:val="left"/>
      <w:pPr>
        <w:ind w:left="3376" w:hanging="1176"/>
      </w:pPr>
    </w:lvl>
    <w:lvl w:ilvl="4">
      <w:start w:val="1"/>
      <w:numFmt w:val="decimal"/>
      <w:lvlText w:val="%1.%2.%3.%4.%5."/>
      <w:lvlJc w:val="left"/>
      <w:pPr>
        <w:ind w:left="2768" w:hanging="1008"/>
      </w:pPr>
    </w:lvl>
    <w:lvl w:ilvl="2">
      <w:start w:val="1"/>
      <w:numFmt w:val="decimal"/>
      <w:lvlText w:val="%1.%2.%3."/>
      <w:lvlJc w:val="left"/>
      <w:pPr>
        <w:ind w:left="1552" w:hanging="672"/>
      </w:pPr>
    </w:lvl>
  </w:abstractNum>
  <w:abstractNum w:abstractNumId="2">
    <w:lvl w:ilvl="1">
      <w:start w:val="1"/>
      <w:numFmt w:val="lowerLetter"/>
      <w:lvlText w:val="%2."/>
      <w:lvlJc w:val="left"/>
      <w:pPr>
        <w:ind w:left="776" w:hanging="336"/>
      </w:pPr>
    </w:lvl>
    <w:lvl w:ilvl="3">
      <w:start w:val="1"/>
      <w:numFmt w:val="decimal"/>
      <w:lvlText w:val="(%4)"/>
      <w:lvlJc w:val="left"/>
      <w:pPr>
        <w:ind w:left="165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6">
      <w:start w:val="1"/>
      <w:numFmt w:val="decimal"/>
      <w:lvlText w:val="(%7)"/>
      <w:lvlJc w:val="left"/>
      <w:pPr>
        <w:ind w:left="297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0">
      <w:start w:val="1"/>
      <w:numFmt w:val="decimal"/>
      <w:lvlText w:val="(%1)"/>
      <w:lvlJc w:val="left"/>
      <w:pPr>
        <w:ind w:left="336" w:hanging="336"/>
      </w:pPr>
      <w:rPr>
        <w:rFonts w:hint="default" w:ascii="" w:hAnsi="" w:cs=""/>
      </w:rPr>
    </w:lvl>
    <w:lvl w:ilvl="2">
      <w:start w:val="1"/>
      <w:numFmt w:val="lowerRoman"/>
      <w:lvlText w:val="%3."/>
      <w:lvlJc w:val="left"/>
      <w:pPr>
        <w:ind w:left="1216" w:hanging="336"/>
      </w:pPr>
    </w:lvl>
  </w:abstractNum>
  <w:num w:numId="2">
    <w:abstractNumId w:val="2"/>
  </w:num>
  <w:num w:numId="1">
    <w:abstractNumId w:val="1"/>
  </w:num>
</w:numbering>
</file>

<file path=word/settings.xml><?xml version="1.0" encoding="utf-8"?>
<w:settings xmlns:w14="http://schemas.microsoft.com/office/word/2010/wordml" xmlns:w15="http://schemas.microsoft.com/office/word/2012/wordml" xmlns:w="http://schemas.openxmlformats.org/wordprocessingml/2006/main" xmlns:m="http://schemas.openxmlformats.org/officeDocument/2006/math" xmlns:mc="http://schemas.openxmlformats.org/markup-compatibility/2006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doNotLeaveBackslashAlone/>
    <w:ulTrailSpace/>
    <w:doNotExpandShiftReturn/>
    <w:adjustLineHeightInTable/>
    <w:useFELayout/>
    <w:compatSetting w:name="doNotFlipMirrorIndents" w:uri="http://schemas.microsoft.com/office/word" w:val="1"/>
    <w:compatSetting w:name="enableOpenTypeFeature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  <w:compatSetting w:name="compatibilityMode" w:uri="http://schemas.microsoft.com/office/word" w:val="15"/>
    <w:compatSetting w:name="overrideTableStyleFontSizeAndJustification" w:uri="http://schemas.microsoft.com/office/word" w:val="1"/>
  </w:compat>
  <w:rsids>
    <w:rsidRoot w:val="00E023A0"/>
    <w:rsid w:val="00680AC3"/>
    <w:rsid w:val="007452DF"/>
    <w:rsid w:val="00E023A0"/>
  </w:rsids>
  <m:mathPr>
    <m:mathFont m:val="Cambria Math"/>
    <m:brkBin m:val="before"/>
    <m:brkBinSub m:val="--"/>
    <m:smallFrac m:val="false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CB54FC"/>
  <w15:chartTrackingRefBased/>
  <w15:docId w15:val="{0549D595-5F3E-9A49-832F-E7DF37783478}"/>
</w:settings>
</file>

<file path=word/styles.xml><?xml version="1.0" encoding="utf-8"?>
<w:styles xmlns:w="http://schemas.openxmlformats.org/wordprocessingml/2006/main">
  <w:docDefaults>
    <w:rPrDefault>
      <w:rPr>
        <w:rFonts w:ascii="minorHAnsi" w:hAnsi="minorHAnsi" w:eastAsia="minorEastAsia" w:cstheme="minorBidi"/>
        <w:color w:val="333333"/>
        <w:kern w:val="2"/>
        <w:sz w:val="22"/>
        <w:szCs w:val="22"/>
      </w:rPr>
    </w:rPrDefault>
    <w:pPrDefault>
      <w:pPr>
        <w:snapToGrid w:val="false"/>
        <w:spacing w:before="60" w:after="60" w:line="312" w:lineRule="auto"/>
      </w:pPr>
    </w:pPrDefault>
  </w:docDefaults>
  <w:style w:type="paragraph" w:styleId="ablt93" w:default="true">
    <w:name w:val="Normal"/>
    <w:pPr>
      <w:widowControl w:val="false"/>
      <w:jc w:val="left"/>
    </w:pPr>
  </w:style>
  <w:style w:type="paragraph" w:styleId="rdbvau">
    <w:name w:val="Title"/>
    <w:basedOn w:val="ablt93"/>
    <w:next w:val="ablt93"/>
    <w:uiPriority w:val="9"/>
    <w:qFormat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  <w:style w:type="paragraph" w:styleId="42o17b">
    <w:name w:val="heading 1"/>
    <w:basedOn w:val="ablt93"/>
    <w:next w:val="ablt93"/>
    <w:uiPriority w:val="9"/>
    <w:qFormat/>
    <w:pPr>
      <w:keepNext/>
      <w:keepLines/>
      <w:spacing w:before="0" w:after="0" w:line="408" w:lineRule="auto"/>
      <w:outlineLvl w:val="0"/>
    </w:pPr>
    <w:rPr>
      <w:b/>
      <w:bCs/>
      <w:color w:val="1A1A1A"/>
      <w:sz w:val="36"/>
      <w:szCs w:val="36"/>
    </w:rPr>
  </w:style>
  <w:style w:type="table" w:styleId="pmq6rr">
    <w:name w:val="Table Grid"/>
    <w:basedOn w:val="irkvra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table" w:styleId="irkvra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numbering" Target="numbering.xml" /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4" Type="http://schemas.openxmlformats.org/officeDocument/2006/relationships/image" Target="media/image1.png" /><Relationship Id="rId1" Type="http://schemas.openxmlformats.org/officeDocument/2006/relationships/settings" Target="settings.xml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2026-04-22T10:46:02Z</dcterms:created>
  <dcterms:modified xsi:type="dcterms:W3CDTF">2026-04-22T10:46:02Z</dcterms:modified>
</cp:coreProperties>
</file>