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61B0B">
      <w:pPr>
        <w:jc w:val="center"/>
        <w:rPr>
          <w:rFonts w:cstheme="majorBidi"/>
          <w:b/>
          <w:bCs/>
          <w:sz w:val="48"/>
          <w:szCs w:val="32"/>
        </w:rPr>
      </w:pPr>
      <w:r>
        <w:rPr>
          <w:rFonts w:hint="eastAsia" w:cstheme="majorBidi"/>
          <w:b/>
          <w:bCs/>
          <w:sz w:val="48"/>
          <w:szCs w:val="32"/>
        </w:rPr>
        <w:t>吉祥航空基于AI技术的航材AOG智能保障系统构建与应用</w:t>
      </w:r>
      <w:bookmarkStart w:id="0" w:name="_GoBack"/>
      <w:bookmarkEnd w:id="0"/>
    </w:p>
    <w:p w14:paraId="657EB8BA">
      <w:r>
        <w:rPr>
          <w:b/>
        </w:rPr>
        <w:t>摘要</w:t>
      </w:r>
      <w:r>
        <w:t>：针对民航业航材AOG（飞机停场）保障传统模式中</w:t>
      </w:r>
      <w:r>
        <w:rPr>
          <w:rFonts w:hint="eastAsia"/>
        </w:rPr>
        <w:t>时间压力下的分散信息源查询、跨系统协同和人工判断负担较重等</w:t>
      </w:r>
      <w:r>
        <w:t>痛点，</w:t>
      </w:r>
      <w:r>
        <w:rPr>
          <w:rFonts w:hint="eastAsia"/>
          <w:lang w:val="en-US" w:eastAsia="zh-CN"/>
        </w:rPr>
        <w:t>本文以</w:t>
      </w:r>
      <w:r>
        <w:rPr>
          <w:rFonts w:hint="eastAsia"/>
        </w:rPr>
        <w:t>吉祥航空</w:t>
      </w:r>
      <w:r>
        <w:rPr>
          <w:rFonts w:hint="eastAsia"/>
          <w:lang w:val="en-US" w:eastAsia="zh-CN"/>
        </w:rPr>
        <w:t>AOG业务场景为对象，构建</w:t>
      </w:r>
      <w:r>
        <w:t>了一套基于</w:t>
      </w:r>
      <w:r>
        <w:rPr>
          <w:rFonts w:hint="eastAsia"/>
          <w:lang w:val="en-US" w:eastAsia="zh-CN"/>
        </w:rPr>
        <w:t>LLM大语言模型、RAG增强检索知识库</w:t>
      </w:r>
      <w:r>
        <w:t>的智能保障系统。系统通过分布式智能体协同决策、结构化知识库、多级协同体系及提示词管理等核心架构，实现了从</w:t>
      </w:r>
      <w:r>
        <w:rPr>
          <w:rFonts w:hint="eastAsia"/>
        </w:rPr>
        <w:t>“</w:t>
      </w:r>
      <w:r>
        <w:t>人工经验驱动</w:t>
      </w:r>
      <w:r>
        <w:rPr>
          <w:rFonts w:hint="eastAsia"/>
        </w:rPr>
        <w:t>”</w:t>
      </w:r>
      <w:r>
        <w:t>向</w:t>
      </w:r>
      <w:r>
        <w:rPr>
          <w:rFonts w:hint="eastAsia"/>
        </w:rPr>
        <w:t>“</w:t>
      </w:r>
      <w:r>
        <w:t>数据智能决策</w:t>
      </w:r>
      <w:r>
        <w:rPr>
          <w:rFonts w:hint="eastAsia"/>
        </w:rPr>
        <w:t>”</w:t>
      </w:r>
      <w:r>
        <w:t>的</w:t>
      </w:r>
      <w:r>
        <w:rPr>
          <w:rFonts w:hint="eastAsia"/>
          <w:lang w:val="en-US" w:eastAsia="zh-CN"/>
        </w:rPr>
        <w:t>业务效能升级</w:t>
      </w:r>
      <w:r>
        <w:t>。应用实践表明，该系统将保障全流程平均耗时节省85分钟，</w:t>
      </w:r>
      <w:r>
        <w:rPr>
          <w:rFonts w:hint="eastAsia"/>
          <w:lang w:val="en-US" w:eastAsia="zh-CN"/>
        </w:rPr>
        <w:t>效率提示</w:t>
      </w:r>
      <w:r>
        <w:t>35.4%</w:t>
      </w:r>
      <w:r>
        <w:rPr>
          <w:rFonts w:hint="eastAsia"/>
        </w:rPr>
        <w:t>，</w:t>
      </w:r>
      <w:r>
        <w:t>显著提升了航班准点率与运行安全。本文详细阐述了系统设计、技术实现与行业影响，为民航维修领域的智能化转型提供了可复制的路径。</w:t>
      </w:r>
    </w:p>
    <w:p w14:paraId="4981AE2E">
      <w:r>
        <w:rPr>
          <w:rFonts w:hint="eastAsia"/>
          <w:b/>
          <w:bCs/>
        </w:rPr>
        <w:t>关键词</w:t>
      </w:r>
      <w:r>
        <w:rPr>
          <w:rFonts w:hint="eastAsia"/>
        </w:rPr>
        <w:t>：航材AOG；人工智能；智能体；知识图谱；流程重构；吉祥航空</w:t>
      </w:r>
    </w:p>
    <w:p w14:paraId="0F040929">
      <w:pPr>
        <w:pBdr>
          <w:bottom w:val="single" w:color="020201" w:sz="4" w:space="0"/>
        </w:pBdr>
      </w:pPr>
    </w:p>
    <w:p w14:paraId="28E01355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78F689CB">
      <w:pPr>
        <w:ind w:firstLine="418" w:firstLineChars="190"/>
        <w:rPr>
          <w:rFonts w:hint="eastAsia"/>
        </w:rPr>
      </w:pPr>
      <w:r>
        <w:rPr>
          <w:rFonts w:hint="eastAsia"/>
        </w:rPr>
        <w:t>当前，民航局明确 2025 年智慧维修转型目标，央企积极构建航材共享平台，区块链、AI、AR 等技术助力行业发展，为智能体项目奠定基础。在此背景下，吉祥航空积极响应行业智慧化号召，于2025年启动“航材AOG智能体创新实践”，旨在通过AI技术系统性重构保障流程，推动保障模式智能升级，为行业高质量发展注入新动力。</w:t>
      </w:r>
    </w:p>
    <w:p w14:paraId="5E54211A">
      <w:pPr>
        <w:ind w:firstLine="418" w:firstLineChars="190"/>
        <w:rPr>
          <w:rFonts w:hint="eastAsia"/>
        </w:rPr>
      </w:pPr>
      <w:r>
        <w:rPr>
          <w:rFonts w:hint="eastAsia"/>
        </w:rPr>
        <w:t>吉祥航空在既有AOG保障实践中发现，传统模式主要依赖AOG值班工程师跨系统查询</w:t>
      </w:r>
      <w:r>
        <w:rPr>
          <w:rFonts w:hint="eastAsia"/>
          <w:lang w:eastAsia="zh-CN"/>
        </w:rPr>
        <w:t>（</w:t>
      </w:r>
      <w:r>
        <w:rPr>
          <w:rFonts w:hint="eastAsia"/>
        </w:rPr>
        <w:t>航材主数据、库存状态、历史案例、保障预案和外部资源信息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和技术</w:t>
      </w:r>
      <w:r>
        <w:rPr>
          <w:rFonts w:hint="eastAsia"/>
        </w:rPr>
        <w:t>经验判断</w:t>
      </w:r>
      <w:r>
        <w:rPr>
          <w:rFonts w:hint="eastAsia"/>
          <w:lang w:eastAsia="zh-CN"/>
        </w:rPr>
        <w:t>（</w:t>
      </w:r>
      <w:r>
        <w:rPr>
          <w:rFonts w:hint="eastAsia"/>
        </w:rPr>
        <w:t>件号互换性、证件完整性、构型适配和运输限制等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。在国际AOG场景下，沟通链路更长、时效压力更高，导致方案生成效率和执行一致性受到明显制约。</w:t>
      </w:r>
    </w:p>
    <w:p w14:paraId="37526884">
      <w:pPr>
        <w:ind w:firstLine="418" w:firstLineChars="190"/>
      </w:pPr>
      <w:r>
        <w:rPr>
          <w:rFonts w:hint="eastAsia"/>
        </w:rPr>
        <w:t>针对上述问题，本文围绕“如何快速形成可执行保障方案”这一核心任务，对AOG保障流程进行重构。本文重点讨论工作流构建、决策架构、模型与规则协同方式、数据库与知识库建设方法，以及试运行阶段的验证口径和典型案例。</w:t>
      </w:r>
    </w:p>
    <w:p w14:paraId="6F80521D">
      <w:pPr>
        <w:rPr>
          <w:rFonts w:hint="eastAsia"/>
        </w:rPr>
      </w:pPr>
    </w:p>
    <w:p w14:paraId="28DB0B49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业务痛点</w:t>
      </w:r>
    </w:p>
    <w:p w14:paraId="77DF7E02">
      <w:pPr>
        <w:ind w:firstLine="418" w:firstLineChars="190"/>
      </w:pPr>
      <w:r>
        <w:t>近年来，随着我国民航业的高速发展，航线网络持续加密，机队规模稳步扩大。截至2025年，全国民航保障航班量已达647.4万班次，日均超1.7万班次，民航已成为大众出行的主流方式。然而，行业规模的扩大也带来了航材AOG保障需求的急剧增长，传统保障模式的短板日益凸显，成为制约行业效率提升的关键瓶颈。</w:t>
      </w:r>
    </w:p>
    <w:p w14:paraId="20EA23C8">
      <w:pPr>
        <w:ind w:firstLine="418" w:firstLineChars="190"/>
        <w:rPr>
          <w:rFonts w:hint="eastAsia"/>
        </w:rPr>
      </w:pPr>
      <w:r>
        <w:rPr>
          <w:rFonts w:hint="eastAsia"/>
        </w:rPr>
        <w:t>航材AOG保障的核心目标是在满足适航与运行要求的前提下，以尽可能短的时间完成故障件确认、资源组织、运输协调、装机更换和放行恢复。对于跨区域、跨时区航班而言，保障链路通常涉及库存查询、适航证件核对、协议单位联系、物流运输衔接以及执行状态跟踪等多个环节，任何一个环节延迟都可能加剧</w:t>
      </w:r>
      <w:r>
        <w:rPr>
          <w:rFonts w:hint="eastAsia"/>
          <w:lang w:val="en-US" w:eastAsia="zh-CN"/>
        </w:rPr>
        <w:t>航班延误时间</w:t>
      </w:r>
      <w:r>
        <w:rPr>
          <w:rFonts w:hint="eastAsia"/>
        </w:rPr>
        <w:t>。</w:t>
      </w:r>
    </w:p>
    <w:p w14:paraId="6D5BE9F7">
      <w:pPr>
        <w:ind w:firstLine="418" w:firstLineChars="190"/>
      </w:pPr>
      <w:r>
        <w:t>传统保障模式的核心问题在于流程繁琐、高度依赖人工、协同效率低下。工程师在传统工作模式下需面对信息分散、环节繁杂、沟通成本高等多重挑战。数据显示，</w:t>
      </w:r>
      <w:r>
        <w:rPr>
          <w:rFonts w:hint="eastAsia"/>
        </w:rPr>
        <w:t>吉祥航空单次</w:t>
      </w:r>
      <w:r>
        <w:t>国际</w:t>
      </w:r>
      <w:r>
        <w:rPr>
          <w:rFonts w:hint="eastAsia"/>
        </w:rPr>
        <w:t>AOG</w:t>
      </w:r>
      <w:r>
        <w:t>航材保障耗时可达18小时，严重影响了航班正常运行与旅客体验。</w:t>
      </w:r>
    </w:p>
    <w:p w14:paraId="766BE731">
      <w:pPr>
        <w:ind w:firstLine="418" w:firstLineChars="190"/>
        <w:rPr>
          <w:rFonts w:hint="eastAsia"/>
        </w:rPr>
      </w:pPr>
      <w:r>
        <w:rPr>
          <w:rFonts w:hint="eastAsia"/>
        </w:rPr>
        <w:t>AOG保障</w:t>
      </w:r>
      <w:r>
        <w:rPr>
          <w:rFonts w:hint="eastAsia"/>
          <w:lang w:val="en-US" w:eastAsia="zh-CN"/>
        </w:rPr>
        <w:t>难点主要有</w:t>
      </w:r>
      <w:r>
        <w:rPr>
          <w:rFonts w:hint="eastAsia"/>
        </w:rPr>
        <w:t>：1.需求信息进入系统后，需要迅速识别件号、</w:t>
      </w:r>
      <w:r>
        <w:rPr>
          <w:rFonts w:hint="eastAsia"/>
          <w:lang w:val="en-US" w:eastAsia="zh-CN"/>
        </w:rPr>
        <w:t>航站</w:t>
      </w:r>
      <w:r>
        <w:rPr>
          <w:rFonts w:hint="eastAsia"/>
        </w:rPr>
        <w:t>、航班</w:t>
      </w:r>
      <w:r>
        <w:rPr>
          <w:rFonts w:hint="eastAsia"/>
          <w:lang w:val="en-US" w:eastAsia="zh-CN"/>
        </w:rPr>
        <w:t>时刻、故障原因</w:t>
      </w:r>
      <w:r>
        <w:rPr>
          <w:rFonts w:hint="eastAsia"/>
        </w:rPr>
        <w:t>和保障等级</w:t>
      </w:r>
      <w:r>
        <w:rPr>
          <w:rFonts w:hint="eastAsia"/>
          <w:lang w:val="en-US" w:eastAsia="zh-CN"/>
        </w:rPr>
        <w:t>等关键信息</w:t>
      </w:r>
      <w:r>
        <w:rPr>
          <w:rFonts w:hint="eastAsia"/>
        </w:rPr>
        <w:t>；2.可选</w:t>
      </w:r>
      <w:r>
        <w:rPr>
          <w:rFonts w:hint="eastAsia"/>
          <w:lang w:val="en-US" w:eastAsia="zh-CN"/>
        </w:rPr>
        <w:t>保障</w:t>
      </w:r>
      <w:r>
        <w:rPr>
          <w:rFonts w:hint="eastAsia"/>
        </w:rPr>
        <w:t>方案并非单一来源，而是需要在自有库存、共享库存、协议航司、OEM/供应商、租借件/调拨件、</w:t>
      </w:r>
      <w:r>
        <w:rPr>
          <w:rFonts w:hint="eastAsia"/>
          <w:lang w:val="en-US" w:eastAsia="zh-CN"/>
        </w:rPr>
        <w:t>停场飞机或备发拆件、采购订单及</w:t>
      </w:r>
      <w:r>
        <w:rPr>
          <w:rFonts w:hint="eastAsia"/>
        </w:rPr>
        <w:t>修理周转件进行组合；3.候选方案必须同时满足可用、适航性与运输约束，且在可执行候选中进一步比较时效与成本。</w:t>
      </w:r>
    </w:p>
    <w:p w14:paraId="1BFD7EA7">
      <w:r>
        <w:drawing>
          <wp:inline distT="0" distB="0" distL="114300" distR="114300">
            <wp:extent cx="5271770" cy="252857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E2CC2">
      <w:pPr>
        <w:jc w:val="center"/>
        <w:rPr>
          <w:sz w:val="20"/>
          <w:szCs w:val="21"/>
        </w:rPr>
      </w:pPr>
      <w:r>
        <w:rPr>
          <w:rFonts w:hint="eastAsia"/>
          <w:sz w:val="20"/>
          <w:szCs w:val="21"/>
        </w:rPr>
        <w:t>图1 单次国际AOG保障耗时18小时</w:t>
      </w:r>
      <w:r>
        <w:drawing>
          <wp:inline distT="0" distB="0" distL="114300" distR="114300">
            <wp:extent cx="5264150" cy="2376805"/>
            <wp:effectExtent l="0" t="0" r="3175" b="4445"/>
            <wp:docPr id="2" name="图片 2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日程表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E5D4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图2 引入AI后AOG保障效率可大幅提升</w:t>
      </w:r>
    </w:p>
    <w:p w14:paraId="74F83521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实施目标</w:t>
      </w:r>
    </w:p>
    <w:p w14:paraId="089B137C">
      <w:pPr>
        <w:pStyle w:val="26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业务目标</w:t>
      </w:r>
    </w:p>
    <w:p w14:paraId="695916C5">
      <w:pPr>
        <w:pStyle w:val="26"/>
        <w:ind w:left="440" w:firstLine="0" w:firstLineChars="0"/>
      </w:pPr>
      <w:r>
        <w:rPr>
          <w:rFonts w:hint="eastAsia"/>
        </w:rPr>
        <w:t>本项目的建设目标不是替代工程师做最终决策判断，而是在最耗时的“信息</w:t>
      </w:r>
      <w:r>
        <w:rPr>
          <w:rFonts w:hint="eastAsia"/>
          <w:lang w:val="en-US" w:eastAsia="zh-CN"/>
        </w:rPr>
        <w:t>获取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>预案锁定—知识库检索</w:t>
      </w:r>
      <w:r>
        <w:rPr>
          <w:rFonts w:hint="eastAsia"/>
        </w:rPr>
        <w:t>—</w:t>
      </w:r>
      <w:r>
        <w:rPr>
          <w:rFonts w:hint="eastAsia"/>
          <w:lang w:val="en-US" w:eastAsia="zh-CN"/>
        </w:rPr>
        <w:t>适航性</w:t>
      </w:r>
      <w:r>
        <w:rPr>
          <w:rFonts w:hint="eastAsia"/>
        </w:rPr>
        <w:t>校验—</w:t>
      </w:r>
      <w:r>
        <w:rPr>
          <w:rFonts w:hint="eastAsia"/>
          <w:lang w:val="en-US" w:eastAsia="zh-CN"/>
        </w:rPr>
        <w:t>方案跟踪</w:t>
      </w:r>
      <w:r>
        <w:rPr>
          <w:rFonts w:hint="eastAsia"/>
        </w:rPr>
        <w:t>”环节提供标准化、可复核的辅助决策能力，从而将AOG值班工程师从重复性检索和群发沟通工作中解放出来，把更多精力转向异常处置与关键决策。</w:t>
      </w:r>
    </w:p>
    <w:p w14:paraId="6E196359">
      <w:pPr>
        <w:pStyle w:val="26"/>
        <w:numPr>
          <w:ilvl w:val="0"/>
          <w:numId w:val="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企业目标</w:t>
      </w:r>
    </w:p>
    <w:p w14:paraId="0EA318BE">
      <w:pPr>
        <w:pStyle w:val="26"/>
        <w:ind w:left="440" w:firstLine="0" w:firstLineChars="0"/>
        <w:rPr>
          <w:rFonts w:hint="eastAsia"/>
        </w:rPr>
      </w:pPr>
      <w:r>
        <w:rPr>
          <w:rFonts w:hint="eastAsia"/>
        </w:rPr>
        <w:t>建立“业务驱动、IT协同”的AI产品落地范式，形成从场景挖掘到分阶段交付的可复用流程；沉淀“AI+业务系统”分层融合的技术架构模版，以标准化提升集成效率、降低后续项目门槛；培育既懂业务又通技术的复合型AI研发团队，并建立与复杂场景适配的迭代机制，保障项目敏捷可控；完善覆盖技术可行性与业务价值双维度的AI项目质量与风控标准，为规模化、体系化推进企业智能化转型奠定基础。</w:t>
      </w:r>
    </w:p>
    <w:p w14:paraId="66F09C77">
      <w:pPr>
        <w:numPr>
          <w:ilvl w:val="0"/>
          <w:numId w:val="1"/>
        </w:numPr>
      </w:pPr>
      <w:r>
        <w:rPr>
          <w:b/>
        </w:rPr>
        <w:t>系统架构设计与技术实现</w:t>
      </w:r>
    </w:p>
    <w:p w14:paraId="37AF7A9D">
      <w:pPr>
        <w:ind w:firstLine="220" w:firstLineChars="100"/>
      </w:pPr>
      <w:r>
        <w:t>为系统性解决上述</w:t>
      </w:r>
      <w:r>
        <w:rPr>
          <w:rFonts w:hint="eastAsia"/>
        </w:rPr>
        <w:t>痛点</w:t>
      </w:r>
      <w:r>
        <w:t>，</w:t>
      </w:r>
      <w:r>
        <w:rPr>
          <w:rFonts w:hint="eastAsia"/>
        </w:rPr>
        <w:t>吉祥航空</w:t>
      </w:r>
      <w:r>
        <w:t>以</w:t>
      </w:r>
      <w:r>
        <w:rPr>
          <w:rFonts w:hint="eastAsia"/>
        </w:rPr>
        <w:t>“</w:t>
      </w:r>
      <w:r>
        <w:t>流程重构、知识赋能、智能协同</w:t>
      </w:r>
      <w:r>
        <w:rPr>
          <w:rFonts w:hint="eastAsia"/>
        </w:rPr>
        <w:t>”</w:t>
      </w:r>
      <w:r>
        <w:t>为核心设计理念，</w:t>
      </w:r>
      <w:r>
        <w:rPr>
          <w:rFonts w:hint="eastAsia"/>
          <w:lang w:val="en-US" w:eastAsia="zh-CN"/>
        </w:rPr>
        <w:t>系统总体上采用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2"/>
        </w:rPr>
        <w:t>“多源数据接入+</w:t>
      </w:r>
      <w:r>
        <w:rPr>
          <w:rFonts w:hint="eastAsia"/>
          <w:lang w:val="en-US" w:eastAsia="zh-CN"/>
        </w:rPr>
        <w:t>LLM大语言模型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2"/>
        </w:rPr>
        <w:t>理解与组织+</w:t>
      </w:r>
      <w:r>
        <w:rPr>
          <w:rFonts w:hint="eastAsia" w:ascii="微软雅黑" w:hAnsi="微软雅黑" w:cs="微软雅黑"/>
          <w:b w:val="0"/>
          <w:i w:val="0"/>
          <w:color w:val="auto"/>
          <w:sz w:val="22"/>
          <w:lang w:val="en-US" w:eastAsia="zh-CN"/>
        </w:rPr>
        <w:t>AI工作流+知识库检索+规则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2"/>
        </w:rPr>
        <w:t>校验</w:t>
      </w:r>
      <w:r>
        <w:rPr>
          <w:rFonts w:hint="eastAsia" w:ascii="微软雅黑" w:hAnsi="微软雅黑" w:cs="微软雅黑"/>
          <w:b w:val="0"/>
          <w:i w:val="0"/>
          <w:color w:val="auto"/>
          <w:sz w:val="22"/>
          <w:lang w:val="en-US" w:eastAsia="zh-CN"/>
        </w:rPr>
        <w:t>+方案汇总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2"/>
        </w:rPr>
        <w:t>”</w:t>
      </w:r>
      <w:r>
        <w:rPr>
          <w:rFonts w:hint="eastAsia" w:ascii="微软雅黑" w:hAnsi="微软雅黑" w:cs="微软雅黑"/>
          <w:b w:val="0"/>
          <w:i w:val="0"/>
          <w:color w:val="auto"/>
          <w:sz w:val="22"/>
          <w:lang w:val="en-US" w:eastAsia="zh-CN"/>
        </w:rPr>
        <w:t>的分层架构。</w:t>
      </w:r>
      <w:r>
        <w:rPr>
          <w:rFonts w:hint="eastAsia"/>
        </w:rPr>
        <w:t>上层接收网页、移动端或邮件渠道进入的AOG求援信息；中层完成文本理解、检索与方案组织；底层对接SAP、AMES及相关业务资料库，实现库存、主数据、证件与案例信息调用。与以界面展示为中心的系统搭建方式相比，该架构更强调数据流和决策流的一致性。</w:t>
      </w:r>
    </w:p>
    <w:p w14:paraId="61FFBCC3">
      <w:r>
        <w:drawing>
          <wp:inline distT="0" distB="0" distL="114300" distR="114300">
            <wp:extent cx="5274945" cy="2485390"/>
            <wp:effectExtent l="0" t="0" r="825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4509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图3 系统架构设计</w:t>
      </w:r>
    </w:p>
    <w:p w14:paraId="54646C86">
      <w:pPr>
        <w:numPr>
          <w:ilvl w:val="0"/>
          <w:numId w:val="3"/>
        </w:numPr>
        <w:jc w:val="left"/>
      </w:pPr>
      <w:r>
        <w:rPr>
          <w:b/>
        </w:rPr>
        <w:t>智能体协同决策架构：</w:t>
      </w:r>
    </w:p>
    <w:p w14:paraId="2AF97BFA">
      <w:pPr>
        <w:numPr>
          <w:ilvl w:val="0"/>
          <w:numId w:val="0"/>
        </w:numPr>
        <w:ind w:leftChars="0" w:firstLine="420" w:firstLineChars="0"/>
        <w:jc w:val="left"/>
      </w:pPr>
      <w:r>
        <w:t>系统采用</w:t>
      </w:r>
      <w:r>
        <w:rPr>
          <w:rFonts w:hint="eastAsia"/>
        </w:rPr>
        <w:t>“</w:t>
      </w:r>
      <w:r>
        <w:t>分布式智能体+集中式决策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工作流模式</w:t>
      </w:r>
      <w:r>
        <w:t>，将保障流程分解为资源确认、运输规划、航材出库、在途监控等独立模块，每个模块由具备自主执行能力的子智能体负责。各子智能体并行处理任务，并将结果实时同步至中央决策智能体。决策智能体基于全局视角，综合效率、质量、成本等多重约束条件，动态生成最优保障方案。该架构突破了传统串行处理模式，</w:t>
      </w:r>
      <w:r>
        <w:rPr>
          <w:rFonts w:hint="eastAsia"/>
          <w:lang w:val="en-US" w:eastAsia="zh-CN"/>
        </w:rPr>
        <w:t>利用AI工作流多任务并发处理能力，</w:t>
      </w:r>
      <w:r>
        <w:t>实现分钟级</w:t>
      </w:r>
      <w:r>
        <w:rPr>
          <w:rFonts w:hint="eastAsia"/>
          <w:lang w:val="en-US" w:eastAsia="zh-CN"/>
        </w:rPr>
        <w:t>响应和</w:t>
      </w:r>
      <w:r>
        <w:t>方案输出</w:t>
      </w:r>
      <w:r>
        <w:rPr>
          <w:rFonts w:hint="eastAsia"/>
          <w:lang w:val="en-US" w:eastAsia="zh-CN"/>
        </w:rPr>
        <w:t>功能</w:t>
      </w:r>
      <w:r>
        <w:rPr>
          <w:rFonts w:hint="eastAsia"/>
          <w:lang w:eastAsia="zh-CN"/>
        </w:rPr>
        <w:t>，</w:t>
      </w:r>
      <w:r>
        <w:t>效率较人工模式提升</w:t>
      </w:r>
      <w:r>
        <w:rPr>
          <w:rFonts w:hint="eastAsia"/>
        </w:rPr>
        <w:t>3</w:t>
      </w:r>
      <w:r>
        <w:t>倍以上。</w:t>
      </w:r>
      <w:r>
        <w:rPr>
          <w:rFonts w:hint="eastAsia" w:ascii="宋体" w:hAnsi="宋体" w:eastAsia="宋体"/>
          <w:b/>
          <w:bCs/>
          <w:sz w:val="24"/>
          <w:szCs w:val="28"/>
        </w:rPr>
        <w:drawing>
          <wp:inline distT="0" distB="0" distL="114300" distR="114300">
            <wp:extent cx="4759960" cy="2210435"/>
            <wp:effectExtent l="0" t="0" r="2540" b="12065"/>
            <wp:docPr id="11" name="图片 11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片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A804">
      <w:pPr>
        <w:pStyle w:val="26"/>
        <w:ind w:left="336" w:firstLine="0" w:firstLineChars="0"/>
        <w:jc w:val="center"/>
      </w:pPr>
      <w:r>
        <w:rPr>
          <w:rFonts w:hint="eastAsia"/>
          <w:sz w:val="20"/>
          <w:szCs w:val="21"/>
        </w:rPr>
        <w:t>图4 智能体搭建</w:t>
      </w:r>
    </w:p>
    <w:p w14:paraId="51D6A4A8">
      <w:pPr>
        <w:numPr>
          <w:ilvl w:val="0"/>
          <w:numId w:val="3"/>
        </w:numPr>
        <w:jc w:val="left"/>
      </w:pPr>
      <w:r>
        <w:rPr>
          <w:b/>
        </w:rPr>
        <w:t>结构化知识库设计：</w:t>
      </w:r>
    </w:p>
    <w:p w14:paraId="4015F851">
      <w:pPr>
        <w:numPr>
          <w:ilvl w:val="0"/>
          <w:numId w:val="0"/>
        </w:numPr>
        <w:ind w:leftChars="0" w:firstLine="420" w:firstLineChars="0"/>
        <w:jc w:val="left"/>
      </w:pPr>
      <w:r>
        <w:rPr>
          <w:bCs/>
        </w:rPr>
        <w:t>实现经验系统化沉淀与动态更新</w:t>
      </w:r>
      <w:r>
        <w:rPr>
          <w:rFonts w:hint="eastAsia"/>
          <w:bCs/>
        </w:rPr>
        <w:t>，</w:t>
      </w:r>
      <w:r>
        <w:rPr>
          <w:rFonts w:hint="eastAsia"/>
        </w:rPr>
        <w:t>基于Embedding向量化与 RAG 检索增强技术，构建航材AOG领域结构化知识体系，</w:t>
      </w:r>
      <w:r>
        <w:t>通过AI知识抽取与分类技术，将</w:t>
      </w:r>
      <w:r>
        <w:rPr>
          <w:rFonts w:hint="eastAsia"/>
          <w:lang w:val="en-US" w:eastAsia="zh-CN"/>
        </w:rPr>
        <w:t>100+</w:t>
      </w:r>
      <w:r>
        <w:t>份维修手册、保障预案及历史案例转化为结构化知识体系。知识按“航材属性、故障类型、保障流程、替代方案”等维度进行标签化分类，形成层次清晰的图谱</w:t>
      </w:r>
      <w:r>
        <w:rPr>
          <w:rFonts w:hint="eastAsia"/>
          <w:lang w:val="en-US" w:eastAsia="zh-CN"/>
        </w:rPr>
        <w:t>式知识网络</w:t>
      </w:r>
      <w:r>
        <w:t>。知识库具备动态更新机制，可实时同步库存状态与优化结果。基于此设计，工程师可大幅降低对个人经验的依赖。</w:t>
      </w:r>
      <w:r>
        <w:drawing>
          <wp:inline distT="0" distB="0" distL="114300" distR="114300">
            <wp:extent cx="4870450" cy="2157730"/>
            <wp:effectExtent l="0" t="0" r="635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3060">
      <w:pPr>
        <w:pStyle w:val="26"/>
        <w:ind w:left="336" w:firstLine="0" w:firstLineChars="0"/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图5 AI知识库搭建</w:t>
      </w:r>
    </w:p>
    <w:p w14:paraId="141D2F6D">
      <w:pPr>
        <w:numPr>
          <w:ilvl w:val="0"/>
          <w:numId w:val="3"/>
        </w:numPr>
        <w:jc w:val="left"/>
      </w:pPr>
      <w:r>
        <w:rPr>
          <w:b/>
        </w:rPr>
        <w:t>多级智能协同体系：</w:t>
      </w:r>
    </w:p>
    <w:p w14:paraId="6576E14F">
      <w:pPr>
        <w:numPr>
          <w:ilvl w:val="0"/>
          <w:numId w:val="0"/>
        </w:numPr>
        <w:ind w:leftChars="0" w:firstLine="420" w:firstLineChars="0"/>
        <w:jc w:val="left"/>
      </w:pPr>
      <w:r>
        <w:t>系统构建了“系统-岗位-体系-航司”四级协同体系。在系统层面，通过标准化接口集成内部系统，实现数据互联；岗位层面，</w:t>
      </w:r>
      <w:r>
        <w:rPr>
          <w:rFonts w:hint="eastAsia"/>
        </w:rPr>
        <w:t>依托LLM大模型解析AOG需求</w:t>
      </w:r>
      <w:r>
        <w:t>，自动派发任务；体系层面，串联保障关键节点，形成闭环管理；航司层面，通过智能接口对接外部资源，实现自动化协作。该体系将分散要素整合为有机整体，提升了执行效率与可控性。</w:t>
      </w:r>
    </w:p>
    <w:p w14:paraId="25E414BE">
      <w:pPr>
        <w:numPr>
          <w:ilvl w:val="0"/>
          <w:numId w:val="0"/>
        </w:numPr>
        <w:ind w:leftChars="0"/>
        <w:jc w:val="left"/>
      </w:pP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2486025" cy="1980565"/>
            <wp:effectExtent l="0" t="0" r="3175" b="63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80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24710" cy="2139950"/>
            <wp:effectExtent l="0" t="0" r="889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EA8A">
      <w:pPr>
        <w:pStyle w:val="26"/>
        <w:ind w:left="336" w:firstLine="0" w:firstLineChars="0"/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图6 智能体交互设计</w:t>
      </w:r>
    </w:p>
    <w:p w14:paraId="22AEE834">
      <w:pPr>
        <w:numPr>
          <w:ilvl w:val="0"/>
          <w:numId w:val="3"/>
        </w:numPr>
        <w:jc w:val="left"/>
      </w:pPr>
      <w:r>
        <w:rPr>
          <w:b/>
        </w:rPr>
        <w:t>提示词管理：</w:t>
      </w:r>
    </w:p>
    <w:p w14:paraId="7C7EFAC6">
      <w:pPr>
        <w:numPr>
          <w:ilvl w:val="0"/>
          <w:numId w:val="0"/>
        </w:numPr>
        <w:ind w:leftChars="0" w:firstLine="420" w:firstLineChars="0"/>
        <w:jc w:val="left"/>
      </w:pPr>
      <w:r>
        <w:t>为确保大模型精准理解专业需求，系统通过提示词管理模块优化智能体的场景适配能力。该模块支持用户调试提示词，引导大模型准确抓取信息，避免误读。优化后的提示词助力大模型实现数据互联，为决策提供支撑。未来，随着提示词体系完善，将推动构建航材保障领域的智能生态。</w:t>
      </w:r>
    </w:p>
    <w:p w14:paraId="39FC8448">
      <w:pPr>
        <w:ind w:left="336"/>
        <w:jc w:val="center"/>
      </w:pPr>
      <w:r>
        <w:drawing>
          <wp:inline distT="0" distB="0" distL="114300" distR="114300">
            <wp:extent cx="4356100" cy="322834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rcRect l="32898" t="10438" b="-742"/>
                    <a:stretch>
                      <a:fillRect/>
                    </a:stretch>
                  </pic:blipFill>
                  <pic:spPr>
                    <a:xfrm>
                      <a:off x="0" y="0"/>
                      <a:ext cx="4363695" cy="32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200F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图7 智能体提示词管理</w:t>
      </w:r>
    </w:p>
    <w:p w14:paraId="60A7D690">
      <w:pPr>
        <w:numPr>
          <w:ilvl w:val="0"/>
          <w:numId w:val="3"/>
        </w:numPr>
        <w:jc w:val="left"/>
      </w:pPr>
      <w:r>
        <w:rPr>
          <w:rFonts w:hint="eastAsia"/>
          <w:b/>
          <w:lang w:val="en-US" w:eastAsia="zh-CN"/>
        </w:rPr>
        <w:t>模型优化与</w:t>
      </w:r>
      <w:r>
        <w:rPr>
          <w:b/>
        </w:rPr>
        <w:t>持续</w:t>
      </w:r>
      <w:r>
        <w:rPr>
          <w:rFonts w:hint="eastAsia"/>
          <w:b/>
        </w:rPr>
        <w:t>迭代</w:t>
      </w:r>
      <w:r>
        <w:rPr>
          <w:b/>
        </w:rPr>
        <w:t>：</w:t>
      </w:r>
    </w:p>
    <w:p w14:paraId="54B315CC">
      <w:pPr>
        <w:numPr>
          <w:ilvl w:val="0"/>
          <w:numId w:val="0"/>
        </w:numPr>
        <w:ind w:leftChars="0" w:firstLine="420" w:firstLineChars="0"/>
        <w:jc w:val="left"/>
      </w:pPr>
      <w:r>
        <w:rPr>
          <w:rFonts w:hint="eastAsia"/>
        </w:rPr>
        <w:t>民航维修航材AOG保障属于高度细分的专业领域，基于AOG智能系统的业务特性和AI技术分析，AOG智能保障系统在模型侧未进行微调或LoRA训练，而是采用“提示词优化+RAG检索增强+脚本校验+人工反馈”的组合方式进行优化。优化环节采用“脚本测试—人工评分—复盘修正”的闭环。由AOG支援工程师根据实际AOG保障案例编写测试脚本，测试人员根据脚本和测试系统数据进行逐项验证。资深AOG支援工程师对测试系统数据进行人工评分，IT工程师负责对不达标的测试任务进行提示词和知识库优化。项目通过至少150份测试脚本，6000+任务测试。通过上百轮提示词调优和知识库优化，在测试阶段成功达到80分（总分100分）的通过门槛。</w:t>
      </w:r>
    </w:p>
    <w:p w14:paraId="276B8E08">
      <w:pPr>
        <w:ind w:left="336"/>
        <w:jc w:val="center"/>
      </w:pPr>
      <w:r>
        <w:drawing>
          <wp:inline distT="0" distB="0" distL="114300" distR="114300">
            <wp:extent cx="3816985" cy="3498850"/>
            <wp:effectExtent l="0" t="0" r="0" b="6350"/>
            <wp:docPr id="12" name="图片 12" descr="企业微信截图_17684678549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企业微信截图_176846785496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0C22">
      <w:pPr>
        <w:jc w:val="center"/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图8 持续迭代机制</w:t>
      </w:r>
    </w:p>
    <w:p w14:paraId="64349482">
      <w:pPr>
        <w:numPr>
          <w:ilvl w:val="0"/>
          <w:numId w:val="1"/>
        </w:numPr>
        <w:rPr>
          <w:b/>
        </w:rPr>
      </w:pPr>
      <w:r>
        <w:rPr>
          <w:rFonts w:hint="eastAsia"/>
          <w:b/>
          <w:lang w:val="en-US" w:eastAsia="zh-CN"/>
        </w:rPr>
        <w:t>验证</w:t>
      </w:r>
      <w:r>
        <w:rPr>
          <w:b/>
        </w:rPr>
        <w:t>与</w:t>
      </w:r>
      <w:r>
        <w:rPr>
          <w:rFonts w:hint="eastAsia"/>
          <w:b/>
          <w:lang w:val="en-US" w:eastAsia="zh-CN"/>
        </w:rPr>
        <w:t>应用成果</w:t>
      </w:r>
    </w:p>
    <w:p w14:paraId="0208963B">
      <w:pPr>
        <w:pStyle w:val="3"/>
        <w:spacing w:before="160" w:after="80"/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  <w:t>1 统计验证口径</w:t>
      </w:r>
    </w:p>
    <w:p w14:paraId="033BCCD6">
      <w:pPr>
        <w:spacing w:before="0" w:after="60" w:line="372" w:lineRule="auto"/>
        <w:ind w:firstLine="420"/>
        <w:jc w:val="both"/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  <w:t>统计验证采用“历史基准组—系统实验组”对照方式。本文所称保障时长，指从AOG触发到航材送达现场的时长。基准组为2024年1月至2024年12月传统人工模式下的AOG保障记录，原始样本1329项，经人工判断剔除异常样本后得到有效样本1044项；实验组为2025年1月至2025年12月纳入系统测试/试运行流程的AOG样本，原始样本333项，经人工判断剔除异常样本后得到有效样本245项。传统模式下平均保障时长为240 min/单，系统样本平均保障时长为155 min/单，按“(基准组平均时长-实验组平均时长)/基准组平均时长×100%”计算，效率提升35.4%，单任务平均节省85 min。</w:t>
      </w:r>
    </w:p>
    <w:p w14:paraId="594699FB">
      <w:pPr>
        <w:spacing w:before="0" w:after="60" w:line="372" w:lineRule="auto"/>
        <w:ind w:firstLine="420"/>
        <w:jc w:val="both"/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</w:pPr>
      <w:r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  <w:t>对于经营指标，补充材料还给出了“年均减少延误超3.4万分钟”的内部测算结果。考虑到经营折算口径与本文采用的保障时长口径并不完全一致，本文将其作为运行价值参考，不作为核心统计结论。</w:t>
      </w:r>
    </w:p>
    <w:p w14:paraId="3B9E850D">
      <w:pPr>
        <w:spacing w:after="8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>表</w:t>
      </w:r>
      <w:r>
        <w:rPr>
          <w:rFonts w:hint="eastAsia" w:ascii="微软雅黑" w:hAnsi="微软雅黑" w:cs="微软雅黑"/>
          <w:b w:val="0"/>
          <w:i w:val="0"/>
          <w:color w:val="auto"/>
          <w:sz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 xml:space="preserve"> 统计验证口径与结果</w:t>
      </w:r>
    </w:p>
    <w:tbl>
      <w:tblPr>
        <w:tblStyle w:val="1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79828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2F5597"/>
            <w:vAlign w:val="center"/>
          </w:tcPr>
          <w:p w14:paraId="3A9D617A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指标</w:t>
            </w:r>
          </w:p>
        </w:tc>
        <w:tc>
          <w:tcPr>
            <w:tcW w:w="2296" w:type="dxa"/>
            <w:shd w:val="clear" w:color="auto" w:fill="2F5597"/>
            <w:vAlign w:val="center"/>
          </w:tcPr>
          <w:p w14:paraId="15ADEA90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基准组</w:t>
            </w:r>
          </w:p>
        </w:tc>
        <w:tc>
          <w:tcPr>
            <w:tcW w:w="2296" w:type="dxa"/>
            <w:shd w:val="clear" w:color="auto" w:fill="2F5597"/>
            <w:vAlign w:val="center"/>
          </w:tcPr>
          <w:p w14:paraId="6D785E5E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实验组</w:t>
            </w:r>
          </w:p>
        </w:tc>
        <w:tc>
          <w:tcPr>
            <w:tcW w:w="2296" w:type="dxa"/>
            <w:shd w:val="clear" w:color="auto" w:fill="2F5597"/>
            <w:vAlign w:val="center"/>
          </w:tcPr>
          <w:p w14:paraId="4EFCA9E7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结果/说明</w:t>
            </w:r>
          </w:p>
        </w:tc>
      </w:tr>
      <w:tr w14:paraId="0236E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vAlign w:val="center"/>
          </w:tcPr>
          <w:p w14:paraId="6A6D9E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样本范围</w:t>
            </w:r>
          </w:p>
        </w:tc>
        <w:tc>
          <w:tcPr>
            <w:tcW w:w="2296" w:type="dxa"/>
            <w:vAlign w:val="center"/>
          </w:tcPr>
          <w:p w14:paraId="68255F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2024-01至2024-12</w:t>
            </w:r>
          </w:p>
        </w:tc>
        <w:tc>
          <w:tcPr>
            <w:tcW w:w="2296" w:type="dxa"/>
            <w:vAlign w:val="center"/>
          </w:tcPr>
          <w:p w14:paraId="51631C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2025-01至2025-12</w:t>
            </w:r>
          </w:p>
        </w:tc>
        <w:tc>
          <w:tcPr>
            <w:tcW w:w="2296" w:type="dxa"/>
            <w:vAlign w:val="center"/>
          </w:tcPr>
          <w:p w14:paraId="040958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实验组为2025年度纳入系统测试/试运行流程的AOG样本</w:t>
            </w:r>
          </w:p>
        </w:tc>
      </w:tr>
      <w:tr w14:paraId="0F7BE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vAlign w:val="center"/>
          </w:tcPr>
          <w:p w14:paraId="2E9E7F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原始/有效样本</w:t>
            </w:r>
          </w:p>
        </w:tc>
        <w:tc>
          <w:tcPr>
            <w:tcW w:w="2296" w:type="dxa"/>
            <w:vAlign w:val="center"/>
          </w:tcPr>
          <w:p w14:paraId="340303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1329 / 1044</w:t>
            </w:r>
          </w:p>
        </w:tc>
        <w:tc>
          <w:tcPr>
            <w:tcW w:w="2296" w:type="dxa"/>
            <w:vAlign w:val="center"/>
          </w:tcPr>
          <w:p w14:paraId="7BBB41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333 / 245</w:t>
            </w:r>
          </w:p>
        </w:tc>
        <w:tc>
          <w:tcPr>
            <w:tcW w:w="2296" w:type="dxa"/>
            <w:vAlign w:val="center"/>
          </w:tcPr>
          <w:p w14:paraId="6D4255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两组样本均经人工判断剔除异常样本后统计</w:t>
            </w:r>
          </w:p>
        </w:tc>
      </w:tr>
      <w:tr w14:paraId="19607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vAlign w:val="center"/>
          </w:tcPr>
          <w:p w14:paraId="78EF2D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平均保障时长</w:t>
            </w:r>
          </w:p>
        </w:tc>
        <w:tc>
          <w:tcPr>
            <w:tcW w:w="2296" w:type="dxa"/>
            <w:vAlign w:val="center"/>
          </w:tcPr>
          <w:p w14:paraId="5D4FC1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240 min/单</w:t>
            </w:r>
          </w:p>
        </w:tc>
        <w:tc>
          <w:tcPr>
            <w:tcW w:w="2296" w:type="dxa"/>
            <w:vAlign w:val="center"/>
          </w:tcPr>
          <w:p w14:paraId="524790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155 min/单</w:t>
            </w:r>
          </w:p>
        </w:tc>
        <w:tc>
          <w:tcPr>
            <w:tcW w:w="2296" w:type="dxa"/>
            <w:vAlign w:val="center"/>
          </w:tcPr>
          <w:p w14:paraId="0C8C52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保障时长指从AOG触发到航材送达现场</w:t>
            </w:r>
          </w:p>
        </w:tc>
      </w:tr>
      <w:tr w14:paraId="4646A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vAlign w:val="center"/>
          </w:tcPr>
          <w:p w14:paraId="4E3D56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效率提升</w:t>
            </w:r>
          </w:p>
        </w:tc>
        <w:tc>
          <w:tcPr>
            <w:tcW w:w="2296" w:type="dxa"/>
            <w:vAlign w:val="center"/>
          </w:tcPr>
          <w:p w14:paraId="63A9B3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  <w:tc>
          <w:tcPr>
            <w:tcW w:w="2296" w:type="dxa"/>
            <w:vAlign w:val="center"/>
          </w:tcPr>
          <w:p w14:paraId="289119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—</w:t>
            </w:r>
          </w:p>
        </w:tc>
        <w:tc>
          <w:tcPr>
            <w:tcW w:w="2296" w:type="dxa"/>
            <w:vAlign w:val="center"/>
          </w:tcPr>
          <w:p w14:paraId="15B282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35.4%</w:t>
            </w:r>
          </w:p>
        </w:tc>
      </w:tr>
    </w:tbl>
    <w:p w14:paraId="1469F38D">
      <w:pPr>
        <w:rPr>
          <w:rFonts w:hint="eastAsia" w:ascii="微软雅黑" w:hAnsi="微软雅黑" w:eastAsia="微软雅黑" w:cs="微软雅黑"/>
          <w:color w:val="auto"/>
        </w:rPr>
      </w:pPr>
    </w:p>
    <w:p w14:paraId="4B925D0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114300" distR="114300">
            <wp:extent cx="5471795" cy="3057525"/>
            <wp:effectExtent l="0" t="0" r="508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5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3E73">
      <w:pPr>
        <w:spacing w:before="40" w:after="16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>图</w:t>
      </w:r>
      <w:r>
        <w:rPr>
          <w:rFonts w:hint="eastAsia" w:ascii="微软雅黑" w:hAnsi="微软雅黑" w:cs="微软雅黑"/>
          <w:b w:val="0"/>
          <w:i w:val="0"/>
          <w:color w:val="auto"/>
          <w:sz w:val="21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 xml:space="preserve"> 传统人工模式与系统模式平均保障时长对比</w:t>
      </w:r>
    </w:p>
    <w:p w14:paraId="582CCB31">
      <w:pPr>
        <w:spacing w:before="0" w:after="60" w:line="372" w:lineRule="auto"/>
        <w:ind w:firstLine="420"/>
        <w:jc w:val="both"/>
        <w:rPr>
          <w:rFonts w:hint="eastAsia" w:ascii="Arial" w:hAnsi="Arial" w:eastAsia="微软雅黑" w:cs="Arial"/>
          <w:b w:val="0"/>
          <w:color w:val="333333"/>
          <w:kern w:val="2"/>
          <w:sz w:val="22"/>
          <w:szCs w:val="24"/>
          <w:lang w:val="en-US" w:eastAsia="zh-CN" w:bidi="ar-SA"/>
        </w:rPr>
      </w:pPr>
    </w:p>
    <w:p w14:paraId="4D641EC7">
      <w:pPr>
        <w:ind w:firstLine="220" w:firstLineChars="100"/>
        <w:rPr>
          <w:rFonts w:hint="eastAsia"/>
        </w:rPr>
      </w:pPr>
      <w:r>
        <w:rPr>
          <w:rFonts w:hint="eastAsia"/>
        </w:rPr>
        <w:t>2 历史回放与专家复核</w:t>
      </w:r>
    </w:p>
    <w:p w14:paraId="3A708B23">
      <w:pPr>
        <w:ind w:firstLine="220" w:firstLineChars="100"/>
        <w:rPr>
          <w:rFonts w:hint="eastAsia"/>
        </w:rPr>
      </w:pPr>
      <w:r>
        <w:rPr>
          <w:rFonts w:hint="eastAsia"/>
        </w:rPr>
        <w:t>除统计对照外，项目还采用历史案例回放方式验证系统建议的可执行性。回放样本覆盖连续30天、每天3-5例，共100+例历史案例；由3名资深工程师对系统推荐结果进行复核，采用脚本验证与人工评分相结合的方式，以80分作为测试通过门槛。该方法的作用不在于替代真实运行数据，而在于识别模型归纳错误、规则缺项和数据缺失等问题，为后续优化提供可定位的修正依据。</w:t>
      </w:r>
    </w:p>
    <w:p w14:paraId="6AD5B91F">
      <w:pPr>
        <w:ind w:firstLine="220" w:firstLineChars="100"/>
        <w:rPr>
          <w:rFonts w:hint="eastAsia"/>
        </w:rPr>
      </w:pPr>
      <w:r>
        <w:rPr>
          <w:rFonts w:hint="eastAsia"/>
        </w:rPr>
        <w:t>3 雅典AOG保障案例</w:t>
      </w:r>
    </w:p>
    <w:p w14:paraId="67CB8457">
      <w:pPr>
        <w:ind w:firstLine="220" w:firstLineChars="100"/>
        <w:rPr>
          <w:rFonts w:hint="eastAsia"/>
        </w:rPr>
      </w:pPr>
      <w:r>
        <w:rPr>
          <w:rFonts w:hint="eastAsia"/>
        </w:rPr>
        <w:t>2025年6月7日02:30，某787机型执行浦东—雅典航班时，空中监控到报码30-20080。经与机组卫星通话确认后，AOG团队判断需要在雅典保障大翼防冰电源卡线路板。该航班预计12:18落地雅典，21:15起飞，保障窗口不足9 h。</w:t>
      </w:r>
    </w:p>
    <w:p w14:paraId="49D4AACE">
      <w:pPr>
        <w:ind w:firstLine="220" w:firstLineChars="100"/>
        <w:rPr>
          <w:rFonts w:hint="eastAsia"/>
        </w:rPr>
      </w:pPr>
      <w:r>
        <w:rPr>
          <w:rFonts w:hint="eastAsia"/>
        </w:rPr>
        <w:t>AOG工程师接收到任务后，依托为智能系统打造的智能知识库，先后执行库存查询、预案筛选和供应商联系；07:42完成资源确认，08:02完成物流方案确认。AOG值班人员在过程中承担信息确认、对外联系、决策、信息发布和进度掌控等工作。11:21货代取件并启动运输，19:24航材送达雅典；按本文统计口径，从AOG触发到航材送达现场的保障时长为16 h 54 min。航班最终于21:15关舱起飞。</w:t>
      </w:r>
    </w:p>
    <w:p w14:paraId="7F9A738F">
      <w:pPr>
        <w:ind w:firstLine="220" w:firstLineChars="100"/>
        <w:rPr>
          <w:rFonts w:hint="eastAsia"/>
        </w:rPr>
      </w:pPr>
      <w:r>
        <w:rPr>
          <w:rFonts w:hint="eastAsia"/>
        </w:rPr>
        <w:t>与2024年米兰机械延误处置记录相比，该案例保障时长缩短约3 h。其中，需求确认、资源确认、运输方案确认等环节效率显著提升。案例表明，系统的主要作用不在于替代人工决策，而在于通过预案航司检索、邮件群发和候选方案组织，压缩前端组织时间，使AOG值班工程师能够将精力集中于信息确认、对外协调和执行跟踪等环节。</w:t>
      </w:r>
    </w:p>
    <w:p w14:paraId="517C6990">
      <w:pPr>
        <w:spacing w:after="8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>表</w:t>
      </w:r>
      <w:r>
        <w:rPr>
          <w:rFonts w:hint="eastAsia" w:ascii="微软雅黑" w:hAnsi="微软雅黑" w:cs="微软雅黑"/>
          <w:b w:val="0"/>
          <w:i w:val="0"/>
          <w:color w:val="auto"/>
          <w:sz w:val="21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 w:val="0"/>
          <w:i w:val="0"/>
          <w:color w:val="auto"/>
          <w:sz w:val="21"/>
        </w:rPr>
        <w:t xml:space="preserve"> 雅典AOG保障案例关键节点</w:t>
      </w:r>
    </w:p>
    <w:tbl>
      <w:tblPr>
        <w:tblStyle w:val="1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E828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2F5597"/>
            <w:vAlign w:val="center"/>
          </w:tcPr>
          <w:p w14:paraId="03B14511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时间节点</w:t>
            </w:r>
          </w:p>
        </w:tc>
        <w:tc>
          <w:tcPr>
            <w:tcW w:w="4762" w:type="dxa"/>
            <w:shd w:val="clear" w:color="auto" w:fill="2F5597"/>
            <w:vAlign w:val="center"/>
          </w:tcPr>
          <w:p w14:paraId="2FAC7EC1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事件</w:t>
            </w:r>
          </w:p>
        </w:tc>
        <w:tc>
          <w:tcPr>
            <w:tcW w:w="2494" w:type="dxa"/>
            <w:shd w:val="clear" w:color="auto" w:fill="2F5597"/>
            <w:vAlign w:val="center"/>
          </w:tcPr>
          <w:p w14:paraId="22F04408">
            <w:pP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3980D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12E5F0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02:30</w:t>
            </w:r>
          </w:p>
        </w:tc>
        <w:tc>
          <w:tcPr>
            <w:tcW w:w="3061" w:type="dxa"/>
            <w:vAlign w:val="center"/>
          </w:tcPr>
          <w:p w14:paraId="344861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空中监控报码30-20080并确认需求</w:t>
            </w:r>
          </w:p>
        </w:tc>
        <w:tc>
          <w:tcPr>
            <w:tcW w:w="3061" w:type="dxa"/>
            <w:vAlign w:val="center"/>
          </w:tcPr>
          <w:p w14:paraId="46C4F6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明确保障件与保障窗口</w:t>
            </w:r>
          </w:p>
        </w:tc>
      </w:tr>
      <w:tr w14:paraId="414CA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462AAE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07:42</w:t>
            </w:r>
          </w:p>
        </w:tc>
        <w:tc>
          <w:tcPr>
            <w:tcW w:w="3061" w:type="dxa"/>
            <w:vAlign w:val="center"/>
          </w:tcPr>
          <w:p w14:paraId="6A21EF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完成资源确认</w:t>
            </w:r>
          </w:p>
        </w:tc>
        <w:tc>
          <w:tcPr>
            <w:tcW w:w="3061" w:type="dxa"/>
            <w:vAlign w:val="center"/>
          </w:tcPr>
          <w:p w14:paraId="547302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完成库存查询、预案筛选和供应商联系后的资源确认</w:t>
            </w:r>
          </w:p>
        </w:tc>
      </w:tr>
      <w:tr w14:paraId="565A4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61D7CC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08:02</w:t>
            </w:r>
          </w:p>
        </w:tc>
        <w:tc>
          <w:tcPr>
            <w:tcW w:w="3061" w:type="dxa"/>
            <w:vAlign w:val="center"/>
          </w:tcPr>
          <w:p w14:paraId="5BCE8C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完成物流方案确认</w:t>
            </w:r>
          </w:p>
        </w:tc>
        <w:tc>
          <w:tcPr>
            <w:tcW w:w="3061" w:type="dxa"/>
            <w:vAlign w:val="center"/>
          </w:tcPr>
          <w:p w14:paraId="22A1B3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形成取件与运输路径</w:t>
            </w:r>
          </w:p>
        </w:tc>
      </w:tr>
      <w:tr w14:paraId="7CCCB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7E4880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11:21</w:t>
            </w:r>
          </w:p>
        </w:tc>
        <w:tc>
          <w:tcPr>
            <w:tcW w:w="3061" w:type="dxa"/>
            <w:vAlign w:val="center"/>
          </w:tcPr>
          <w:p w14:paraId="04317F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货代取件并启动运输</w:t>
            </w:r>
          </w:p>
        </w:tc>
        <w:tc>
          <w:tcPr>
            <w:tcW w:w="3061" w:type="dxa"/>
            <w:vAlign w:val="center"/>
          </w:tcPr>
          <w:p w14:paraId="46D688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AOG值班人员持续完成对外联系和进度掌控</w:t>
            </w:r>
          </w:p>
        </w:tc>
      </w:tr>
      <w:tr w14:paraId="0156D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2513A4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19:24</w:t>
            </w:r>
          </w:p>
        </w:tc>
        <w:tc>
          <w:tcPr>
            <w:tcW w:w="3061" w:type="dxa"/>
            <w:vAlign w:val="center"/>
          </w:tcPr>
          <w:p w14:paraId="7C4809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航材送达雅典</w:t>
            </w:r>
          </w:p>
        </w:tc>
        <w:tc>
          <w:tcPr>
            <w:tcW w:w="3061" w:type="dxa"/>
            <w:vAlign w:val="center"/>
          </w:tcPr>
          <w:p w14:paraId="462846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按本文统计口径，保障时长为16 h 54 min</w:t>
            </w:r>
          </w:p>
        </w:tc>
      </w:tr>
      <w:tr w14:paraId="4F3B2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vAlign w:val="center"/>
          </w:tcPr>
          <w:p w14:paraId="315E5B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21:15</w:t>
            </w:r>
          </w:p>
        </w:tc>
        <w:tc>
          <w:tcPr>
            <w:tcW w:w="3061" w:type="dxa"/>
            <w:vAlign w:val="center"/>
          </w:tcPr>
          <w:p w14:paraId="5A3FE5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航班关舱起飞</w:t>
            </w:r>
          </w:p>
        </w:tc>
        <w:tc>
          <w:tcPr>
            <w:tcW w:w="3061" w:type="dxa"/>
            <w:vAlign w:val="center"/>
          </w:tcPr>
          <w:p w14:paraId="3C8A58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满足起飞前装机条件</w:t>
            </w:r>
          </w:p>
        </w:tc>
      </w:tr>
    </w:tbl>
    <w:p w14:paraId="091E8FCB">
      <w:pPr>
        <w:rPr>
          <w:rFonts w:hint="eastAsia" w:ascii="微软雅黑" w:hAnsi="微软雅黑" w:eastAsia="微软雅黑" w:cs="微软雅黑"/>
          <w:color w:val="auto"/>
        </w:rPr>
      </w:pPr>
    </w:p>
    <w:p w14:paraId="5C55CA4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drawing>
          <wp:inline distT="0" distB="0" distL="114300" distR="114300">
            <wp:extent cx="5759450" cy="2431415"/>
            <wp:effectExtent l="0" t="0" r="3175" b="698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9C57B">
      <w:pPr>
        <w:spacing w:before="40" w:after="160"/>
        <w:jc w:val="center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图</w:t>
      </w:r>
      <w:r>
        <w:rPr>
          <w:rFonts w:hint="eastAsia" w:ascii="微软雅黑" w:hAnsi="微软雅黑" w:cs="微软雅黑"/>
          <w:color w:val="auto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color w:val="auto"/>
        </w:rPr>
        <w:t xml:space="preserve"> 雅典AOG保障案例时间轴（蓝色为系统辅助决策，橙色为人工/物流执行）</w:t>
      </w:r>
    </w:p>
    <w:p w14:paraId="1D226A64">
      <w:pPr>
        <w:ind w:firstLine="220" w:firstLineChars="100"/>
        <w:rPr>
          <w:rFonts w:hint="eastAsia"/>
        </w:rPr>
      </w:pPr>
    </w:p>
    <w:p w14:paraId="59D1473E">
      <w:pPr>
        <w:numPr>
          <w:ilvl w:val="0"/>
          <w:numId w:val="1"/>
        </w:numPr>
        <w:rPr>
          <w:b/>
        </w:rPr>
      </w:pPr>
      <w:r>
        <w:rPr>
          <w:rFonts w:hint="eastAsia"/>
          <w:b/>
          <w:lang w:val="en-US" w:eastAsia="zh-CN"/>
        </w:rPr>
        <w:t>讨论</w:t>
      </w:r>
    </w:p>
    <w:p w14:paraId="687B9E74">
      <w:pPr>
        <w:numPr>
          <w:ilvl w:val="0"/>
          <w:numId w:val="0"/>
        </w:numPr>
        <w:ind w:firstLine="420" w:firstLineChars="0"/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  <w:t>从工程实现角度看，本项目之所以能在测试和试运行阶段形成初步效果，关键不只在模型本身。更重要的是把“信息检索”和“业务判断”拆开，先由系统组织出可执行候选，再由工程师确认；同时把不可违反的适航与运输条件前置成硬约束，尽量减少无效候选进入人工视野；再往后，案例、预案、库存和物流数据被纳入同一条检索链路，跨系统协同才有可能真正提速。</w:t>
      </w:r>
    </w:p>
    <w:p w14:paraId="3D33B3C5">
      <w:pPr>
        <w:numPr>
          <w:ilvl w:val="0"/>
          <w:numId w:val="0"/>
        </w:numPr>
        <w:ind w:firstLine="420" w:firstLineChars="0"/>
        <w:rPr>
          <w:rFonts w:hint="eastAsia" w:ascii="Arial" w:hAnsi="Arial" w:cs="Arial"/>
          <w:color w:val="333333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  <w:t>现阶段系统还谈不上成熟运行。模型仍以提示词、RAG</w:t>
      </w:r>
      <w:r>
        <w:rPr>
          <w:rFonts w:hint="eastAsia" w:ascii="Arial" w:hAnsi="Arial" w:cs="Arial"/>
          <w:color w:val="333333"/>
          <w:kern w:val="2"/>
          <w:sz w:val="22"/>
          <w:szCs w:val="22"/>
          <w:lang w:val="en-US" w:eastAsia="zh-CN" w:bidi="ar-SA"/>
        </w:rPr>
        <w:t>知识库优化</w:t>
      </w:r>
      <w:r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  <w:t>为主，尚未进入参数训练阶段；图谱式组织也只覆盖了部分资料；另外，经营指标与工时指标的统计口径还需要继续统一</w:t>
      </w:r>
      <w:r>
        <w:rPr>
          <w:rFonts w:hint="eastAsia" w:ascii="Arial" w:hAnsi="Arial" w:cs="Arial"/>
          <w:color w:val="333333"/>
          <w:kern w:val="2"/>
          <w:sz w:val="22"/>
          <w:szCs w:val="22"/>
          <w:lang w:val="en-US" w:eastAsia="zh-CN" w:bidi="ar-SA"/>
        </w:rPr>
        <w:t>。</w:t>
      </w:r>
    </w:p>
    <w:p w14:paraId="7CE4F788">
      <w:pPr>
        <w:numPr>
          <w:ilvl w:val="0"/>
          <w:numId w:val="0"/>
        </w:numPr>
        <w:ind w:firstLine="420" w:firstLineChars="0"/>
        <w:rPr>
          <w:rFonts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eastAsia="微软雅黑" w:cs="Arial"/>
          <w:color w:val="333333"/>
          <w:kern w:val="2"/>
          <w:sz w:val="22"/>
          <w:szCs w:val="22"/>
          <w:lang w:val="en-US" w:eastAsia="zh-CN" w:bidi="ar-SA"/>
        </w:rPr>
        <w:t>系统上线初期，真正拖慢进度的并不是模型“答不出来”，而是底层数据一致性问题超出了预期。SAP与AMES中同一件号的名称、替代件关系、上下级组件关系、构型关系以及证件状态字段并不完全清晰，早期版本在硬约束校验阶段曾出现“候选已检索到，但被误判为不可执行”的情况；与此同时，文档切片最初按页面切分，站点保障预案、机型保障经验、互换性说明与适用构型信息有时被拆散，检索结果看起来命中，实际上却不足以直接支撑决策。项目组后续没有继续单纯叠加提示词，而是先做主数据治理：补建件号归一表、站点映射表和替代件关系清单，在SAP/AMES同步链路前增加脚本预校验，并将高频错误样本转入人工复核。完成这一轮调整后，系统推荐结果的稳定性才明显提升。这个过程说明，在AOG场景中，模型能力固然重要，但真正决定系统是否可用的，往往还是主数据质量和规则边界是否清楚。</w:t>
      </w:r>
    </w:p>
    <w:p w14:paraId="2A873B9B">
      <w:pPr>
        <w:numPr>
          <w:ilvl w:val="0"/>
          <w:numId w:val="1"/>
        </w:numPr>
        <w:rPr>
          <w:b/>
        </w:rPr>
      </w:pPr>
      <w:r>
        <w:rPr>
          <w:b/>
        </w:rPr>
        <w:t>总结与展望</w:t>
      </w:r>
    </w:p>
    <w:p w14:paraId="21067F8E">
      <w:pPr>
        <w:pStyle w:val="15"/>
        <w:widowControl/>
        <w:ind w:firstLine="420" w:firstLineChars="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本文围绕航材AOG保障中“快而准地形成可执行方案”这一关键问题，提出并实现了一套基于大模型解析、检索增强、</w:t>
      </w:r>
      <w:r>
        <w:rPr>
          <w:rFonts w:hint="eastAsia"/>
          <w:sz w:val="22"/>
          <w:szCs w:val="22"/>
          <w:lang w:val="en-US" w:eastAsia="zh-CN"/>
        </w:rPr>
        <w:t>AI工作流、多智能体协同</w:t>
      </w:r>
      <w:r>
        <w:rPr>
          <w:rFonts w:hint="eastAsia"/>
          <w:sz w:val="22"/>
          <w:szCs w:val="22"/>
        </w:rPr>
        <w:t>的智能保障系统。系统通过构建标准化</w:t>
      </w:r>
      <w:r>
        <w:rPr>
          <w:rFonts w:hint="eastAsia"/>
          <w:sz w:val="22"/>
          <w:szCs w:val="22"/>
          <w:lang w:val="en-US" w:eastAsia="zh-CN"/>
        </w:rPr>
        <w:t>工作流</w:t>
      </w:r>
      <w:r>
        <w:rPr>
          <w:rFonts w:hint="eastAsia"/>
          <w:sz w:val="22"/>
          <w:szCs w:val="22"/>
        </w:rPr>
        <w:t>、结构化数据库与知识库，将传统依赖人工跨系统查询的工作方式转化为可复核、可持续迭代的工程流程。</w:t>
      </w:r>
      <w:r>
        <w:rPr>
          <w:sz w:val="22"/>
          <w:szCs w:val="22"/>
        </w:rPr>
        <w:t xml:space="preserve"> </w:t>
      </w:r>
    </w:p>
    <w:p w14:paraId="5F905887">
      <w:pPr>
        <w:pStyle w:val="15"/>
        <w:widowControl/>
        <w:ind w:firstLine="420" w:firstLineChars="0"/>
        <w:jc w:val="left"/>
        <w:rPr>
          <w:sz w:val="22"/>
          <w:szCs w:val="22"/>
        </w:rPr>
      </w:pPr>
      <w:r>
        <w:rPr>
          <w:sz w:val="22"/>
          <w:szCs w:val="22"/>
        </w:rPr>
        <w:t>从技术发展来看，当前阶段的AI技术已实现对保障流程的智能化赋能。从旅客层面，借助AI驱动的分钟级响应闭环，</w:t>
      </w:r>
      <w:r>
        <w:rPr>
          <w:rFonts w:hint="eastAsia"/>
          <w:sz w:val="22"/>
          <w:szCs w:val="22"/>
        </w:rPr>
        <w:t>可</w:t>
      </w:r>
      <w:r>
        <w:rPr>
          <w:sz w:val="22"/>
          <w:szCs w:val="22"/>
        </w:rPr>
        <w:t>大幅压缩保障周期，有效减少航班延误损失与旅客焦虑情绪，显著提升出行满意度，切实践行“</w:t>
      </w:r>
      <w:r>
        <w:rPr>
          <w:rFonts w:hint="eastAsia"/>
          <w:sz w:val="22"/>
          <w:szCs w:val="22"/>
        </w:rPr>
        <w:t>以人为本</w:t>
      </w:r>
      <w:r>
        <w:rPr>
          <w:sz w:val="22"/>
          <w:szCs w:val="22"/>
        </w:rPr>
        <w:t>”的发展理念；从行业层面，AI技术的精准匹配算法与智能风险管控能力，不仅提升了航材保障效率、降低了运营成本，更强化了飞行安全保障，同时通过AI知识库实现经验的数字化传承，保障服务质量稳定，为行业标准化建设提供了技术支撑，树立了AI赋能应急保障优化的行业标杆。</w:t>
      </w:r>
    </w:p>
    <w:p w14:paraId="06DEAFB2">
      <w:pPr>
        <w:pStyle w:val="15"/>
        <w:widowControl/>
        <w:ind w:firstLine="420" w:firstLineChars="0"/>
        <w:jc w:val="left"/>
        <w:rPr>
          <w:rFonts w:hint="eastAsia"/>
        </w:rPr>
      </w:pPr>
      <w:r>
        <w:rPr>
          <w:sz w:val="22"/>
          <w:szCs w:val="22"/>
        </w:rPr>
        <w:t>展望未来，随着AI技术持续成熟与深度发展，航材AOG智能保障系统将释放更大效力，推动民航保障领域实现跨越式升级。短期来看，系统将依托AI算法的不断优化，提升自主决策的精准度与效率，推动保障流程向全自动化演进，实现任务自动触发、智能规划与高效执行，从而压缩保障周期、提高响应精度；长期而言，AI技术的规模化应用与跨场景拓展将成为核心方向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sz w:val="22"/>
          <w:szCs w:val="22"/>
        </w:rPr>
        <w:t>将系统积累的AI能力与数据经验拓展至维修、运营等全链条场景，构建全流程智能服务生态，筑牢安全防线。随着AI技术的不断深耕，系统将进一步降低旅客出行成本与焦虑，提升出行</w:t>
      </w:r>
      <w:r>
        <w:rPr>
          <w:rFonts w:hint="eastAsia"/>
          <w:sz w:val="22"/>
          <w:szCs w:val="22"/>
          <w:lang w:val="en-US" w:eastAsia="zh-CN"/>
        </w:rPr>
        <w:t>安全感</w:t>
      </w:r>
      <w:r>
        <w:rPr>
          <w:sz w:val="22"/>
          <w:szCs w:val="22"/>
        </w:rPr>
        <w:t xml:space="preserve">与便捷性，为建设“安全、高效、智慧”的民航业注入核心动能，推动我国民航高质量发展，为完善国家综合交通运输体系提供坚实支撑。  </w:t>
      </w: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alibri"/>
    <w:panose1 w:val="00000000000000000000"/>
    <w:charset w:val="00"/>
    <w:family w:val="auto"/>
    <w:pitch w:val="default"/>
    <w:sig w:usb0="00000000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A2B98"/>
    <w:multiLevelType w:val="singleLevel"/>
    <w:tmpl w:val="E13A2B9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44F4E41"/>
    <w:multiLevelType w:val="multilevel"/>
    <w:tmpl w:val="444F4E41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abstractNum w:abstractNumId="2">
    <w:nsid w:val="55AA3095"/>
    <w:multiLevelType w:val="multilevel"/>
    <w:tmpl w:val="55AA3095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documentProtection w:enforcement="0"/>
  <w:defaultTabStop w:val="420"/>
  <w:drawingGridHorizontalSpacing w:val="220"/>
  <w:drawingGridVerticalSpacing w:val="387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025FC"/>
    <w:rsid w:val="00067515"/>
    <w:rsid w:val="000A370F"/>
    <w:rsid w:val="000B62CA"/>
    <w:rsid w:val="00144AF2"/>
    <w:rsid w:val="002A53AA"/>
    <w:rsid w:val="0032438A"/>
    <w:rsid w:val="00365F46"/>
    <w:rsid w:val="003E0B9A"/>
    <w:rsid w:val="005C35DE"/>
    <w:rsid w:val="005D0C2C"/>
    <w:rsid w:val="005F4EAC"/>
    <w:rsid w:val="006138FD"/>
    <w:rsid w:val="00626AA2"/>
    <w:rsid w:val="006828AD"/>
    <w:rsid w:val="0068574D"/>
    <w:rsid w:val="006E696F"/>
    <w:rsid w:val="0071681D"/>
    <w:rsid w:val="007C7A70"/>
    <w:rsid w:val="00890FE1"/>
    <w:rsid w:val="00897A62"/>
    <w:rsid w:val="00901654"/>
    <w:rsid w:val="0090731C"/>
    <w:rsid w:val="009E7FC9"/>
    <w:rsid w:val="00A85D95"/>
    <w:rsid w:val="00AB1D25"/>
    <w:rsid w:val="00AD3D80"/>
    <w:rsid w:val="00B727BA"/>
    <w:rsid w:val="00BE0D57"/>
    <w:rsid w:val="00D14A84"/>
    <w:rsid w:val="00F17553"/>
    <w:rsid w:val="00F50C8B"/>
    <w:rsid w:val="07011CC2"/>
    <w:rsid w:val="07644792"/>
    <w:rsid w:val="09284798"/>
    <w:rsid w:val="0A923284"/>
    <w:rsid w:val="0F2B6FD9"/>
    <w:rsid w:val="134D6475"/>
    <w:rsid w:val="183C240D"/>
    <w:rsid w:val="1AA24D9F"/>
    <w:rsid w:val="26FC4604"/>
    <w:rsid w:val="2767000A"/>
    <w:rsid w:val="27FBD2E2"/>
    <w:rsid w:val="28DA2E89"/>
    <w:rsid w:val="2A4254F9"/>
    <w:rsid w:val="2D1F32F4"/>
    <w:rsid w:val="323B4D81"/>
    <w:rsid w:val="34902D2E"/>
    <w:rsid w:val="34B70380"/>
    <w:rsid w:val="3AB674A5"/>
    <w:rsid w:val="3AE174A3"/>
    <w:rsid w:val="3D741660"/>
    <w:rsid w:val="40F13D60"/>
    <w:rsid w:val="43446334"/>
    <w:rsid w:val="44A84E71"/>
    <w:rsid w:val="477DCE1E"/>
    <w:rsid w:val="4B29588E"/>
    <w:rsid w:val="53D4060B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CE427BB"/>
    <w:rsid w:val="6D535020"/>
    <w:rsid w:val="6E5F49A6"/>
    <w:rsid w:val="6FFF37D2"/>
    <w:rsid w:val="70DE2EF1"/>
    <w:rsid w:val="73D07DF2"/>
    <w:rsid w:val="79D313F3"/>
    <w:rsid w:val="7BF02C26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1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Normal (Web)"/>
    <w:basedOn w:val="1"/>
    <w:uiPriority w:val="0"/>
    <w:rPr>
      <w:sz w:val="24"/>
    </w:rPr>
  </w:style>
  <w:style w:type="paragraph" w:styleId="16">
    <w:name w:val="Title"/>
    <w:basedOn w:val="1"/>
    <w:next w:val="1"/>
    <w:link w:val="24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0">
    <w:name w:val="Hyperlink"/>
    <w:basedOn w:val="19"/>
    <w:qFormat/>
    <w:uiPriority w:val="0"/>
    <w:rPr>
      <w:color w:val="1E6FFF"/>
      <w:u w:val="single"/>
    </w:rPr>
  </w:style>
  <w:style w:type="character" w:customStyle="1" w:styleId="21">
    <w:name w:val="副标题 字符"/>
    <w:basedOn w:val="19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2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table" w:customStyle="1" w:styleId="23">
    <w:name w:val="Doc Table Column 1st"/>
    <w:basedOn w:val="18"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customStyle="1" w:styleId="24">
    <w:name w:val="标题 字符"/>
    <w:basedOn w:val="19"/>
    <w:link w:val="16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5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26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5398</Words>
  <Characters>5787</Characters>
  <Lines>27</Lines>
  <Paragraphs>7</Paragraphs>
  <TotalTime>11</TotalTime>
  <ScaleCrop>false</ScaleCrop>
  <LinksUpToDate>false</LinksUpToDate>
  <CharactersWithSpaces>5827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2026-01-16T03:23:00Z</dcterms:created>
  <dc:creator>屁屁丶</dc:creator>
  <cp:lastModifiedBy>南极熊</cp:lastModifiedBy>
  <dcterms:modified xsi:type="dcterms:W3CDTF">2026-04-02T01:53:52Z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eyJoZGlkIjoiZTQ4ODQwNThiYTg4YTBlNDhkZDRmNGNiNWM5NWE1YzAiLCJ1c2VySWQiOiI4MDk4MzM2NDcifQ==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03D87DE2AFAB4D8DAE2F5C1289BE809A_13</vt:lpwstr>
  </property>
</Properties>
</file>