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61B0B">
      <w:pPr>
        <w:jc w:val="center"/>
        <w:rPr>
          <w:rFonts w:cstheme="majorBidi"/>
          <w:b/>
          <w:bCs/>
          <w:sz w:val="48"/>
          <w:szCs w:val="32"/>
        </w:rPr>
      </w:pPr>
      <w:r>
        <w:rPr>
          <w:rFonts w:hint="eastAsia" w:cstheme="majorBidi"/>
          <w:b/>
          <w:bCs/>
          <w:sz w:val="48"/>
          <w:szCs w:val="32"/>
        </w:rPr>
        <w:t>吉祥航空基于AI技术的航材AOG智能保障系统构建与应用</w:t>
      </w:r>
    </w:p>
    <w:p w14:paraId="657EB8BA">
      <w:r>
        <w:rPr>
          <w:b/>
        </w:rPr>
        <w:t>摘要</w:t>
      </w:r>
      <w:r>
        <w:t>：</w:t>
      </w:r>
      <w:r>
        <w:rPr>
          <w:rFonts w:hint="eastAsia"/>
        </w:rPr>
        <w:t>针对民航航材AOG（飞机停场）保障中信息源分散、跨系统协同复杂、人工判断负担重等问题，本文以吉祥航空AOG业务场景为对象，构建了一套基于大语言模型、RAG增强检索知识库和规则校验机制的智能保障系统。系统围绕“如何快速形成可执行保障方案”这一核心任务，对AOG保障流程进行了重构：在需求解析基础上，完成候选资源检索、适航与运输约束校验、方案组织与人工确认，并通过“提示词优化+RAG检索增强+脚本校验+人工反馈”的方式持续迭代。系统未采用参数微调，而是重点建设结构化知识库、数据映射关系和测试闭环。统计结果显示，传统人工模式下平均保障时长为240 min/单，系统样本平均保障时长为155 min/单，效率提升35.4%，单任务平均节省85 min。本文重点阐述决策架构、数据库与知识库建设方法、模型优化路径以及试运行阶段的验证口径和典型案例，为民航维修领域智能化应用提供工程参考。</w:t>
      </w:r>
    </w:p>
    <w:p w14:paraId="4981AE2E">
      <w:r>
        <w:rPr>
          <w:rFonts w:hint="eastAsia"/>
          <w:b/>
          <w:bCs/>
        </w:rPr>
        <w:t>关键词</w:t>
      </w:r>
      <w:r>
        <w:rPr>
          <w:rFonts w:hint="eastAsia"/>
        </w:rPr>
        <w:t>：航材AOG；人工智能；智能体；</w:t>
      </w:r>
      <w:r>
        <w:rPr>
          <w:rFonts w:hint="eastAsia"/>
          <w:lang w:val="en-US" w:eastAsia="zh-CN"/>
        </w:rPr>
        <w:t>RAG；</w:t>
      </w:r>
      <w:r>
        <w:rPr>
          <w:rFonts w:hint="eastAsia"/>
        </w:rPr>
        <w:t>知识</w:t>
      </w:r>
      <w:r>
        <w:rPr>
          <w:rFonts w:hint="eastAsia"/>
          <w:lang w:val="en-US" w:eastAsia="zh-CN"/>
        </w:rPr>
        <w:t>库</w:t>
      </w:r>
      <w:r>
        <w:rPr>
          <w:rFonts w:hint="eastAsia"/>
        </w:rPr>
        <w:t>；流程重构</w:t>
      </w:r>
    </w:p>
    <w:p w14:paraId="0F040929">
      <w:pPr>
        <w:pBdr>
          <w:bottom w:val="single" w:color="020201" w:sz="4" w:space="0"/>
        </w:pBdr>
      </w:pPr>
    </w:p>
    <w:p w14:paraId="28E01355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465CAFFD">
      <w:pPr>
        <w:ind w:firstLine="418" w:firstLineChars="190"/>
        <w:rPr>
          <w:rFonts w:hint="eastAsia"/>
        </w:rPr>
      </w:pPr>
      <w:r>
        <w:rPr>
          <w:rFonts w:hint="eastAsia"/>
        </w:rPr>
        <w:t>当前，民航维修保障正在加快向数字化、智能化方向演进。吉祥航空于2025年启动“航材AOG智能体创新实践”，尝试以AI技术重构AOG保障流程。项目的出发点并非简单引入大模型，而是针对既有AOG处置中的实际瓶颈进行工程化改造。</w:t>
      </w:r>
    </w:p>
    <w:p w14:paraId="14D186DC">
      <w:pPr>
        <w:ind w:firstLine="418" w:firstLineChars="190"/>
        <w:rPr>
          <w:rFonts w:hint="eastAsia"/>
        </w:rPr>
      </w:pPr>
      <w:r>
        <w:rPr>
          <w:rFonts w:hint="eastAsia"/>
        </w:rPr>
        <w:t>在传统AOG保障模式下，AOG值班工程师需要在多个系统和资料源之间切换，完成航材主数据、库存状态、历史案例、站点预案、外部资源以及适航证件等信息核查；同时还要结合件号互换性、构型适配、证件完整性和运输条件进行可执行性判断。在国际AOG场景下，由于沟通链路更长、时效要求更高，方案生成效率和执行一致性更容易受到影响。</w:t>
      </w:r>
    </w:p>
    <w:p w14:paraId="20AB54C1">
      <w:pPr>
        <w:ind w:firstLine="418" w:firstLineChars="190"/>
        <w:rPr>
          <w:rFonts w:hint="eastAsia"/>
        </w:rPr>
      </w:pPr>
      <w:r>
        <w:rPr>
          <w:rFonts w:hint="eastAsia"/>
        </w:rPr>
        <w:t>基于上述业务背景，本文围绕“如何快速形成可执行保障方案”这一问题展开，重点讨论工作流重构、决策架构、数据库与知识库建设、模型与规则协同优化方式，以及试运行阶段的验证口径和典型案例。</w:t>
      </w:r>
    </w:p>
    <w:p w14:paraId="6F80521D">
      <w:pPr>
        <w:rPr>
          <w:rFonts w:hint="eastAsia"/>
        </w:rPr>
      </w:pPr>
    </w:p>
    <w:p w14:paraId="28DB0B49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  <w:lang w:val="en-US" w:eastAsia="zh-CN"/>
        </w:rPr>
        <w:t>业务痛点与问题定义</w:t>
      </w:r>
    </w:p>
    <w:p w14:paraId="19CC3364">
      <w:pPr>
        <w:ind w:firstLine="418" w:firstLineChars="190"/>
        <w:rPr>
          <w:rFonts w:hint="eastAsia"/>
        </w:rPr>
      </w:pPr>
      <w:r>
        <w:rPr>
          <w:rFonts w:hint="eastAsia"/>
        </w:rPr>
        <w:t>近年来，随着航线网络持续加密、机队规模稳步扩大，AOG保障需求持续增长。AOG保障的核心目标是在满足适航与运行要求的前提下，以尽可能短的时间完成故障件确认、资源组织、运输协调、装机更换和放行恢复。对于跨区域、跨时区航班而言，保障链路通常涉及库存查询、适航证件核对、协议单位联系、物流运输衔接以及执行状态跟踪等多个环节，任一环节延迟都可能导致航班延误扩大。</w:t>
      </w:r>
    </w:p>
    <w:p w14:paraId="2FB93146">
      <w:pPr>
        <w:ind w:firstLine="418" w:firstLineChars="190"/>
        <w:rPr>
          <w:rFonts w:hint="eastAsia"/>
        </w:rPr>
      </w:pPr>
      <w:r>
        <w:rPr>
          <w:rFonts w:hint="eastAsia"/>
        </w:rPr>
        <w:t>吉祥航空既有实践表明，传统保障模式的主要问题并不只是“流程多”，而是“信息分散+判断集中”叠加导致处置效率受限。工程师在处置过程中需要同时完成信息归集、候选方案筛选和执行跟踪。单次国际AOG航材保障耗时可达18 h，前端组织时间长是主要制约因素。</w:t>
      </w:r>
    </w:p>
    <w:p w14:paraId="34A7F1FA">
      <w:pPr>
        <w:ind w:firstLine="418" w:firstLineChars="190"/>
        <w:rPr>
          <w:rFonts w:hint="eastAsia"/>
        </w:rPr>
      </w:pPr>
      <w:r>
        <w:rPr>
          <w:rFonts w:hint="eastAsia"/>
        </w:rPr>
        <w:t>从任务结构看，AOG保障至少包含以下三个关键问题：</w:t>
      </w:r>
    </w:p>
    <w:p w14:paraId="1DEC420E">
      <w:pPr>
        <w:numPr>
          <w:ilvl w:val="0"/>
          <w:numId w:val="2"/>
        </w:numPr>
        <w:ind w:firstLine="418" w:firstLineChars="190"/>
        <w:rPr>
          <w:rFonts w:hint="eastAsia"/>
        </w:rPr>
      </w:pPr>
      <w:r>
        <w:rPr>
          <w:rFonts w:hint="eastAsia"/>
        </w:rPr>
        <w:t>需求进入系统后，需要快速识别件号、航站、航班时刻、故障原因和保障等级等关键信息；</w:t>
      </w:r>
    </w:p>
    <w:p w14:paraId="53EC7135">
      <w:pPr>
        <w:numPr>
          <w:ilvl w:val="0"/>
          <w:numId w:val="2"/>
        </w:numPr>
        <w:ind w:firstLine="418" w:firstLineChars="190"/>
        <w:rPr>
          <w:rFonts w:hint="eastAsia"/>
        </w:rPr>
      </w:pPr>
      <w:r>
        <w:rPr>
          <w:rFonts w:hint="eastAsia"/>
        </w:rPr>
        <w:t>候选保障方案并非来自单一来源，而是需要在自有库存、共享库存、协议航司、OEM/供应商、租借件或调拨件、停场飞机拆件、采购订单及修理周转件之间进行检索和组合；</w:t>
      </w:r>
    </w:p>
    <w:p w14:paraId="52C2E95F">
      <w:pPr>
        <w:numPr>
          <w:ilvl w:val="0"/>
          <w:numId w:val="2"/>
        </w:numPr>
        <w:ind w:firstLine="418" w:firstLineChars="190"/>
        <w:rPr>
          <w:rFonts w:hint="eastAsia"/>
        </w:rPr>
      </w:pPr>
      <w:r>
        <w:rPr>
          <w:rFonts w:hint="eastAsia"/>
        </w:rPr>
        <w:t>候选方案必须同时满足可用性、适航性和运输约束，并在可执行候选中进一步比较时效与成本。</w:t>
      </w:r>
    </w:p>
    <w:p w14:paraId="1BFD7EA7">
      <w:r>
        <w:drawing>
          <wp:inline distT="0" distB="0" distL="114300" distR="114300">
            <wp:extent cx="5271770" cy="252857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2CC2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图1 单次国际AOG保障耗时18小时</w:t>
      </w:r>
      <w:r>
        <w:drawing>
          <wp:inline distT="0" distB="0" distL="114300" distR="114300">
            <wp:extent cx="5264150" cy="2376805"/>
            <wp:effectExtent l="0" t="0" r="3175" b="4445"/>
            <wp:docPr id="2" name="图片 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E5D4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图2 引入AI后AOG保障效率可大幅提升</w:t>
      </w:r>
    </w:p>
    <w:p w14:paraId="74F83521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实施目标</w:t>
      </w:r>
    </w:p>
    <w:p w14:paraId="089B137C">
      <w:pPr>
        <w:pStyle w:val="26"/>
        <w:numPr>
          <w:ilvl w:val="0"/>
          <w:numId w:val="3"/>
        </w:numPr>
        <w:ind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业务目标</w:t>
      </w:r>
    </w:p>
    <w:p w14:paraId="695916C5">
      <w:pPr>
        <w:pStyle w:val="26"/>
        <w:ind w:left="440" w:firstLine="0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本项目的建设目标不是替代工程师做最终决策判断，而是在最耗时的“信息获取—预案锁定—知识库检索—适航性校验—方案跟踪”环节提供标准化、可复核的辅助决策能力，将AOG值班工程师从重复性检索和群发沟通工作中释放出来，使其把精力更多投入到异常处置和关键决策中。</w:t>
      </w:r>
    </w:p>
    <w:p w14:paraId="6E196359">
      <w:pPr>
        <w:pStyle w:val="26"/>
        <w:numPr>
          <w:ilvl w:val="0"/>
          <w:numId w:val="3"/>
        </w:numPr>
        <w:ind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企业目标</w:t>
      </w:r>
    </w:p>
    <w:p w14:paraId="0EA318BE">
      <w:pPr>
        <w:pStyle w:val="26"/>
        <w:ind w:left="440" w:firstLine="0" w:firstLineChars="0"/>
        <w:rPr>
          <w:rFonts w:hint="eastAsia"/>
        </w:rPr>
      </w:pPr>
      <w:r>
        <w:rPr>
          <w:rFonts w:hint="eastAsia"/>
        </w:rPr>
        <w:t>项目希望建立“业务驱动、IT协同”的AI产品落地范式，形成从场景识别到分阶段交付的可复用流程；沉淀“AI+业务系统”分层融合的技术架构模板，以标准化方式降低后续项目集成门槛；同时培养兼具业务理解和技术能力的复合型团队，并形成适用于复杂业务场景的迭代机制和质量控制方法。</w:t>
      </w:r>
    </w:p>
    <w:p w14:paraId="01AA5615">
      <w:pPr>
        <w:numPr>
          <w:ilvl w:val="0"/>
          <w:numId w:val="1"/>
        </w:numPr>
        <w:rPr>
          <w:b/>
          <w:bCs w:val="0"/>
        </w:rPr>
      </w:pPr>
      <w:r>
        <w:rPr>
          <w:b/>
          <w:bCs w:val="0"/>
        </w:rPr>
        <w:t>系统架构设计与技术实现</w:t>
      </w:r>
    </w:p>
    <w:p w14:paraId="323F1587">
      <w:pPr>
        <w:ind w:firstLine="420" w:firstLineChars="0"/>
        <w:rPr>
          <w:rFonts w:hint="eastAsia"/>
        </w:rPr>
      </w:pPr>
      <w:r>
        <w:rPr>
          <w:rFonts w:hint="eastAsia"/>
        </w:rPr>
        <w:t>为解决上述问题，系统总体采用“多源数据接入+需求解析+知识检索+规则校验+方案组织”的分层架构。上层接收网页、移动端或邮件渠道进入的AOG求援信息；中层完成文本理解、候选资源检索和方案组织；底层对接SAP、AMES及相关业务资料库，实现库存、主数据、证件、预案和案例信息调用。相较于以页面展示为中心的建设方式，该系统更强调数据流与决策流的一致性。</w:t>
      </w:r>
    </w:p>
    <w:p w14:paraId="61FFBCC3">
      <w:r>
        <w:drawing>
          <wp:inline distT="0" distB="0" distL="114300" distR="114300">
            <wp:extent cx="5274945" cy="2485390"/>
            <wp:effectExtent l="0" t="0" r="825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4509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图3 系统架构设计</w:t>
      </w:r>
    </w:p>
    <w:p w14:paraId="54646C86">
      <w:pPr>
        <w:numPr>
          <w:ilvl w:val="0"/>
          <w:numId w:val="4"/>
        </w:numPr>
        <w:jc w:val="left"/>
      </w:pPr>
      <w:r>
        <w:rPr>
          <w:rFonts w:hint="eastAsia"/>
          <w:b/>
          <w:lang w:val="en-US" w:eastAsia="zh-CN"/>
        </w:rPr>
        <w:t>决策架构与工作流重构</w:t>
      </w:r>
      <w:r>
        <w:rPr>
          <w:b/>
        </w:rPr>
        <w:t>：</w:t>
      </w:r>
    </w:p>
    <w:p w14:paraId="76685C6B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系统采用“分布式智能体+集中式决策”工作流模式，将保障流程拆分为需求解析、资源确认、运输规划、航材出库和在途监控等模块，由子智能体并行处理，再由中央决策智能体进行汇总。就具体决策过程而言，系统的处理逻辑可以概括为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步：</w:t>
      </w:r>
    </w:p>
    <w:p w14:paraId="2F0E6FF6">
      <w:pPr>
        <w:numPr>
          <w:ilvl w:val="1"/>
          <w:numId w:val="5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解析AOG需求，提取件号、航站、航班时刻、故障原因和保障等级等关键信息；</w:t>
      </w:r>
    </w:p>
    <w:p w14:paraId="0DD41424">
      <w:pPr>
        <w:numPr>
          <w:ilvl w:val="1"/>
          <w:numId w:val="5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围绕自有库存、共享库存、协议航司、OEM/供应商、租借件、调拨件、停场飞机拆件、采购订单和修理周转件生成候选资源；</w:t>
      </w:r>
    </w:p>
    <w:p w14:paraId="2781A810">
      <w:pPr>
        <w:numPr>
          <w:ilvl w:val="1"/>
          <w:numId w:val="5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对候选资源执行适航性、证件完整性、构型适配、件号互换性以及运输条件校验，过滤不可执行候选；</w:t>
      </w:r>
    </w:p>
    <w:p w14:paraId="47D01026">
      <w:pPr>
        <w:numPr>
          <w:ilvl w:val="1"/>
          <w:numId w:val="5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在可执行候选中组织保障方案，供AOG值班工程师进行确认、对外协调和执行跟踪。</w:t>
      </w:r>
    </w:p>
    <w:p w14:paraId="2A2C03C8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因此，系统的作用不是直接替代人工拍板，而是把原本分散在不同系统和资料中的信息前置组织出来，将工程师的判断重心从“找信息”转向“确认与决策”。在该工作流下，资源确认、运输规划、航材出库和在途监控等模块可并行处理，分钟级输出候选方案，方案输出效率较人工模式提升3倍以上。</w:t>
      </w:r>
    </w:p>
    <w:p w14:paraId="2AF97BFA">
      <w:pPr>
        <w:numPr>
          <w:ilvl w:val="0"/>
          <w:numId w:val="0"/>
        </w:numPr>
        <w:ind w:leftChars="0" w:firstLine="420" w:firstLineChars="0"/>
        <w:jc w:val="left"/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114300" distR="114300">
            <wp:extent cx="4759960" cy="2210435"/>
            <wp:effectExtent l="0" t="0" r="2540" b="12065"/>
            <wp:docPr id="11" name="图片 1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A804">
      <w:pPr>
        <w:pStyle w:val="26"/>
        <w:ind w:left="336" w:firstLine="0" w:firstLineChars="0"/>
        <w:jc w:val="center"/>
      </w:pPr>
      <w:r>
        <w:rPr>
          <w:rFonts w:hint="eastAsia"/>
          <w:sz w:val="20"/>
          <w:szCs w:val="21"/>
        </w:rPr>
        <w:t>图4 智能体搭建</w:t>
      </w:r>
    </w:p>
    <w:p w14:paraId="51D6A4A8">
      <w:pPr>
        <w:numPr>
          <w:ilvl w:val="0"/>
          <w:numId w:val="4"/>
        </w:numPr>
        <w:jc w:val="left"/>
      </w:pPr>
      <w:r>
        <w:rPr>
          <w:rFonts w:hint="eastAsia"/>
          <w:b/>
          <w:lang w:val="en-US" w:eastAsia="zh-CN"/>
        </w:rPr>
        <w:t>数据库与</w:t>
      </w:r>
      <w:r>
        <w:rPr>
          <w:b/>
        </w:rPr>
        <w:t>知识库</w:t>
      </w:r>
      <w:r>
        <w:rPr>
          <w:rFonts w:hint="eastAsia"/>
          <w:b/>
          <w:lang w:val="en-US" w:eastAsia="zh-CN"/>
        </w:rPr>
        <w:t>构建</w:t>
      </w:r>
      <w:r>
        <w:rPr>
          <w:b/>
        </w:rPr>
        <w:t>：</w:t>
      </w:r>
    </w:p>
    <w:p w14:paraId="306BBF84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bCs/>
        </w:rPr>
      </w:pPr>
      <w:r>
        <w:rPr>
          <w:rFonts w:hint="eastAsia"/>
          <w:bCs/>
        </w:rPr>
        <w:t>系统在知识层和数据层的建设并行推进。知识层基于Embedding向量化和RAG检索增强技术，将100+份保障预案</w:t>
      </w:r>
      <w:r>
        <w:rPr>
          <w:rFonts w:hint="eastAsia"/>
          <w:bCs/>
          <w:lang w:val="en-US" w:eastAsia="zh-CN"/>
        </w:rPr>
        <w:t>和10000+</w:t>
      </w:r>
      <w:r>
        <w:rPr>
          <w:rFonts w:hint="eastAsia"/>
          <w:bCs/>
        </w:rPr>
        <w:t>历史案例转化为结构化知识体系；知识按照“航材属性、故障类型、保障流程、替代方案”等维度进行标签化分类，形成可检索的知识网络，并支持库存状态和优化结果的动态同步。</w:t>
      </w:r>
    </w:p>
    <w:p w14:paraId="2DC1264C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bCs/>
        </w:rPr>
      </w:pPr>
      <w:r>
        <w:rPr>
          <w:rFonts w:hint="eastAsia"/>
          <w:bCs/>
        </w:rPr>
        <w:t>数据层的关键工作不是简单接入SAP和AMES，而是补齐能够支撑规则校验的数据关系。项目推进过程中发现，SAP与AMES中同一件号的名称、替代件关系、上下级组件关系、构型关系以及证件状态字段并不完全清晰，早期版本在硬约束校验阶段曾出现“候选已检索到，但被误判为不可执行”的情况。为此，项目组补建了件号归一表、站点映射表和替代件关系清单，并在SAP/AMES同步链路前增加脚本预校验，将高频错误样本转入人工复核。</w:t>
      </w:r>
    </w:p>
    <w:p w14:paraId="524AEC96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bCs/>
        </w:rPr>
      </w:pPr>
      <w:r>
        <w:rPr>
          <w:rFonts w:hint="eastAsia"/>
          <w:bCs/>
        </w:rPr>
        <w:t>此外，项目还对文档切片方式进行了调整。初始阶段按页面切分资料时，站点保障预案、机型保障经验、互换性说明与适用构型信息有时被拆散，造成“检索命中但不足以直接支撑决策”的问题。后续通过知识切片和主数据治理同步优化，系统推荐结果的稳定性才明显提升。该过程表明，在AOG场景中，数据库与知识库建设质量直接影响系统可用性。</w:t>
      </w:r>
    </w:p>
    <w:p w14:paraId="4015F851">
      <w:pPr>
        <w:numPr>
          <w:ilvl w:val="0"/>
          <w:numId w:val="0"/>
        </w:numPr>
        <w:ind w:leftChars="0" w:firstLine="420" w:firstLineChars="0"/>
        <w:jc w:val="left"/>
      </w:pPr>
      <w:r>
        <w:drawing>
          <wp:inline distT="0" distB="0" distL="114300" distR="114300">
            <wp:extent cx="4870450" cy="215773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3060">
      <w:pPr>
        <w:pStyle w:val="26"/>
        <w:ind w:left="336" w:firstLine="0" w:firstLineChars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图5 AI知识库搭建</w:t>
      </w:r>
    </w:p>
    <w:p w14:paraId="141D2F6D">
      <w:pPr>
        <w:numPr>
          <w:ilvl w:val="0"/>
          <w:numId w:val="4"/>
        </w:numPr>
        <w:jc w:val="left"/>
      </w:pPr>
      <w:r>
        <w:rPr>
          <w:b/>
        </w:rPr>
        <w:t>多级</w:t>
      </w:r>
      <w:r>
        <w:rPr>
          <w:rFonts w:hint="eastAsia"/>
          <w:b/>
          <w:lang w:val="en-US" w:eastAsia="zh-CN"/>
        </w:rPr>
        <w:t>协同与提示词管理</w:t>
      </w:r>
      <w:r>
        <w:rPr>
          <w:b/>
        </w:rPr>
        <w:t>：</w:t>
      </w:r>
    </w:p>
    <w:p w14:paraId="206002D6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系统构建了“系统—岗位—体系—航司”四级协同体系。系统层面，通过标准化接口集成内部业务系统；岗位层面，依托大模型完成AOG需求解析和任务派发；体系层面，串联保障关键节点，形成闭环管理；航司层面，通过接口对接外部资源，支持自动化协作。其本质是把原本分散的信息、岗位动作和外部协作链路纳入同一套流程框架中。</w:t>
      </w:r>
    </w:p>
    <w:p w14:paraId="20FB1120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为提高大模型对专业需求的理解准确性，系统设置了提示词管理模块，用于持续优化场景适配能力。该模块支持围绕AOG业务表达方式、字段抽取方式和输出结构进行调试，以减少误读和漏读。提示词优化并不是独立存在，而是与知识检索、规则校验和人工反馈共同作用。</w:t>
      </w:r>
    </w:p>
    <w:p w14:paraId="25E414BE">
      <w:pPr>
        <w:numPr>
          <w:ilvl w:val="0"/>
          <w:numId w:val="0"/>
        </w:numPr>
        <w:ind w:leftChars="0"/>
        <w:jc w:val="left"/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2486025" cy="1980565"/>
            <wp:effectExtent l="0" t="0" r="3175" b="6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8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4710" cy="2139950"/>
            <wp:effectExtent l="0" t="0" r="889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EA8A">
      <w:pPr>
        <w:pStyle w:val="26"/>
        <w:ind w:left="336" w:firstLine="0" w:firstLineChars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图6 智能体交互设计</w:t>
      </w:r>
    </w:p>
    <w:p w14:paraId="39FC8448">
      <w:pPr>
        <w:ind w:left="336"/>
        <w:jc w:val="center"/>
      </w:pPr>
      <w:r>
        <w:drawing>
          <wp:inline distT="0" distB="0" distL="114300" distR="114300">
            <wp:extent cx="4883150" cy="3228340"/>
            <wp:effectExtent l="0" t="0" r="1270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32898" t="10438" b="-742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2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00F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图7 智能体提示词管理</w:t>
      </w:r>
    </w:p>
    <w:p w14:paraId="60A7D690">
      <w:pPr>
        <w:numPr>
          <w:ilvl w:val="0"/>
          <w:numId w:val="4"/>
        </w:numPr>
        <w:jc w:val="left"/>
      </w:pPr>
      <w:r>
        <w:rPr>
          <w:rFonts w:hint="eastAsia"/>
          <w:b/>
          <w:lang w:val="en-US" w:eastAsia="zh-CN"/>
        </w:rPr>
        <w:t>模型优化与</w:t>
      </w:r>
      <w:r>
        <w:rPr>
          <w:b/>
        </w:rPr>
        <w:t>持续</w:t>
      </w:r>
      <w:r>
        <w:rPr>
          <w:rFonts w:hint="eastAsia"/>
          <w:b/>
        </w:rPr>
        <w:t>迭代</w:t>
      </w:r>
      <w:r>
        <w:rPr>
          <w:b/>
        </w:rPr>
        <w:t>：</w:t>
      </w:r>
    </w:p>
    <w:p w14:paraId="0C6A6BA4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航材AOG保障属于高度细分的专业场景。基于业务特性和AI技术分析，系统在模型侧未采用微调或LoRA训练，而是使用“提示词优化+RAG检索增强+脚本校验+人工反馈”的组合方式进行优化。其迭代闭环为“脚本测试—人工评分—复盘修正”。</w:t>
      </w:r>
    </w:p>
    <w:p w14:paraId="2A8A455F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具体做法为：由AOG支援工程师根据实际保障案例编写测试脚本，测试人员根据脚本和测试系统数据逐项验证，资深AOG支援工程师对测试结果进行人工评分，IT工程师根据不达标任务进一步优化提示词和知识库。项目累计形成至少150份测试脚本，完成6000+任务测试，通过上百轮提示词调优和知识库优化，在测试阶段达到80分（总分100分）的通过门槛。</w:t>
      </w:r>
    </w:p>
    <w:p w14:paraId="43BC62F6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这一优化路径的重点不在于改变底层模型参数，而在于通过业务脚本、知识质量和规则边界持续提升系统在专业场景中的稳定性。</w:t>
      </w:r>
    </w:p>
    <w:p w14:paraId="276B8E08">
      <w:pPr>
        <w:ind w:left="336"/>
        <w:jc w:val="center"/>
      </w:pPr>
      <w:r>
        <w:drawing>
          <wp:inline distT="0" distB="0" distL="114300" distR="114300">
            <wp:extent cx="3816985" cy="3498850"/>
            <wp:effectExtent l="0" t="0" r="0" b="6350"/>
            <wp:docPr id="12" name="图片 12" descr="企业微信截图_1768467854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企业微信截图_176846785496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C22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图8 持续迭代机制</w:t>
      </w:r>
    </w:p>
    <w:p w14:paraId="64349482">
      <w:pPr>
        <w:numPr>
          <w:ilvl w:val="0"/>
          <w:numId w:val="1"/>
        </w:numPr>
        <w:rPr>
          <w:b/>
        </w:rPr>
      </w:pPr>
      <w:r>
        <w:rPr>
          <w:rFonts w:hint="eastAsia"/>
          <w:b/>
          <w:lang w:val="en-US" w:eastAsia="zh-CN"/>
        </w:rPr>
        <w:t>验证</w:t>
      </w:r>
      <w:r>
        <w:rPr>
          <w:b/>
        </w:rPr>
        <w:t>与</w:t>
      </w:r>
      <w:r>
        <w:rPr>
          <w:rFonts w:hint="eastAsia"/>
          <w:b/>
          <w:lang w:val="en-US" w:eastAsia="zh-CN"/>
        </w:rPr>
        <w:t>应用成果</w:t>
      </w:r>
    </w:p>
    <w:p w14:paraId="0208963B">
      <w:pPr>
        <w:pStyle w:val="3"/>
        <w:spacing w:before="160" w:after="80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1 统计验证口径</w:t>
      </w:r>
    </w:p>
    <w:p w14:paraId="7FE336FC">
      <w:pPr>
        <w:spacing w:before="0" w:after="60" w:line="372" w:lineRule="auto"/>
        <w:ind w:firstLine="420"/>
        <w:jc w:val="both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统计验证采用“历史基准组—系统实验组”对照方式。本文所称保障时长，指从AOG触发到航材送达现场的时长。基准组为2024年1月至2024年12月传统人工模式下的AOG保障记录，原始样本1329项，经人工判断剔除异常样本后得到有效样本1044项；实验组为2025年1月至2025年12月纳入系统测试/试运行流程的AOG样本，原始样本333项，经人工判断剔除异常样本后得到有效样本245项。</w:t>
      </w:r>
    </w:p>
    <w:p w14:paraId="26743C36">
      <w:pPr>
        <w:spacing w:before="0" w:after="60" w:line="372" w:lineRule="auto"/>
        <w:ind w:firstLine="420"/>
        <w:jc w:val="both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传统模式下平均保障时长为240 min/单，系统样本平均保障时长为155 min/单，按“（基准组平均时长－实验组平均时长）/基准组平均时长×100%”计算，效率提升35.4%，单任务平均节省85 min。</w:t>
      </w: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79828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2F5597"/>
            <w:vAlign w:val="center"/>
          </w:tcPr>
          <w:p w14:paraId="3A9D617A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指标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15ADEA90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基准组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6D785E5E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实验组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4EFCA9E7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结果/说明</w:t>
            </w:r>
          </w:p>
        </w:tc>
      </w:tr>
      <w:tr w14:paraId="0236E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6A6D9E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样本范围</w:t>
            </w:r>
          </w:p>
        </w:tc>
        <w:tc>
          <w:tcPr>
            <w:tcW w:w="2296" w:type="dxa"/>
            <w:vAlign w:val="center"/>
          </w:tcPr>
          <w:p w14:paraId="68255F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2024-01至2024-12</w:t>
            </w:r>
          </w:p>
        </w:tc>
        <w:tc>
          <w:tcPr>
            <w:tcW w:w="2296" w:type="dxa"/>
            <w:vAlign w:val="center"/>
          </w:tcPr>
          <w:p w14:paraId="51631C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2025-01至2025-12</w:t>
            </w:r>
          </w:p>
        </w:tc>
        <w:tc>
          <w:tcPr>
            <w:tcW w:w="2296" w:type="dxa"/>
            <w:vAlign w:val="center"/>
          </w:tcPr>
          <w:p w14:paraId="040958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实验组为2025年度纳入系统测试/试运行流程的AOG样本</w:t>
            </w:r>
          </w:p>
        </w:tc>
      </w:tr>
      <w:tr w14:paraId="0F7B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2E9E7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原始/有效样本</w:t>
            </w:r>
          </w:p>
        </w:tc>
        <w:tc>
          <w:tcPr>
            <w:tcW w:w="2296" w:type="dxa"/>
            <w:vAlign w:val="center"/>
          </w:tcPr>
          <w:p w14:paraId="340303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1329 / 1044</w:t>
            </w:r>
          </w:p>
        </w:tc>
        <w:tc>
          <w:tcPr>
            <w:tcW w:w="2296" w:type="dxa"/>
            <w:vAlign w:val="center"/>
          </w:tcPr>
          <w:p w14:paraId="7BBB4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333 / 245</w:t>
            </w:r>
          </w:p>
        </w:tc>
        <w:tc>
          <w:tcPr>
            <w:tcW w:w="2296" w:type="dxa"/>
            <w:vAlign w:val="center"/>
          </w:tcPr>
          <w:p w14:paraId="6D4255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两组样本均经人工判断剔除异常样本后统计</w:t>
            </w:r>
          </w:p>
        </w:tc>
      </w:tr>
      <w:tr w14:paraId="19607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78EF2D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平均保障时长</w:t>
            </w:r>
          </w:p>
        </w:tc>
        <w:tc>
          <w:tcPr>
            <w:tcW w:w="2296" w:type="dxa"/>
            <w:vAlign w:val="center"/>
          </w:tcPr>
          <w:p w14:paraId="5D4FC1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240 min/单</w:t>
            </w:r>
          </w:p>
        </w:tc>
        <w:tc>
          <w:tcPr>
            <w:tcW w:w="2296" w:type="dxa"/>
            <w:vAlign w:val="center"/>
          </w:tcPr>
          <w:p w14:paraId="524790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155 min/单</w:t>
            </w:r>
          </w:p>
        </w:tc>
        <w:tc>
          <w:tcPr>
            <w:tcW w:w="2296" w:type="dxa"/>
            <w:vAlign w:val="center"/>
          </w:tcPr>
          <w:p w14:paraId="0C8C52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保障时长指从AOG触发到航材送达现场</w:t>
            </w:r>
          </w:p>
        </w:tc>
      </w:tr>
      <w:tr w14:paraId="4646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4E3D56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效率提升</w:t>
            </w:r>
          </w:p>
        </w:tc>
        <w:tc>
          <w:tcPr>
            <w:tcW w:w="2296" w:type="dxa"/>
            <w:vAlign w:val="center"/>
          </w:tcPr>
          <w:p w14:paraId="63A9B3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tcPr>
            <w:tcW w:w="2296" w:type="dxa"/>
            <w:vAlign w:val="center"/>
          </w:tcPr>
          <w:p w14:paraId="289119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tcPr>
            <w:tcW w:w="2296" w:type="dxa"/>
            <w:vAlign w:val="center"/>
          </w:tcPr>
          <w:p w14:paraId="15B282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35.4%</w:t>
            </w:r>
          </w:p>
        </w:tc>
      </w:tr>
    </w:tbl>
    <w:p w14:paraId="5EC5CF36">
      <w:pPr>
        <w:spacing w:after="8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表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统计验证口径与结果</w:t>
      </w:r>
    </w:p>
    <w:p w14:paraId="4B925D0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114300" distR="114300">
            <wp:extent cx="5471795" cy="3057525"/>
            <wp:effectExtent l="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3E73">
      <w:pPr>
        <w:spacing w:before="40" w:after="16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图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传统人工模式与系统模式平均保障时长对比</w:t>
      </w:r>
    </w:p>
    <w:p w14:paraId="4D641EC7">
      <w:pPr>
        <w:ind w:firstLine="220" w:firstLineChars="100"/>
        <w:rPr>
          <w:rFonts w:hint="eastAsia"/>
        </w:rPr>
      </w:pPr>
      <w:r>
        <w:rPr>
          <w:rFonts w:hint="eastAsia"/>
        </w:rPr>
        <w:t>2 历史回放与专家复核</w:t>
      </w:r>
    </w:p>
    <w:p w14:paraId="3A708B23">
      <w:pPr>
        <w:ind w:firstLine="420" w:firstLineChars="0"/>
        <w:rPr>
          <w:rFonts w:hint="eastAsia"/>
        </w:rPr>
      </w:pPr>
      <w:r>
        <w:rPr>
          <w:rFonts w:hint="eastAsia"/>
        </w:rPr>
        <w:t>除统计对照外，项目还采用历史案例回放方式验证系统建议的可执行性。回放样本覆盖连续30天、每天3—5例，共100+例历史案例；由3名资深工程师对系统推荐结果进行复核，采用脚本验证与人工评分相结合的方式，以80分作为测试通过门槛。该方法的作用不在于替代真实运行数据，而在于识别模型归纳错误、规则缺项和数据缺失等问题，为后续优化提供可定位的修正依据。</w:t>
      </w:r>
    </w:p>
    <w:p w14:paraId="6AD5B91F">
      <w:pPr>
        <w:ind w:firstLine="220" w:firstLineChars="100"/>
        <w:rPr>
          <w:rFonts w:hint="eastAsia" w:eastAsia="微软雅黑"/>
          <w:lang w:val="en-US" w:eastAsia="zh-CN"/>
        </w:rPr>
      </w:pPr>
      <w:r>
        <w:rPr>
          <w:rFonts w:hint="eastAsia"/>
        </w:rPr>
        <w:t>3 雅典AOG保障案例</w:t>
      </w:r>
      <w:r>
        <w:rPr>
          <w:rFonts w:hint="eastAsia"/>
          <w:lang w:val="en-US" w:eastAsia="zh-CN"/>
        </w:rPr>
        <w:t>及验证闭环</w:t>
      </w:r>
    </w:p>
    <w:p w14:paraId="66FC15BE">
      <w:pPr>
        <w:ind w:firstLine="420" w:firstLineChars="0"/>
        <w:rPr>
          <w:rFonts w:hint="eastAsia"/>
        </w:rPr>
      </w:pPr>
      <w:r>
        <w:rPr>
          <w:rFonts w:hint="eastAsia"/>
        </w:rPr>
        <w:t>2025年6月7日</w:t>
      </w:r>
      <w:bookmarkStart w:id="0" w:name="_GoBack"/>
      <w:bookmarkEnd w:id="0"/>
      <w:r>
        <w:rPr>
          <w:rFonts w:hint="eastAsia"/>
        </w:rPr>
        <w:t>02:30，某787机型执行浦东—雅典航班时，空中监控到报码30-20080。经与机组卫星通话确认后，AOG团队判断需要在雅典保障大翼防冰电源卡线路板。该航班预计12:18落地雅典，21:15起飞，保障窗口不足9 h。</w:t>
      </w:r>
    </w:p>
    <w:p w14:paraId="3FF255B4">
      <w:pPr>
        <w:ind w:firstLine="420" w:firstLineChars="0"/>
        <w:rPr>
          <w:rFonts w:hint="eastAsia"/>
        </w:rPr>
      </w:pPr>
      <w:r>
        <w:rPr>
          <w:rFonts w:hint="eastAsia"/>
        </w:rPr>
        <w:t>AOG工程师接收到任务后，依托系统知识库和工作流，先后执行库存查询、预案筛选和供应商联系；07:42完成资源确认，08:02完成物流方案确认。AOG值班人员在此基础上承担信息确认、对外联系、决策、信息发布和进度掌控等工作。11:21货代取件并启动运输，19:24航材送达雅典；按本文统计口径，从AOG触发到航材送达现场的保障时长为16 h 54 min，航班最终于21:15关舱起飞。</w:t>
      </w:r>
    </w:p>
    <w:p w14:paraId="4D9EF4F9">
      <w:pPr>
        <w:ind w:firstLine="420" w:firstLineChars="0"/>
        <w:rPr>
          <w:rFonts w:hint="eastAsia"/>
        </w:rPr>
      </w:pPr>
      <w:r>
        <w:rPr>
          <w:rFonts w:hint="eastAsia"/>
        </w:rPr>
        <w:t>该案例的验证重点不在于证明系统独立完成了全流程保障，而在于验证其是否缩短了前端组织时间。与2024年米兰机械延误处置记录相比，该案例保障时长缩短约3 h，其中需求确认、资源确认和运输方案确认等前端环节效率提升更为明显。结合历史回放与专家复核结果，可以认为系统在“候选方案组织、预案航司检索、邮件群发和前端资源确认”环节形成了实际支撑，但最终执行闭环仍依赖工程师确认与物流执行。</w:t>
      </w: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E828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2F5597"/>
            <w:vAlign w:val="center"/>
          </w:tcPr>
          <w:p w14:paraId="03B14511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  <w:tc>
          <w:tcPr>
            <w:tcW w:w="4762" w:type="dxa"/>
            <w:shd w:val="clear" w:color="auto" w:fill="2F5597"/>
            <w:vAlign w:val="center"/>
          </w:tcPr>
          <w:p w14:paraId="2FAC7EC1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事件</w:t>
            </w:r>
          </w:p>
        </w:tc>
        <w:tc>
          <w:tcPr>
            <w:tcW w:w="2494" w:type="dxa"/>
            <w:shd w:val="clear" w:color="auto" w:fill="2F5597"/>
            <w:vAlign w:val="center"/>
          </w:tcPr>
          <w:p w14:paraId="22F04408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980D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12E5F0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02:30</w:t>
            </w:r>
          </w:p>
        </w:tc>
        <w:tc>
          <w:tcPr>
            <w:tcW w:w="3061" w:type="dxa"/>
            <w:vAlign w:val="center"/>
          </w:tcPr>
          <w:p w14:paraId="344861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空中监控报码30-20080并确认需求</w:t>
            </w:r>
          </w:p>
        </w:tc>
        <w:tc>
          <w:tcPr>
            <w:tcW w:w="3061" w:type="dxa"/>
            <w:vAlign w:val="center"/>
          </w:tcPr>
          <w:p w14:paraId="46C4F6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明确保障件与保障窗口</w:t>
            </w:r>
          </w:p>
        </w:tc>
      </w:tr>
      <w:tr w14:paraId="414C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62AAE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07:42</w:t>
            </w:r>
          </w:p>
        </w:tc>
        <w:tc>
          <w:tcPr>
            <w:tcW w:w="3061" w:type="dxa"/>
            <w:vAlign w:val="center"/>
          </w:tcPr>
          <w:p w14:paraId="6A21E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完成资源确认</w:t>
            </w:r>
          </w:p>
        </w:tc>
        <w:tc>
          <w:tcPr>
            <w:tcW w:w="3061" w:type="dxa"/>
            <w:vAlign w:val="center"/>
          </w:tcPr>
          <w:p w14:paraId="547302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完成库存查询、预案筛选和供应商联系后的资源确认</w:t>
            </w:r>
          </w:p>
        </w:tc>
      </w:tr>
      <w:tr w14:paraId="565A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1D7CC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08:02</w:t>
            </w:r>
          </w:p>
        </w:tc>
        <w:tc>
          <w:tcPr>
            <w:tcW w:w="3061" w:type="dxa"/>
            <w:vAlign w:val="center"/>
          </w:tcPr>
          <w:p w14:paraId="5BCE8C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完成物流方案确认</w:t>
            </w:r>
          </w:p>
        </w:tc>
        <w:tc>
          <w:tcPr>
            <w:tcW w:w="3061" w:type="dxa"/>
            <w:vAlign w:val="center"/>
          </w:tcPr>
          <w:p w14:paraId="22A1B3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形成取件与运输路径</w:t>
            </w:r>
          </w:p>
        </w:tc>
      </w:tr>
      <w:tr w14:paraId="7CCC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E4880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11:21</w:t>
            </w:r>
          </w:p>
        </w:tc>
        <w:tc>
          <w:tcPr>
            <w:tcW w:w="3061" w:type="dxa"/>
            <w:vAlign w:val="center"/>
          </w:tcPr>
          <w:p w14:paraId="04317F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货代取件并启动运输</w:t>
            </w:r>
          </w:p>
        </w:tc>
        <w:tc>
          <w:tcPr>
            <w:tcW w:w="3061" w:type="dxa"/>
            <w:vAlign w:val="center"/>
          </w:tcPr>
          <w:p w14:paraId="46D68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AOG值班人员持续完成对外联系和进度掌控</w:t>
            </w:r>
          </w:p>
        </w:tc>
      </w:tr>
      <w:tr w14:paraId="0156D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513A4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19:24</w:t>
            </w:r>
          </w:p>
        </w:tc>
        <w:tc>
          <w:tcPr>
            <w:tcW w:w="3061" w:type="dxa"/>
            <w:vAlign w:val="center"/>
          </w:tcPr>
          <w:p w14:paraId="7C4809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航材送达雅典</w:t>
            </w:r>
          </w:p>
        </w:tc>
        <w:tc>
          <w:tcPr>
            <w:tcW w:w="3061" w:type="dxa"/>
            <w:vAlign w:val="center"/>
          </w:tcPr>
          <w:p w14:paraId="462846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按本文统计口径，保障时长为16 h 54 min</w:t>
            </w:r>
          </w:p>
        </w:tc>
      </w:tr>
      <w:tr w14:paraId="4F3B2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15E5B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21:15</w:t>
            </w:r>
          </w:p>
        </w:tc>
        <w:tc>
          <w:tcPr>
            <w:tcW w:w="3061" w:type="dxa"/>
            <w:vAlign w:val="center"/>
          </w:tcPr>
          <w:p w14:paraId="5A3FE5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航班关舱起飞</w:t>
            </w:r>
          </w:p>
        </w:tc>
        <w:tc>
          <w:tcPr>
            <w:tcW w:w="3061" w:type="dxa"/>
            <w:vAlign w:val="center"/>
          </w:tcPr>
          <w:p w14:paraId="3C8A5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满足起飞前装机条件</w:t>
            </w:r>
          </w:p>
        </w:tc>
      </w:tr>
    </w:tbl>
    <w:p w14:paraId="6ACA44C4">
      <w:pPr>
        <w:spacing w:after="8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表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雅典AOG保障案例关键节点</w:t>
      </w:r>
    </w:p>
    <w:p w14:paraId="5C55CA4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114300" distR="114300">
            <wp:extent cx="5759450" cy="2431415"/>
            <wp:effectExtent l="0" t="0" r="3175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C57B">
      <w:pPr>
        <w:spacing w:before="40" w:after="16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图</w:t>
      </w:r>
      <w:r>
        <w:rPr>
          <w:rFonts w:hint="eastAsia" w:ascii="微软雅黑" w:hAnsi="微软雅黑" w:cs="微软雅黑"/>
          <w:color w:val="auto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auto"/>
        </w:rPr>
        <w:t xml:space="preserve"> 雅典AOG保障案例时间轴（蓝色为系统辅助决策，橙色为人工/物流执行）</w:t>
      </w:r>
    </w:p>
    <w:p w14:paraId="1D226A64">
      <w:pPr>
        <w:ind w:firstLine="220" w:firstLineChars="100"/>
        <w:rPr>
          <w:rFonts w:hint="eastAsia"/>
        </w:rPr>
      </w:pPr>
    </w:p>
    <w:p w14:paraId="59D1473E">
      <w:pPr>
        <w:numPr>
          <w:ilvl w:val="0"/>
          <w:numId w:val="1"/>
        </w:numPr>
        <w:rPr>
          <w:b/>
        </w:rPr>
      </w:pPr>
      <w:r>
        <w:rPr>
          <w:rFonts w:hint="eastAsia"/>
          <w:b/>
          <w:lang w:val="en-US" w:eastAsia="zh-CN"/>
        </w:rPr>
        <w:t>讨论</w:t>
      </w:r>
    </w:p>
    <w:p w14:paraId="752758FF">
      <w:pPr>
        <w:numPr>
          <w:ilvl w:val="0"/>
          <w:numId w:val="0"/>
        </w:numPr>
        <w:ind w:firstLine="420" w:firstLineChars="0"/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从工程实现角度看，本项目在测试和试运行阶段形成效果，关键不只在模型本身，而在于把“信息检索”和“业务判断”拆开：先由系统组织可执行候选，再由工程师确认；同时将不可违反的适航与运输条件前置为规则校验，尽量减少无效候选进入人工视野；再将案例、预案、库存和物流数据纳入同一条检索链路，提升跨系统协同效率。</w:t>
      </w:r>
    </w:p>
    <w:p w14:paraId="058D8D81">
      <w:pPr>
        <w:numPr>
          <w:ilvl w:val="0"/>
          <w:numId w:val="0"/>
        </w:numPr>
        <w:ind w:firstLine="420" w:firstLineChars="0"/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现阶段系统仍未进入成熟运行状态。模型优化仍以提示词和RAG知识库为主，尚未进入参数训练阶段；知识图谱式组织也只覆盖部分资料；经营指标与工时指标的统计口径仍需进一步统一。更重要的是，项目实施过程中暴露出的主数据一致性问题说明，AOG场景中的系统可用性并不只由模型能力决定，还取决于主数据质量、规则边界和知识切片方式是否可靠。</w:t>
      </w:r>
    </w:p>
    <w:p w14:paraId="267123B1">
      <w:pPr>
        <w:numPr>
          <w:ilvl w:val="0"/>
          <w:numId w:val="0"/>
        </w:numPr>
        <w:ind w:firstLine="420" w:firstLineChars="0"/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因此，AOG智能保障系统的工程重点，应更多放在数据治理、规则清单维护和测试闭环建设上，而不是单纯增加模型能力描述。对于类似场景，只有在数据库、知识库和规则库共同稳定的前提下，智能体输出才具备持续可复核性。</w:t>
      </w:r>
    </w:p>
    <w:p w14:paraId="2A873B9B">
      <w:pPr>
        <w:numPr>
          <w:ilvl w:val="0"/>
          <w:numId w:val="1"/>
        </w:numPr>
        <w:rPr>
          <w:b/>
        </w:rPr>
      </w:pPr>
      <w:r>
        <w:rPr>
          <w:b/>
        </w:rPr>
        <w:t>总结与展望</w:t>
      </w:r>
    </w:p>
    <w:p w14:paraId="50893014">
      <w:pPr>
        <w:pStyle w:val="15"/>
        <w:widowControl/>
        <w:ind w:firstLine="420" w:firstLineChars="0"/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本文围绕航材AOG保障中“快而准地形成可执行方案”这一问题，构建了一套基于大模型解析、检索增强、规则校验和AI工作流的智能保障系统。系统通过工作流重构、数据库与知识库建设以及测试闭环优化，将传统依赖人工跨系统查询的工作方式转化为可复核、可持续迭代的工程流程。</w:t>
      </w:r>
    </w:p>
    <w:p w14:paraId="7538014A">
      <w:pPr>
        <w:pStyle w:val="15"/>
        <w:widowControl/>
        <w:ind w:firstLine="420" w:firstLineChars="0"/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从试运行结果看，系统在前端资源组织和方案形成环节已体现出效率改善作用，统计样本显示平均保障时长由240 min/单降至155 min/单，效率提升35.4%。同时，历史回放、专家复核和雅典案例表明，系统当前更适合作为辅助决策工具，而不是替代工程师完成最终判断。</w:t>
      </w:r>
    </w:p>
    <w:p w14:paraId="06DEAFB2">
      <w:pPr>
        <w:pStyle w:val="15"/>
        <w:widowControl/>
        <w:ind w:firstLine="420" w:firstLineChars="0"/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后续工作将继续围绕三方面展开：一是完善主数据治理和知识切片策略，提升规则校验稳定性；二是统一经营指标与工时指标的统计口径，提升验证结果的一致性；三是在现有提示词、知识库和脚本测试闭环基础上继续迭代，逐步提升系统在复杂AOG场景中的适用性。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A2B98"/>
    <w:multiLevelType w:val="singleLevel"/>
    <w:tmpl w:val="E13A2B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CD7C0B"/>
    <w:multiLevelType w:val="multilevel"/>
    <w:tmpl w:val="1CCD7C0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BDEB16E"/>
    <w:multiLevelType w:val="singleLevel"/>
    <w:tmpl w:val="2BDEB16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44F4E41"/>
    <w:multiLevelType w:val="multilevel"/>
    <w:tmpl w:val="444F4E4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55AA3095"/>
    <w:multiLevelType w:val="multilevel"/>
    <w:tmpl w:val="55AA3095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025FC"/>
    <w:rsid w:val="00067515"/>
    <w:rsid w:val="000A370F"/>
    <w:rsid w:val="000B62CA"/>
    <w:rsid w:val="00144AF2"/>
    <w:rsid w:val="002A53AA"/>
    <w:rsid w:val="0032438A"/>
    <w:rsid w:val="00365F46"/>
    <w:rsid w:val="003E0B9A"/>
    <w:rsid w:val="005C35DE"/>
    <w:rsid w:val="005D0C2C"/>
    <w:rsid w:val="005F4EAC"/>
    <w:rsid w:val="006138FD"/>
    <w:rsid w:val="00626AA2"/>
    <w:rsid w:val="006828AD"/>
    <w:rsid w:val="0068574D"/>
    <w:rsid w:val="006E696F"/>
    <w:rsid w:val="0071681D"/>
    <w:rsid w:val="007C7A70"/>
    <w:rsid w:val="00890FE1"/>
    <w:rsid w:val="00897A62"/>
    <w:rsid w:val="00901654"/>
    <w:rsid w:val="0090731C"/>
    <w:rsid w:val="009E7FC9"/>
    <w:rsid w:val="00A85D95"/>
    <w:rsid w:val="00AB1D25"/>
    <w:rsid w:val="00AD3D80"/>
    <w:rsid w:val="00B727BA"/>
    <w:rsid w:val="00BE0D57"/>
    <w:rsid w:val="00D14A84"/>
    <w:rsid w:val="00F17553"/>
    <w:rsid w:val="00F50C8B"/>
    <w:rsid w:val="07011CC2"/>
    <w:rsid w:val="07644792"/>
    <w:rsid w:val="09284798"/>
    <w:rsid w:val="0A923284"/>
    <w:rsid w:val="0F2B6FD9"/>
    <w:rsid w:val="134D6475"/>
    <w:rsid w:val="183C240D"/>
    <w:rsid w:val="1AA24D9F"/>
    <w:rsid w:val="1D54318A"/>
    <w:rsid w:val="26FC4604"/>
    <w:rsid w:val="2767000A"/>
    <w:rsid w:val="27FBD2E2"/>
    <w:rsid w:val="28DA2E89"/>
    <w:rsid w:val="2A4254F9"/>
    <w:rsid w:val="2D1F32F4"/>
    <w:rsid w:val="323B4D81"/>
    <w:rsid w:val="34902D2E"/>
    <w:rsid w:val="34B70380"/>
    <w:rsid w:val="35B05343"/>
    <w:rsid w:val="3AB674A5"/>
    <w:rsid w:val="3AE174A3"/>
    <w:rsid w:val="3D741660"/>
    <w:rsid w:val="40F13D60"/>
    <w:rsid w:val="43446334"/>
    <w:rsid w:val="44A84E71"/>
    <w:rsid w:val="477DCE1E"/>
    <w:rsid w:val="4B29588E"/>
    <w:rsid w:val="53024726"/>
    <w:rsid w:val="53D4060B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427BB"/>
    <w:rsid w:val="6D535020"/>
    <w:rsid w:val="6E5F49A6"/>
    <w:rsid w:val="6FFF37D2"/>
    <w:rsid w:val="70DE2EF1"/>
    <w:rsid w:val="73D07DF2"/>
    <w:rsid w:val="79D313F3"/>
    <w:rsid w:val="7BF02C2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iPriority w:val="0"/>
    <w:rPr>
      <w:sz w:val="24"/>
    </w:rPr>
  </w:style>
  <w:style w:type="paragraph" w:styleId="16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character" w:customStyle="1" w:styleId="21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table" w:customStyle="1" w:styleId="23">
    <w:name w:val="Doc Table Column 1st"/>
    <w:basedOn w:val="18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4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5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3260</Words>
  <Characters>3480</Characters>
  <Lines>27</Lines>
  <Paragraphs>7</Paragraphs>
  <TotalTime>29</TotalTime>
  <ScaleCrop>false</ScaleCrop>
  <LinksUpToDate>false</LinksUpToDate>
  <CharactersWithSpaces>3498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2026-01-16T03:23:00Z</dcterms:created>
  <dc:creator>屁屁丶</dc:creator>
  <cp:lastModifiedBy>南极熊</cp:lastModifiedBy>
  <dcterms:modified xsi:type="dcterms:W3CDTF">2026-04-03T06:38:04Z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eyJoZGlkIjoiZTQ4ODQwNThiYTg4YTBlNDhkZDRmNGNiNWM5NWE1YzAiLCJ1c2VySWQiOiI4MDk4MzM2NDcifQ==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03D87DE2AFAB4D8DAE2F5C1289BE809A_13</vt:lpwstr>
  </property>
</Properties>
</file>