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>章节分工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tbl>
      <w:tblPr>
        <w:tblStyle w:val="qmgftd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1410"/>
        <w:gridCol w:w="5655"/>
        <w:gridCol w:w="1200"/>
      </w:tblGrid>
      <w:tr>
        <w:trPr>
          <w:trHeight w:val="471"/>
        </w:trPr>
        <w:tc>
          <w:tcPr>
            <w:tcW w:w="826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送修章节分工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姓名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章节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备份</w:t>
            </w:r>
          </w:p>
        </w:tc>
      </w:tr>
      <w:tr>
        <w:trPr>
          <w:wBefore/>
          <w:trHeight w:val="482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邓云飞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</w:t>
            </w:r>
            <w:r>
              <w:rPr>
                <w:i w:val="false"/>
                <w:strike w:val="false"/>
                <w:spacing w:val="0"/>
                <w:u w:val="none"/>
              </w:rPr>
              <w:t>业务及人员管理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协议/SMS/项目管理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陈光萍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陈光萍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25/44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杨帆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杨帆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36/49/50-57/V2500/GENX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何杰</w:t>
            </w:r>
          </w:p>
        </w:tc>
      </w:tr>
      <w:tr>
        <w:trPr>
          <w:wBefore/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兰海桂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22/27/31/33/34/42/45/46/47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王治淇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王治淇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21/23/30/38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陆东亭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何杰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24/26/CFM56/GTF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王立宏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王立宏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胡杉</w:t>
            </w:r>
          </w:p>
        </w:tc>
      </w:tr>
      <w:tr>
        <w:trPr>
          <w:wBefore/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陆东亭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工具送修/28/29</w:t>
            </w:r>
            <w:r>
              <w:rPr/>
              <w:t>/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邓云飞</w:t>
            </w:r>
          </w:p>
        </w:tc>
      </w:tr>
      <w:tr>
        <w:trPr>
          <w:trHeight w:val="471"/>
        </w:trPr>
        <w:tc>
          <w:tcPr>
            <w:tcW w:w="826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tabs>
                <w:tab w:val="center" w:pos="4040"/>
                <w:tab w:val="left" w:pos="5595"/>
              </w:tabs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                 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采购章节分工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孙章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人员管理/项目/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协议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BFE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/程序及手册更新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杨  侃</w:t>
            </w:r>
          </w:p>
        </w:tc>
      </w:tr>
      <w:tr>
        <w:trPr>
          <w:trHeight w:val="596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杨侃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工具采购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孙  章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杨帆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A320：11、20、27-31、32、33-36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何鸣飞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朱艺菁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A320/B787：92、96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王立宏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何鸣飞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A320：21-24、26、38、44-47、51-57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帆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黄黎斌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B787：10-57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黄瑾瑜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王立宏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A320：25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480" w:lineRule="auto"/>
              <w:ind w:left="0" w:right="0"/>
              <w:jc w:val="both"/>
              <w:rPr/>
            </w:pPr>
            <w:r>
              <w:rPr/>
              <w:t xml:space="preserve">  朱艺菁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黄瑾瑜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A320：49、70-80       B787：49、70-80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黄黎斌</w:t>
            </w:r>
          </w:p>
        </w:tc>
      </w:tr>
      <w:tr>
        <w:trPr>
          <w:wBefore/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</w:tr>
      <w:tr>
        <w:trPr>
          <w:wBefore/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航材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计划章节分工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备份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金路明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20，化工品、V2500、系统开发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华伟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石云超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35、46、CFM、GTF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黄顺飞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华伟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21、26、28、29、30、36、47、92、模拟机、BFE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金路明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石宏鹏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11、25、320-PMA、程序及手册更新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胡彬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胡彬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22、23、27、31、32、33、34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/>
              <w:t>石宏鹏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南友俊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MOOG POOLING、GENX、其他787章节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陈维维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陈维维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KLM POOLING 、25、32、49、787-PMA(25)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南友俊</w:t>
            </w:r>
          </w:p>
        </w:tc>
      </w:tr>
      <w:tr>
        <w:trPr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胡杉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24、38、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、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51-57 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石云超</w:t>
            </w:r>
          </w:p>
        </w:tc>
      </w:tr>
      <w:tr>
        <w:trPr>
          <w:wBefore/>
          <w:trHeight w:val="471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杨人杰</w:t>
            </w:r>
          </w:p>
        </w:tc>
        <w:tc>
          <w:tcPr>
            <w:tcW w:w="5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320POOLING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、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无料分析会</w:t>
            </w: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480" w:lineRule="auto"/>
              <w:ind w:left="0" w:right="0"/>
              <w:jc w:val="center"/>
              <w:rPr/>
            </w:pPr>
            <w:r>
              <w:rPr>
                <w:rFonts w:hint="eastAsia"/>
              </w:rPr>
              <w:t>何佳俊</w:t>
            </w:r>
          </w:p>
        </w:tc>
      </w:tr>
    </w:tbl>
    <w:p>
      <w:pPr>
        <w:pBdr>
          <w:bottom/>
        </w:pBdr>
        <w:snapToGrid/>
        <w:spacing w:before="0" w:after="0" w:line="240"/>
        <w:ind w:left="0" w:right="0"/>
        <w:jc w:val="both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bzo76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qmgftd">
    <w:name w:val="Table Grid"/>
    <w:basedOn w:val="bzo76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2026-04-22T10:33:52Z</dcterms:created>
  <dcterms:modified xsi:type="dcterms:W3CDTF">2026-04-22T10:33:52Z</dcterms:modified>
</cp:coreProperties>
</file>