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>
      <w:pPr>
        <w:jc w:val="left"/>
        <w:rPr>
          <w:rFonts w:ascii="宋体" w:hAnsi="宋体" w:cs="宋体"/>
          <w:sz w:val="24"/>
          <w:szCs w:val="24"/>
        </w:rPr>
      </w:pPr>
    </w:p>
    <w:tbl>
      <w:tblPr>
        <w:tblStyle w:val="11"/>
        <w:tblW w:w="10152" w:type="dxa"/>
        <w:jc w:val="center"/>
        <w:tblInd w:w="0" w:type="dxa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91"/>
        <w:gridCol w:w="1177"/>
        <w:gridCol w:w="332"/>
        <w:gridCol w:w="1113"/>
        <w:gridCol w:w="131"/>
        <w:gridCol w:w="904"/>
        <w:gridCol w:w="1308"/>
        <w:gridCol w:w="541"/>
        <w:gridCol w:w="2755"/>
      </w:tblGrid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  <w:jc w:val="center"/>
        </w:trPr>
        <w:tc>
          <w:tcPr>
            <w:tcW w:w="10152" w:type="dxa"/>
            <w:gridSpan w:val="9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BFBFBF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曼德勒国际机场</w:t>
            </w: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6" w:hRule="atLeast"/>
          <w:jc w:val="center"/>
        </w:trPr>
        <w:tc>
          <w:tcPr>
            <w:tcW w:w="1891" w:type="dxa"/>
            <w:vMerge w:val="restart"/>
            <w:tcBorders>
              <w:left w:val="single" w:color="000000" w:sz="12" w:space="0"/>
              <w:bottom w:val="single" w:color="000000" w:sz="12" w:space="0"/>
              <w:right w:val="single" w:color="000000" w:sz="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sz w:val="24"/>
                <w:szCs w:val="24"/>
              </w:rPr>
              <w:t>机场信息</w:t>
            </w:r>
          </w:p>
        </w:tc>
        <w:tc>
          <w:tcPr>
            <w:tcW w:w="117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Theme="majorEastAsia" w:hAnsiTheme="majorEastAsia" w:eastAsiaTheme="majorEastAsia" w:cstheme="majorEastAsia"/>
                <w:color w:val="000000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</w:rPr>
              <w:t>国家/地区</w:t>
            </w:r>
          </w:p>
        </w:tc>
        <w:tc>
          <w:tcPr>
            <w:tcW w:w="2480" w:type="dxa"/>
            <w:gridSpan w:val="4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Theme="majorEastAsia" w:hAnsiTheme="majorEastAsia" w:eastAsiaTheme="majorEastAsia" w:cstheme="majorEastAsia"/>
                <w:color w:val="000000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 w:cstheme="majorEastAsia"/>
                <w:color w:val="000000"/>
                <w:sz w:val="24"/>
                <w:szCs w:val="24"/>
              </w:rPr>
              <w:t>缅甸</w:t>
            </w:r>
          </w:p>
        </w:tc>
        <w:tc>
          <w:tcPr>
            <w:tcW w:w="13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Theme="majorEastAsia" w:hAnsiTheme="majorEastAsia" w:eastAsiaTheme="majorEastAsia" w:cstheme="majorEastAsia"/>
                <w:color w:val="000000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</w:rPr>
              <w:t>三字代码</w:t>
            </w:r>
          </w:p>
        </w:tc>
        <w:tc>
          <w:tcPr>
            <w:tcW w:w="3296" w:type="dxa"/>
            <w:gridSpan w:val="2"/>
            <w:tcBorders>
              <w:left w:val="single" w:color="000000" w:sz="2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MDL</w:t>
            </w: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  <w:jc w:val="center"/>
        </w:trPr>
        <w:tc>
          <w:tcPr>
            <w:tcW w:w="1891" w:type="dxa"/>
            <w:vMerge w:val="continue"/>
            <w:tcBorders>
              <w:left w:val="single" w:color="000000" w:sz="12" w:space="0"/>
              <w:bottom w:val="single" w:color="000000" w:sz="12" w:space="0"/>
              <w:right w:val="single" w:color="000000" w:sz="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17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Theme="majorEastAsia" w:hAnsiTheme="majorEastAsia" w:eastAsiaTheme="majorEastAsia" w:cstheme="majorEastAsia"/>
                <w:color w:val="000000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</w:rPr>
              <w:t>通用语言</w:t>
            </w:r>
          </w:p>
        </w:tc>
        <w:tc>
          <w:tcPr>
            <w:tcW w:w="2480" w:type="dxa"/>
            <w:gridSpan w:val="4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Theme="majorEastAsia" w:hAnsiTheme="majorEastAsia" w:eastAsiaTheme="majorEastAsia" w:cstheme="majorEastAsia"/>
                <w:color w:val="000000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 w:cstheme="majorEastAsia"/>
                <w:color w:val="000000"/>
                <w:sz w:val="24"/>
                <w:szCs w:val="24"/>
              </w:rPr>
              <w:t>缅甸语/英语</w:t>
            </w:r>
          </w:p>
        </w:tc>
        <w:tc>
          <w:tcPr>
            <w:tcW w:w="13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Theme="majorEastAsia" w:hAnsiTheme="majorEastAsia" w:eastAsiaTheme="majorEastAsia" w:cstheme="majorEastAsia"/>
                <w:color w:val="000000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</w:rPr>
              <w:t>货币/汇率</w:t>
            </w:r>
          </w:p>
        </w:tc>
        <w:tc>
          <w:tcPr>
            <w:tcW w:w="3296" w:type="dxa"/>
            <w:gridSpan w:val="2"/>
            <w:tcBorders>
              <w:top w:val="single" w:color="000000" w:sz="4" w:space="0"/>
              <w:left w:val="single" w:color="000000" w:sz="2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缅甸元/1：224左右</w:t>
            </w: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  <w:jc w:val="center"/>
        </w:trPr>
        <w:tc>
          <w:tcPr>
            <w:tcW w:w="10152" w:type="dxa"/>
            <w:gridSpan w:val="9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  <w:jc w:val="center"/>
        </w:trPr>
        <w:tc>
          <w:tcPr>
            <w:tcW w:w="1891" w:type="dxa"/>
            <w:vMerge w:val="restart"/>
            <w:tcBorders>
              <w:top w:val="single" w:color="000000" w:sz="12" w:space="0"/>
              <w:left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航班类型</w:t>
            </w:r>
          </w:p>
        </w:tc>
        <w:tc>
          <w:tcPr>
            <w:tcW w:w="2622" w:type="dxa"/>
            <w:gridSpan w:val="3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类型</w:t>
            </w:r>
          </w:p>
        </w:tc>
        <w:tc>
          <w:tcPr>
            <w:tcW w:w="2343" w:type="dxa"/>
            <w:gridSpan w:val="3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短停</w:t>
            </w:r>
          </w:p>
        </w:tc>
        <w:tc>
          <w:tcPr>
            <w:tcW w:w="3296" w:type="dxa"/>
            <w:gridSpan w:val="2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航后</w:t>
            </w: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  <w:jc w:val="center"/>
        </w:trPr>
        <w:tc>
          <w:tcPr>
            <w:tcW w:w="1891" w:type="dxa"/>
            <w:vMerge w:val="continue"/>
            <w:tcBorders>
              <w:left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2622" w:type="dxa"/>
            <w:gridSpan w:val="3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A320</w:t>
            </w:r>
          </w:p>
        </w:tc>
        <w:tc>
          <w:tcPr>
            <w:tcW w:w="2343" w:type="dxa"/>
            <w:gridSpan w:val="3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296" w:type="dxa"/>
            <w:gridSpan w:val="2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  <w:jc w:val="center"/>
        </w:trPr>
        <w:tc>
          <w:tcPr>
            <w:tcW w:w="1891" w:type="dxa"/>
            <w:vMerge w:val="continue"/>
            <w:tcBorders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2622" w:type="dxa"/>
            <w:gridSpan w:val="3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A321</w:t>
            </w:r>
          </w:p>
        </w:tc>
        <w:tc>
          <w:tcPr>
            <w:tcW w:w="2343" w:type="dxa"/>
            <w:gridSpan w:val="3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296" w:type="dxa"/>
            <w:gridSpan w:val="2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  <w:jc w:val="center"/>
        </w:trPr>
        <w:tc>
          <w:tcPr>
            <w:tcW w:w="10152" w:type="dxa"/>
            <w:gridSpan w:val="9"/>
            <w:tcBorders>
              <w:top w:val="single" w:color="000000" w:sz="12" w:space="0"/>
              <w:left w:val="single" w:color="000000" w:sz="12" w:space="0"/>
              <w:bottom w:val="single" w:color="000000" w:sz="18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  <w:jc w:val="center"/>
        </w:trPr>
        <w:tc>
          <w:tcPr>
            <w:tcW w:w="1891" w:type="dxa"/>
            <w:vMerge w:val="restart"/>
            <w:tcBorders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航材保障预案</w:t>
            </w:r>
          </w:p>
        </w:tc>
        <w:tc>
          <w:tcPr>
            <w:tcW w:w="1509" w:type="dxa"/>
            <w:gridSpan w:val="2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航材清单</w:t>
            </w:r>
          </w:p>
        </w:tc>
        <w:tc>
          <w:tcPr>
            <w:tcW w:w="2148" w:type="dxa"/>
            <w:gridSpan w:val="3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件号</w:t>
            </w:r>
          </w:p>
        </w:tc>
        <w:tc>
          <w:tcPr>
            <w:tcW w:w="1308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库存</w:t>
            </w:r>
          </w:p>
        </w:tc>
        <w:tc>
          <w:tcPr>
            <w:tcW w:w="3296" w:type="dxa"/>
            <w:gridSpan w:val="2"/>
            <w:tcBorders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保障方案(备注）</w:t>
            </w: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  <w:jc w:val="center"/>
        </w:trPr>
        <w:tc>
          <w:tcPr>
            <w:tcW w:w="1891" w:type="dxa"/>
            <w:vMerge w:val="continue"/>
            <w:tcBorders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A320前轮</w:t>
            </w:r>
          </w:p>
        </w:tc>
        <w:tc>
          <w:tcPr>
            <w:tcW w:w="214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3-1531-3</w:t>
            </w:r>
          </w:p>
        </w:tc>
        <w:tc>
          <w:tcPr>
            <w:tcW w:w="1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329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求援川航</w:t>
            </w:r>
            <w:r>
              <w:rPr>
                <w:rFonts w:ascii="宋体" w:hAnsi="宋体" w:cs="宋体"/>
                <w:color w:val="000000"/>
                <w:sz w:val="24"/>
                <w:szCs w:val="24"/>
              </w:rPr>
              <w:t>，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无换轮能力</w:t>
            </w: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  <w:jc w:val="center"/>
        </w:trPr>
        <w:tc>
          <w:tcPr>
            <w:tcW w:w="1891" w:type="dxa"/>
            <w:vMerge w:val="continue"/>
            <w:tcBorders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A320主轮</w:t>
            </w:r>
          </w:p>
        </w:tc>
        <w:tc>
          <w:tcPr>
            <w:tcW w:w="214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C20195162</w:t>
            </w:r>
          </w:p>
        </w:tc>
        <w:tc>
          <w:tcPr>
            <w:tcW w:w="1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  <w:tc>
          <w:tcPr>
            <w:tcW w:w="329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求援川航</w:t>
            </w:r>
            <w:r>
              <w:rPr>
                <w:rFonts w:ascii="宋体" w:hAnsi="宋体" w:cs="宋体"/>
                <w:color w:val="000000"/>
                <w:sz w:val="24"/>
                <w:szCs w:val="24"/>
              </w:rPr>
              <w:t>，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无换轮能力</w:t>
            </w: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  <w:jc w:val="center"/>
        </w:trPr>
        <w:tc>
          <w:tcPr>
            <w:tcW w:w="1891" w:type="dxa"/>
            <w:vMerge w:val="continue"/>
            <w:tcBorders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A321主轮</w:t>
            </w:r>
          </w:p>
        </w:tc>
        <w:tc>
          <w:tcPr>
            <w:tcW w:w="214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C20500100</w:t>
            </w:r>
          </w:p>
        </w:tc>
        <w:tc>
          <w:tcPr>
            <w:tcW w:w="1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  <w:tc>
          <w:tcPr>
            <w:tcW w:w="329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jc w:val="both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  <w:jc w:val="center"/>
        </w:trPr>
        <w:tc>
          <w:tcPr>
            <w:tcW w:w="1891" w:type="dxa"/>
            <w:vMerge w:val="continue"/>
            <w:tcBorders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滑油</w:t>
            </w:r>
          </w:p>
        </w:tc>
        <w:tc>
          <w:tcPr>
            <w:tcW w:w="214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EASTMAN#TO#2197</w:t>
            </w:r>
          </w:p>
        </w:tc>
        <w:tc>
          <w:tcPr>
            <w:tcW w:w="1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  <w:tc>
          <w:tcPr>
            <w:tcW w:w="329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  <w:jc w:val="center"/>
        </w:trPr>
        <w:tc>
          <w:tcPr>
            <w:tcW w:w="1891" w:type="dxa"/>
            <w:vMerge w:val="continue"/>
            <w:tcBorders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液压油</w:t>
            </w:r>
          </w:p>
        </w:tc>
        <w:tc>
          <w:tcPr>
            <w:tcW w:w="214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HYJET#V#GAL</w:t>
            </w:r>
          </w:p>
        </w:tc>
        <w:tc>
          <w:tcPr>
            <w:tcW w:w="1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  <w:tc>
          <w:tcPr>
            <w:tcW w:w="329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  <w:jc w:val="center"/>
        </w:trPr>
        <w:tc>
          <w:tcPr>
            <w:tcW w:w="1891" w:type="dxa"/>
            <w:vMerge w:val="continue"/>
            <w:tcBorders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氧气瓶</w:t>
            </w:r>
          </w:p>
        </w:tc>
        <w:tc>
          <w:tcPr>
            <w:tcW w:w="214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  <w:tc>
          <w:tcPr>
            <w:tcW w:w="329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jc w:val="both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bookmarkStart w:id="0" w:name="_GoBack"/>
            <w:bookmarkEnd w:id="0"/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  <w:jc w:val="center"/>
        </w:trPr>
        <w:tc>
          <w:tcPr>
            <w:tcW w:w="1891" w:type="dxa"/>
            <w:vMerge w:val="continue"/>
            <w:tcBorders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其他航材</w:t>
            </w:r>
          </w:p>
        </w:tc>
        <w:tc>
          <w:tcPr>
            <w:tcW w:w="214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1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  <w:tc>
          <w:tcPr>
            <w:tcW w:w="329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  <w:jc w:val="center"/>
        </w:trPr>
        <w:tc>
          <w:tcPr>
            <w:tcW w:w="10152" w:type="dxa"/>
            <w:gridSpan w:val="9"/>
            <w:tcBorders>
              <w:top w:val="single" w:color="000000" w:sz="18" w:space="0"/>
              <w:left w:val="single" w:color="000000" w:sz="12" w:space="0"/>
              <w:bottom w:val="single" w:color="000000" w:sz="18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35" w:hRule="atLeast"/>
          <w:jc w:val="center"/>
        </w:trPr>
        <w:tc>
          <w:tcPr>
            <w:tcW w:w="1891" w:type="dxa"/>
            <w:vMerge w:val="restart"/>
            <w:tcBorders>
              <w:left w:val="single" w:color="000000" w:sz="12" w:space="0"/>
              <w:bottom w:val="single" w:color="000000" w:sz="12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仓储单位</w:t>
            </w:r>
          </w:p>
        </w:tc>
        <w:tc>
          <w:tcPr>
            <w:tcW w:w="8261" w:type="dxa"/>
            <w:gridSpan w:val="8"/>
            <w:tcBorders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昆明隆瑞国外航线维修</w:t>
            </w: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45" w:hRule="atLeast"/>
          <w:jc w:val="center"/>
        </w:trPr>
        <w:tc>
          <w:tcPr>
            <w:tcW w:w="1891" w:type="dxa"/>
            <w:vMerge w:val="continue"/>
            <w:tcBorders>
              <w:left w:val="single" w:color="000000" w:sz="12" w:space="0"/>
              <w:bottom w:val="single" w:color="000000" w:sz="12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2622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地址</w:t>
            </w:r>
          </w:p>
        </w:tc>
        <w:tc>
          <w:tcPr>
            <w:tcW w:w="5639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shd w:val="clear" w:color="auto" w:fill="FFFFFF"/>
              <w:jc w:val="left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曼德勒机场大楼一楼（8号廊桥对面）。</w:t>
            </w: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63" w:hRule="atLeast"/>
          <w:jc w:val="center"/>
        </w:trPr>
        <w:tc>
          <w:tcPr>
            <w:tcW w:w="1891" w:type="dxa"/>
            <w:vMerge w:val="continue"/>
            <w:tcBorders>
              <w:left w:val="single" w:color="000000" w:sz="12" w:space="0"/>
              <w:bottom w:val="single" w:color="000000" w:sz="12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2622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联系方式</w:t>
            </w:r>
          </w:p>
        </w:tc>
        <w:tc>
          <w:tcPr>
            <w:tcW w:w="5639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负责人：杨俊</w:t>
            </w:r>
          </w:p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Eml：MDL@kmlongrui.com</w:t>
            </w:r>
          </w:p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TEL：0997-101-6290</w:t>
            </w: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  <w:jc w:val="center"/>
        </w:trPr>
        <w:tc>
          <w:tcPr>
            <w:tcW w:w="10152" w:type="dxa"/>
            <w:gridSpan w:val="9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  <w:jc w:val="center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当地及</w:t>
            </w:r>
            <w:r>
              <w:rPr>
                <w:rFonts w:ascii="宋体" w:hAnsi="宋体" w:cs="宋体"/>
                <w:b/>
                <w:color w:val="000000"/>
                <w:kern w:val="0"/>
                <w:sz w:val="24"/>
                <w:szCs w:val="24"/>
              </w:rPr>
              <w:t>周边资源</w:t>
            </w:r>
          </w:p>
        </w:tc>
        <w:tc>
          <w:tcPr>
            <w:tcW w:w="3657" w:type="dxa"/>
            <w:gridSpan w:val="5"/>
            <w:tcBorders>
              <w:top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机队规模及备注</w:t>
            </w:r>
          </w:p>
        </w:tc>
        <w:tc>
          <w:tcPr>
            <w:tcW w:w="4604" w:type="dxa"/>
            <w:gridSpan w:val="3"/>
            <w:tcBorders>
              <w:top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联系方式</w:t>
            </w: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134" w:hRule="atLeast"/>
          <w:jc w:val="center"/>
        </w:trPr>
        <w:tc>
          <w:tcPr>
            <w:tcW w:w="1891" w:type="dxa"/>
            <w:tcBorders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缅甸国际航空</w:t>
            </w:r>
          </w:p>
        </w:tc>
        <w:tc>
          <w:tcPr>
            <w:tcW w:w="3657" w:type="dxa"/>
            <w:gridSpan w:val="5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曼德勒当地无资源，仅仰光有1架A320飞机，资源有限。</w:t>
            </w:r>
          </w:p>
        </w:tc>
        <w:tc>
          <w:tcPr>
            <w:tcW w:w="4604" w:type="dxa"/>
            <w:gridSpan w:val="3"/>
            <w:tcBorders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shd w:val="clear" w:color="auto" w:fill="FFFFFF"/>
              <w:jc w:val="left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Min Min Tun(Purchasing Manager)</w:t>
            </w:r>
          </w:p>
          <w:p>
            <w:pPr>
              <w:widowControl/>
              <w:shd w:val="clear" w:color="auto" w:fill="FFFFFF"/>
              <w:jc w:val="left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Eml:Supply.engg@maiair.com</w:t>
            </w:r>
          </w:p>
          <w:p>
            <w:pPr>
              <w:widowControl/>
              <w:shd w:val="clear" w:color="auto" w:fill="FFFFFF"/>
              <w:jc w:val="left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134" w:hRule="atLeast"/>
          <w:jc w:val="center"/>
        </w:trPr>
        <w:tc>
          <w:tcPr>
            <w:tcW w:w="1891" w:type="dxa"/>
            <w:tcBorders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川航</w:t>
            </w:r>
          </w:p>
        </w:tc>
        <w:tc>
          <w:tcPr>
            <w:tcW w:w="3657" w:type="dxa"/>
            <w:gridSpan w:val="5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川航曼德勒配有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320主轮、前轮</w:t>
            </w:r>
          </w:p>
        </w:tc>
        <w:tc>
          <w:tcPr>
            <w:tcW w:w="4604" w:type="dxa"/>
            <w:gridSpan w:val="3"/>
            <w:tcBorders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邮箱：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fldChar w:fldCharType="begin"/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instrText xml:space="preserve"> HYPERLINK "mailto:aog-csc@sichuanair.com" </w:instrTex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fldChar w:fldCharType="separate"/>
            </w:r>
            <w:r>
              <w:rPr>
                <w:rStyle w:val="10"/>
                <w:rFonts w:hint="eastAsia" w:ascii="宋体" w:hAnsi="宋体" w:cs="宋体"/>
                <w:sz w:val="24"/>
                <w:szCs w:val="24"/>
              </w:rPr>
              <w:t>aog-csc@sichuanair.com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fldChar w:fldCharType="end"/>
            </w:r>
          </w:p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电话：</w:t>
            </w: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color w:val="000000"/>
                <w:spacing w:val="0"/>
                <w:sz w:val="21"/>
                <w:szCs w:val="21"/>
                <w:shd w:val="clear" w:fill="FFFFFF"/>
              </w:rPr>
              <w:t>+86 13908081935</w:t>
            </w: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134" w:hRule="atLeast"/>
          <w:jc w:val="center"/>
        </w:trPr>
        <w:tc>
          <w:tcPr>
            <w:tcW w:w="1891" w:type="dxa"/>
            <w:tcBorders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昆明</w:t>
            </w:r>
          </w:p>
        </w:tc>
        <w:tc>
          <w:tcPr>
            <w:tcW w:w="3657" w:type="dxa"/>
            <w:gridSpan w:val="5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空运约1h30min</w:t>
            </w:r>
          </w:p>
        </w:tc>
        <w:tc>
          <w:tcPr>
            <w:tcW w:w="4604" w:type="dxa"/>
            <w:gridSpan w:val="3"/>
            <w:tcBorders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  <w:jc w:val="center"/>
        </w:trPr>
        <w:tc>
          <w:tcPr>
            <w:tcW w:w="10152" w:type="dxa"/>
            <w:gridSpan w:val="9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  <w:jc w:val="center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营业部</w:t>
            </w:r>
          </w:p>
        </w:tc>
        <w:tc>
          <w:tcPr>
            <w:tcW w:w="8261" w:type="dxa"/>
            <w:gridSpan w:val="8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 xml:space="preserve"> 无 （九元代办）</w:t>
            </w: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  <w:jc w:val="center"/>
        </w:trPr>
        <w:tc>
          <w:tcPr>
            <w:tcW w:w="10152" w:type="dxa"/>
            <w:gridSpan w:val="9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  <w:jc w:val="center"/>
        </w:trPr>
        <w:tc>
          <w:tcPr>
            <w:tcW w:w="1891" w:type="dxa"/>
            <w:vMerge w:val="restart"/>
            <w:tcBorders>
              <w:left w:val="single" w:color="000000" w:sz="12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物流运输</w:t>
            </w:r>
          </w:p>
        </w:tc>
        <w:tc>
          <w:tcPr>
            <w:tcW w:w="2753" w:type="dxa"/>
            <w:gridSpan w:val="4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空运</w:t>
            </w:r>
          </w:p>
        </w:tc>
        <w:tc>
          <w:tcPr>
            <w:tcW w:w="2753" w:type="dxa"/>
            <w:gridSpan w:val="3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陆运</w:t>
            </w:r>
          </w:p>
        </w:tc>
        <w:tc>
          <w:tcPr>
            <w:tcW w:w="2755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海运</w:t>
            </w: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  <w:jc w:val="center"/>
        </w:trPr>
        <w:tc>
          <w:tcPr>
            <w:tcW w:w="1891" w:type="dxa"/>
            <w:vMerge w:val="continue"/>
            <w:tcBorders>
              <w:left w:val="single" w:color="000000" w:sz="12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</w:pPr>
          </w:p>
        </w:tc>
        <w:tc>
          <w:tcPr>
            <w:tcW w:w="2753" w:type="dxa"/>
            <w:gridSpan w:val="4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从上海直达曼德勒空运约5小时；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从昆明运输约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1h30min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；</w:t>
            </w:r>
          </w:p>
        </w:tc>
        <w:tc>
          <w:tcPr>
            <w:tcW w:w="2753" w:type="dxa"/>
            <w:gridSpan w:val="3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</w:pPr>
            <w:r>
              <w:rPr>
                <w:rFonts w:hint="eastAsia"/>
              </w:rPr>
              <w:t>从仰光运输约8小时（600KM）；</w:t>
            </w:r>
          </w:p>
        </w:tc>
        <w:tc>
          <w:tcPr>
            <w:tcW w:w="2755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71" w:hRule="atLeast"/>
          <w:jc w:val="center"/>
        </w:trPr>
        <w:tc>
          <w:tcPr>
            <w:tcW w:w="10152" w:type="dxa"/>
            <w:gridSpan w:val="9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71" w:hRule="atLeast"/>
          <w:jc w:val="center"/>
        </w:trPr>
        <w:tc>
          <w:tcPr>
            <w:tcW w:w="1891" w:type="dxa"/>
            <w:tcBorders>
              <w:top w:val="single" w:color="000000" w:sz="4" w:space="0"/>
              <w:left w:val="single" w:color="000000" w:sz="12" w:space="0"/>
              <w:bottom w:val="single" w:color="auto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进出口报关</w:t>
            </w:r>
          </w:p>
        </w:tc>
        <w:tc>
          <w:tcPr>
            <w:tcW w:w="8261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AOG情况飞机可自带航材，只要不出机场，无需申报。</w:t>
            </w:r>
          </w:p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曼德勒</w:t>
            </w:r>
            <w:r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海关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：</w:t>
            </w:r>
          </w:p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Mr.Shigeru Fukuma</w:t>
            </w:r>
          </w:p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Email:fukuma@kk-mk.co.jp</w:t>
            </w:r>
          </w:p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MJAS地服代理可协助申报：</w:t>
            </w:r>
          </w:p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Saw Yan Naung（Assistant Manager)</w:t>
            </w:r>
          </w:p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Tel:+95 2 4027110(Ext.227)</w:t>
            </w:r>
          </w:p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Email:sawyannaung@mjas.com.mm</w:t>
            </w:r>
          </w:p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Aye Thet Zaw(Assistant Manager)</w:t>
            </w:r>
          </w:p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Tel:+95 2 4027110(Ext.228)</w:t>
            </w:r>
          </w:p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Email:ayethetzaw@mjas.com.mm</w:t>
            </w:r>
          </w:p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</w:tc>
      </w:tr>
    </w:tbl>
    <w:p>
      <w:pPr>
        <w:spacing w:line="600" w:lineRule="exact"/>
        <w:rPr>
          <w:rFonts w:ascii="仿宋_GB2312" w:eastAsia="仿宋_GB2312" w:cs="仿宋_GB2312"/>
          <w:b/>
          <w:bCs/>
          <w:sz w:val="28"/>
          <w:szCs w:val="28"/>
        </w:rPr>
      </w:pPr>
    </w:p>
    <w:p>
      <w:pPr>
        <w:spacing w:line="600" w:lineRule="exact"/>
        <w:rPr>
          <w:rFonts w:ascii="仿宋_GB2312" w:eastAsia="仿宋_GB2312"/>
          <w:b/>
          <w:bCs/>
          <w:sz w:val="28"/>
          <w:szCs w:val="28"/>
        </w:rPr>
      </w:pPr>
      <w:r>
        <w:rPr>
          <w:rFonts w:hint="eastAsia" w:ascii="仿宋_GB2312" w:eastAsia="仿宋_GB2312" w:cs="仿宋_GB2312"/>
          <w:b/>
          <w:bCs/>
          <w:sz w:val="28"/>
          <w:szCs w:val="28"/>
        </w:rPr>
        <w:t>一、机场资源情况</w:t>
      </w:r>
    </w:p>
    <w:p>
      <w:pPr>
        <w:spacing w:line="600" w:lineRule="exact"/>
        <w:ind w:firstLine="560" w:firstLineChars="200"/>
        <w:rPr>
          <w:rFonts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曼德勒国际机场位于缅甸中部曼德勒市中心以南35公里，服务城市是曼德勒。该机场跑道长4267M，最大可起降B474/A380。一共有六个桥位，十个远机位。该机场已于2015年全权委托外包给日本MJ公司。我司已与地服公司MJAS签署地服大协议，与昆明隆瑞签署维修放行协议。</w:t>
      </w:r>
    </w:p>
    <w:p>
      <w:pPr>
        <w:jc w:val="center"/>
        <w:rPr>
          <w:rFonts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drawing>
          <wp:inline distT="0" distB="0" distL="114300" distR="114300">
            <wp:extent cx="3724275" cy="2795270"/>
            <wp:effectExtent l="0" t="0" r="9525" b="5080"/>
            <wp:docPr id="1" name="图片 1" descr="6215966576352598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62159665763525985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24275" cy="279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 w:cs="宋体"/>
          <w:sz w:val="24"/>
          <w:szCs w:val="24"/>
        </w:rPr>
        <w:t xml:space="preserve">  </w:t>
      </w:r>
      <w:r>
        <w:rPr>
          <w:rFonts w:hint="eastAsia" w:ascii="宋体" w:hAnsi="宋体" w:cs="宋体"/>
          <w:sz w:val="24"/>
          <w:szCs w:val="24"/>
        </w:rPr>
        <w:drawing>
          <wp:inline distT="0" distB="0" distL="114300" distR="114300">
            <wp:extent cx="2591435" cy="3455670"/>
            <wp:effectExtent l="0" t="0" r="18415" b="11430"/>
            <wp:docPr id="2" name="图片 2" descr="4193330808819716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41933308088197163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91435" cy="3455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 w:cs="宋体"/>
          <w:sz w:val="24"/>
          <w:szCs w:val="24"/>
        </w:rPr>
        <w:t xml:space="preserve">                          </w:t>
      </w:r>
    </w:p>
    <w:p>
      <w:pPr>
        <w:jc w:val="center"/>
        <w:rPr>
          <w:rFonts w:ascii="宋体" w:hAnsi="宋体" w:cs="宋体"/>
          <w:sz w:val="24"/>
          <w:szCs w:val="24"/>
        </w:rPr>
      </w:pPr>
    </w:p>
    <w:p>
      <w:pPr>
        <w:jc w:val="center"/>
        <w:rPr>
          <w:rFonts w:ascii="宋体" w:hAnsi="宋体" w:cs="宋体"/>
          <w:kern w:val="0"/>
          <w:sz w:val="18"/>
          <w:szCs w:val="18"/>
        </w:rPr>
      </w:pPr>
      <w:r>
        <w:rPr>
          <w:rFonts w:hint="eastAsia" w:ascii="宋体" w:hAnsi="宋体" w:cs="宋体"/>
          <w:kern w:val="0"/>
          <w:sz w:val="18"/>
          <w:szCs w:val="18"/>
        </w:rPr>
        <w:t>曼德勒机场示意图</w:t>
      </w:r>
    </w:p>
    <w:p>
      <w:pPr>
        <w:spacing w:line="600" w:lineRule="exact"/>
        <w:rPr>
          <w:rFonts w:ascii="仿宋_GB2312" w:hAnsi="仿宋_GB2312" w:eastAsia="仿宋_GB2312" w:cs="仿宋_GB2312"/>
          <w:b/>
          <w:bCs/>
          <w:sz w:val="32"/>
          <w:szCs w:val="32"/>
        </w:rPr>
      </w:pPr>
    </w:p>
    <w:p>
      <w:pPr>
        <w:spacing w:line="600" w:lineRule="exact"/>
        <w:rPr>
          <w:rFonts w:ascii="仿宋_GB2312" w:hAnsi="仿宋_GB2312" w:eastAsia="仿宋_GB2312"/>
          <w:b/>
          <w:bCs/>
          <w:sz w:val="28"/>
          <w:szCs w:val="28"/>
        </w:rPr>
      </w:pPr>
      <w:r>
        <w:rPr>
          <w:rFonts w:hint="eastAsia" w:ascii="仿宋_GB2312" w:hAnsi="仿宋_GB2312" w:eastAsia="仿宋_GB2312" w:cs="仿宋_GB2312"/>
          <w:b/>
          <w:bCs/>
          <w:sz w:val="32"/>
          <w:szCs w:val="32"/>
        </w:rPr>
        <w:t>二、</w:t>
      </w:r>
      <w:r>
        <w:rPr>
          <w:rFonts w:hint="eastAsia" w:ascii="仿宋_GB2312" w:hAnsi="仿宋_GB2312" w:eastAsia="仿宋_GB2312" w:cs="仿宋_GB2312"/>
          <w:b/>
          <w:bCs/>
          <w:sz w:val="28"/>
          <w:szCs w:val="28"/>
        </w:rPr>
        <w:t>当地支援单位：</w:t>
      </w:r>
    </w:p>
    <w:p>
      <w:pPr>
        <w:pStyle w:val="18"/>
        <w:spacing w:line="600" w:lineRule="exact"/>
        <w:ind w:firstLine="0" w:firstLineChars="0"/>
        <w:rPr>
          <w:rFonts w:ascii="仿宋_GB2312" w:hAnsi="仿宋_GB2312" w:eastAsia="仿宋_GB2312" w:cs="仿宋_GB2312"/>
          <w:b/>
          <w:bCs/>
          <w:sz w:val="28"/>
          <w:szCs w:val="28"/>
        </w:rPr>
      </w:pPr>
      <w:r>
        <w:rPr>
          <w:rFonts w:ascii="仿宋_GB2312" w:hAnsi="仿宋_GB2312" w:eastAsia="仿宋_GB2312" w:cs="仿宋_GB2312"/>
          <w:b/>
          <w:bCs/>
          <w:sz w:val="28"/>
          <w:szCs w:val="28"/>
        </w:rPr>
        <w:t>1</w:t>
      </w:r>
      <w:r>
        <w:rPr>
          <w:rFonts w:hint="eastAsia" w:ascii="仿宋_GB2312" w:hAnsi="仿宋_GB2312" w:eastAsia="仿宋_GB2312" w:cs="仿宋_GB2312"/>
          <w:b/>
          <w:bCs/>
          <w:sz w:val="28"/>
          <w:szCs w:val="28"/>
        </w:rPr>
        <w:t>、MC-Jalux集团（MJAS）</w:t>
      </w:r>
    </w:p>
    <w:p>
      <w:pPr>
        <w:ind w:firstLine="560" w:firstLineChars="200"/>
        <w:rPr>
          <w:rFonts w:ascii="仿宋_GB2312" w:hAnsi="仿宋_GB2312" w:eastAsia="仿宋_GB2312" w:cs="仿宋_GB2312"/>
          <w:bCs/>
          <w:sz w:val="28"/>
          <w:szCs w:val="28"/>
        </w:rPr>
      </w:pPr>
      <w:r>
        <w:rPr>
          <w:rFonts w:hint="eastAsia" w:ascii="仿宋_GB2312" w:hAnsi="仿宋_GB2312" w:eastAsia="仿宋_GB2312" w:cs="仿宋_GB2312"/>
          <w:bCs/>
          <w:sz w:val="28"/>
          <w:szCs w:val="28"/>
        </w:rPr>
        <w:t>MJAS是当地唯一一家机场地面服务公司，服务涵盖全部过站曼德勒的航空公司。公司与MJAS签订的地面服务总协议，包含有运控、货运、餐食、配载等地面服务（曼德勒机场）。但无法提供145部（机务维修）类服务。</w:t>
      </w:r>
    </w:p>
    <w:p>
      <w:pPr>
        <w:ind w:firstLine="560" w:firstLineChars="200"/>
        <w:rPr>
          <w:rFonts w:ascii="仿宋_GB2312" w:hAnsi="仿宋_GB2312" w:eastAsia="仿宋_GB2312" w:cs="仿宋_GB2312"/>
          <w:bCs/>
          <w:sz w:val="28"/>
          <w:szCs w:val="28"/>
        </w:rPr>
      </w:pPr>
    </w:p>
    <w:p>
      <w:pPr>
        <w:ind w:firstLine="560" w:firstLineChars="200"/>
        <w:rPr>
          <w:rFonts w:ascii="仿宋_GB2312" w:hAnsi="仿宋_GB2312" w:eastAsia="仿宋_GB2312" w:cs="仿宋_GB2312"/>
          <w:bCs/>
          <w:sz w:val="28"/>
          <w:szCs w:val="28"/>
        </w:rPr>
      </w:pPr>
      <w:r>
        <w:rPr>
          <w:rFonts w:hint="eastAsia" w:ascii="仿宋_GB2312" w:hAnsi="仿宋_GB2312" w:eastAsia="仿宋_GB2312" w:cs="仿宋_GB2312"/>
          <w:bCs/>
          <w:sz w:val="28"/>
          <w:szCs w:val="28"/>
        </w:rPr>
        <w:drawing>
          <wp:inline distT="0" distB="0" distL="114300" distR="114300">
            <wp:extent cx="3224530" cy="2419985"/>
            <wp:effectExtent l="0" t="0" r="13970" b="18415"/>
            <wp:docPr id="4" name="图片 4" descr="4183409406730581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41834094067305818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24530" cy="2419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仿宋_GB2312" w:hAnsi="仿宋_GB2312" w:eastAsia="仿宋_GB2312" w:cs="仿宋_GB2312"/>
          <w:bCs/>
          <w:sz w:val="28"/>
          <w:szCs w:val="28"/>
        </w:rPr>
        <w:t xml:space="preserve"> </w:t>
      </w:r>
      <w:r>
        <w:rPr>
          <w:rFonts w:hint="eastAsia" w:ascii="仿宋_GB2312" w:hAnsi="仿宋_GB2312" w:eastAsia="仿宋_GB2312" w:cs="仿宋_GB2312"/>
          <w:bCs/>
          <w:sz w:val="28"/>
          <w:szCs w:val="28"/>
        </w:rPr>
        <w:drawing>
          <wp:inline distT="0" distB="0" distL="114300" distR="114300">
            <wp:extent cx="2364105" cy="3152140"/>
            <wp:effectExtent l="0" t="0" r="17145" b="10160"/>
            <wp:docPr id="5" name="图片 5" descr="5391333924850440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539133392485044090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4105" cy="315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360" w:firstLineChars="200"/>
        <w:jc w:val="center"/>
        <w:rPr>
          <w:rFonts w:ascii="仿宋_GB2312" w:hAnsi="仿宋_GB2312" w:eastAsia="仿宋_GB2312" w:cs="仿宋_GB2312"/>
          <w:bCs/>
          <w:sz w:val="18"/>
          <w:szCs w:val="18"/>
        </w:rPr>
      </w:pPr>
    </w:p>
    <w:p>
      <w:pPr>
        <w:ind w:firstLine="360" w:firstLineChars="200"/>
        <w:jc w:val="center"/>
        <w:rPr>
          <w:rFonts w:ascii="仿宋_GB2312" w:hAnsi="仿宋_GB2312" w:eastAsia="仿宋_GB2312" w:cs="仿宋_GB2312"/>
          <w:bCs/>
          <w:sz w:val="18"/>
          <w:szCs w:val="18"/>
        </w:rPr>
      </w:pPr>
      <w:r>
        <w:rPr>
          <w:rFonts w:hint="eastAsia" w:ascii="仿宋_GB2312" w:hAnsi="仿宋_GB2312" w:eastAsia="仿宋_GB2312" w:cs="仿宋_GB2312"/>
          <w:bCs/>
          <w:sz w:val="18"/>
          <w:szCs w:val="18"/>
        </w:rPr>
        <w:t>MJAS地勤车辆</w:t>
      </w:r>
    </w:p>
    <w:p>
      <w:pPr>
        <w:rPr>
          <w:rFonts w:ascii="仿宋_GB2312" w:hAnsi="仿宋_GB2312" w:eastAsia="仿宋_GB2312" w:cs="仿宋_GB2312"/>
          <w:bCs/>
          <w:sz w:val="18"/>
          <w:szCs w:val="18"/>
        </w:rPr>
      </w:pPr>
    </w:p>
    <w:p>
      <w:pPr>
        <w:pStyle w:val="18"/>
        <w:spacing w:line="600" w:lineRule="exact"/>
        <w:ind w:firstLine="0" w:firstLineChars="0"/>
        <w:rPr>
          <w:rFonts w:ascii="仿宋_GB2312" w:hAnsi="仿宋_GB2312" w:eastAsia="仿宋_GB2312" w:cs="仿宋_GB2312"/>
          <w:bCs/>
          <w:sz w:val="28"/>
          <w:szCs w:val="28"/>
        </w:rPr>
      </w:pPr>
      <w:r>
        <w:rPr>
          <w:rFonts w:hint="eastAsia" w:ascii="仿宋_GB2312" w:hAnsi="仿宋_GB2312" w:eastAsia="仿宋_GB2312" w:cs="仿宋_GB2312"/>
          <w:b/>
          <w:bCs/>
          <w:sz w:val="28"/>
          <w:szCs w:val="28"/>
        </w:rPr>
        <w:t>2、昆明隆瑞</w:t>
      </w:r>
    </w:p>
    <w:p>
      <w:pPr>
        <w:ind w:firstLine="560" w:firstLineChars="200"/>
        <w:rPr>
          <w:rFonts w:ascii="仿宋_GB2312" w:hAnsi="仿宋_GB2312" w:eastAsia="仿宋_GB2312" w:cs="仿宋_GB2312"/>
          <w:bCs/>
          <w:sz w:val="28"/>
          <w:szCs w:val="28"/>
        </w:rPr>
      </w:pPr>
      <w:r>
        <w:rPr>
          <w:rFonts w:hint="eastAsia" w:ascii="仿宋_GB2312" w:hAnsi="仿宋_GB2312" w:eastAsia="仿宋_GB2312" w:cs="仿宋_GB2312"/>
          <w:bCs/>
          <w:sz w:val="28"/>
          <w:szCs w:val="28"/>
        </w:rPr>
        <w:t>我司与昆明隆瑞签署维修放行协议，该公司外派3人长期驻外曼德勒。只提供维修放行服务，放行单位包括国内川航、东航、瑞丽航、东海航、九元等航司。当地机场无换轮能力（未配备换轮工具）。</w:t>
      </w:r>
    </w:p>
    <w:p>
      <w:pPr>
        <w:ind w:firstLine="560" w:firstLineChars="200"/>
        <w:rPr>
          <w:rFonts w:ascii="仿宋_GB2312" w:hAnsi="仿宋_GB2312" w:eastAsia="仿宋_GB2312" w:cs="仿宋_GB2312"/>
          <w:bCs/>
          <w:sz w:val="28"/>
          <w:szCs w:val="28"/>
        </w:rPr>
      </w:pPr>
      <w:r>
        <w:rPr>
          <w:rFonts w:hint="eastAsia" w:ascii="仿宋_GB2312" w:hAnsi="仿宋_GB2312" w:eastAsia="仿宋_GB2312" w:cs="仿宋_GB2312"/>
          <w:bCs/>
          <w:sz w:val="28"/>
          <w:szCs w:val="28"/>
        </w:rPr>
        <w:drawing>
          <wp:inline distT="0" distB="0" distL="114300" distR="114300">
            <wp:extent cx="2002155" cy="2670810"/>
            <wp:effectExtent l="0" t="0" r="17145" b="15240"/>
            <wp:docPr id="6" name="图片 6" descr="3862445188948577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38624451889485771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02155" cy="267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仿宋_GB2312" w:hAnsi="仿宋_GB2312" w:eastAsia="仿宋_GB2312" w:cs="仿宋_GB2312"/>
          <w:bCs/>
          <w:sz w:val="28"/>
          <w:szCs w:val="28"/>
        </w:rPr>
        <w:t xml:space="preserve"> </w:t>
      </w:r>
      <w:r>
        <w:rPr>
          <w:rFonts w:hint="eastAsia" w:ascii="仿宋_GB2312" w:hAnsi="仿宋_GB2312" w:eastAsia="仿宋_GB2312" w:cs="仿宋_GB2312"/>
          <w:bCs/>
          <w:sz w:val="28"/>
          <w:szCs w:val="28"/>
        </w:rPr>
        <w:drawing>
          <wp:inline distT="0" distB="0" distL="114300" distR="114300">
            <wp:extent cx="1995805" cy="2662555"/>
            <wp:effectExtent l="0" t="0" r="4445" b="4445"/>
            <wp:docPr id="7" name="图片 7" descr="3088617409266025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30886174092660252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95805" cy="266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仿宋_GB2312" w:hAnsi="仿宋_GB2312" w:eastAsia="仿宋_GB2312" w:cs="仿宋_GB2312"/>
          <w:bCs/>
          <w:sz w:val="28"/>
          <w:szCs w:val="28"/>
        </w:rPr>
        <w:t xml:space="preserve"> </w:t>
      </w:r>
      <w:r>
        <w:rPr>
          <w:rFonts w:hint="eastAsia" w:ascii="仿宋_GB2312" w:hAnsi="仿宋_GB2312" w:eastAsia="仿宋_GB2312" w:cs="仿宋_GB2312"/>
          <w:bCs/>
          <w:sz w:val="28"/>
          <w:szCs w:val="28"/>
        </w:rPr>
        <w:drawing>
          <wp:inline distT="0" distB="0" distL="114300" distR="114300">
            <wp:extent cx="2000250" cy="2667000"/>
            <wp:effectExtent l="0" t="0" r="0" b="0"/>
            <wp:docPr id="8" name="图片 8" descr="3918607642115087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39186076421150878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4860" w:firstLineChars="2700"/>
        <w:rPr>
          <w:rFonts w:ascii="仿宋_GB2312" w:hAnsi="仿宋_GB2312" w:eastAsia="仿宋_GB2312" w:cs="仿宋_GB2312"/>
          <w:bCs/>
          <w:sz w:val="28"/>
          <w:szCs w:val="28"/>
        </w:rPr>
      </w:pPr>
      <w:r>
        <w:rPr>
          <w:rFonts w:hint="eastAsia" w:ascii="仿宋_GB2312" w:hAnsi="仿宋_GB2312" w:eastAsia="仿宋_GB2312" w:cs="仿宋_GB2312"/>
          <w:bCs/>
          <w:sz w:val="18"/>
          <w:szCs w:val="18"/>
        </w:rPr>
        <w:t>昆明隆瑞办公室</w:t>
      </w:r>
    </w:p>
    <w:p>
      <w:pPr>
        <w:ind w:firstLine="560" w:firstLineChars="200"/>
        <w:rPr>
          <w:rFonts w:ascii="仿宋_GB2312" w:hAnsi="仿宋_GB2312" w:eastAsia="仿宋_GB2312" w:cs="仿宋_GB2312"/>
          <w:bCs/>
          <w:sz w:val="28"/>
          <w:szCs w:val="28"/>
        </w:rPr>
      </w:pPr>
    </w:p>
    <w:p>
      <w:pPr>
        <w:numPr>
          <w:ilvl w:val="0"/>
          <w:numId w:val="1"/>
        </w:numPr>
        <w:rPr>
          <w:rFonts w:ascii="仿宋_GB2312" w:hAnsi="仿宋_GB2312" w:eastAsia="仿宋_GB2312" w:cs="仿宋_GB2312"/>
          <w:bCs/>
          <w:sz w:val="28"/>
          <w:szCs w:val="28"/>
        </w:rPr>
      </w:pPr>
      <w:r>
        <w:rPr>
          <w:rFonts w:hint="eastAsia" w:ascii="仿宋_GB2312" w:hAnsi="仿宋_GB2312" w:eastAsia="仿宋_GB2312" w:cs="仿宋_GB2312"/>
          <w:b/>
          <w:bCs/>
          <w:sz w:val="28"/>
          <w:szCs w:val="28"/>
        </w:rPr>
        <w:t>海关运输备注：</w:t>
      </w:r>
    </w:p>
    <w:p>
      <w:pPr>
        <w:ind w:firstLine="560" w:firstLineChars="200"/>
        <w:rPr>
          <w:rFonts w:hint="eastAsia" w:ascii="仿宋_GB2312" w:hAnsi="仿宋_GB2312" w:eastAsia="仿宋_GB2312" w:cs="仿宋_GB2312"/>
          <w:bCs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bCs/>
          <w:sz w:val="28"/>
          <w:szCs w:val="28"/>
        </w:rPr>
        <w:t>曼德勒当地无任何资源，非AOG情况下运输，需向海关提申请，确认之后通知维修单位取件仓储（航材免税）。AOG情况下空运可飞机自带航材，不出机场无需申报海关。如陆运运输，则一切走正规流程，比较繁琐。对于维修人员，缅甸机场支持中国公民落地签，且进场证可通过地服代理办理，需押护照。</w:t>
      </w:r>
      <w:r>
        <w:rPr>
          <w:rFonts w:hint="eastAsia" w:ascii="仿宋_GB2312" w:hAnsi="仿宋_GB2312" w:eastAsia="仿宋_GB2312" w:cs="仿宋_GB2312"/>
          <w:bCs/>
          <w:sz w:val="28"/>
          <w:szCs w:val="28"/>
          <w:lang w:eastAsia="zh-CN"/>
        </w:rPr>
        <w:t>大型</w:t>
      </w:r>
      <w:r>
        <w:rPr>
          <w:rFonts w:hint="eastAsia" w:ascii="仿宋_GB2312" w:hAnsi="仿宋_GB2312" w:eastAsia="仿宋_GB2312" w:cs="仿宋_GB2312"/>
          <w:bCs/>
          <w:sz w:val="28"/>
          <w:szCs w:val="28"/>
          <w:lang w:val="en-US" w:eastAsia="zh-CN"/>
        </w:rPr>
        <w:t>AOG保障：建议航材、设备等包机空运运输，</w:t>
      </w:r>
      <w:r>
        <w:rPr>
          <w:rFonts w:hint="eastAsia" w:ascii="仿宋_GB2312" w:hAnsi="仿宋_GB2312" w:eastAsia="仿宋_GB2312" w:cs="仿宋_GB2312"/>
          <w:sz w:val="28"/>
          <w:szCs w:val="28"/>
        </w:rPr>
        <w:t>最大可起降B474/A380。</w:t>
      </w:r>
      <w:r>
        <w:rPr>
          <w:rFonts w:hint="eastAsia" w:ascii="仿宋_GB2312" w:hAnsi="仿宋_GB2312" w:eastAsia="仿宋_GB2312" w:cs="仿宋_GB2312"/>
          <w:sz w:val="28"/>
          <w:szCs w:val="28"/>
          <w:lang w:eastAsia="zh-CN"/>
        </w:rPr>
        <w:t>由于曼德勒机场特殊，如有问题可提前和机场地服公司</w:t>
      </w: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MJAS</w:t>
      </w:r>
      <w:r>
        <w:rPr>
          <w:rFonts w:hint="eastAsia" w:ascii="仿宋_GB2312" w:hAnsi="仿宋_GB2312" w:eastAsia="仿宋_GB2312" w:cs="仿宋_GB2312"/>
          <w:sz w:val="28"/>
          <w:szCs w:val="28"/>
          <w:lang w:eastAsia="zh-CN"/>
        </w:rPr>
        <w:t>求助解决。</w:t>
      </w:r>
    </w:p>
    <w:sectPr>
      <w:headerReference r:id="rId3" w:type="default"/>
      <w:footerReference r:id="rId4" w:type="default"/>
      <w:pgSz w:w="11906" w:h="16838"/>
      <w:pgMar w:top="1417" w:right="567" w:bottom="567" w:left="567" w:header="567" w:footer="227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jc w:val="right"/>
    </w:pPr>
    <w:r>
      <w:pict>
        <v:shape id="文本框5" o:spid="_x0000_s4097" o:spt="202" type="#_x0000_t202" style="position:absolute;left:0pt;margin-top:0pt;height:144pt;width:144pt;mso-position-horizontal:right;mso-position-horizontal-relative:margin;mso-wrap-style:none;z-index:251658240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">
          <v:path/>
          <v:fill on="f" focussize="0,0"/>
          <v:stroke on="f" joinstyle="miter"/>
          <v:imagedata o:title=""/>
          <o:lock v:ext="edit"/>
          <v:textbox inset="0mm,0mm,0mm,0mm" style="mso-fit-shape-to-text:t;">
            <w:txbxContent>
              <w:p>
                <w:pPr>
                  <w:snapToGrid w:val="0"/>
                  <w:rPr>
                    <w:sz w:val="18"/>
                  </w:rPr>
                </w:pPr>
                <w:r>
                  <w:rPr>
                    <w:rFonts w:hint="eastAsia"/>
                    <w:sz w:val="18"/>
                  </w:rPr>
                  <w:t xml:space="preserve">第 </w:t>
                </w:r>
                <w:r>
                  <w:rPr>
                    <w:rFonts w:hint="eastAsia"/>
                    <w:sz w:val="18"/>
                  </w:rPr>
                  <w:fldChar w:fldCharType="begin"/>
                </w:r>
                <w:r>
                  <w:rPr>
                    <w:rFonts w:hint="eastAsia"/>
                    <w:sz w:val="18"/>
                  </w:rPr>
                  <w:instrText xml:space="preserve"> PAGE  \* MERGEFORMAT </w:instrText>
                </w:r>
                <w:r>
                  <w:rPr>
                    <w:rFonts w:hint="eastAsia"/>
                    <w:sz w:val="18"/>
                  </w:rPr>
                  <w:fldChar w:fldCharType="separate"/>
                </w:r>
                <w:r>
                  <w:t>4</w:t>
                </w:r>
                <w:r>
                  <w:rPr>
                    <w:rFonts w:hint="eastAsia"/>
                    <w:sz w:val="18"/>
                  </w:rPr>
                  <w:fldChar w:fldCharType="end"/>
                </w:r>
                <w:r>
                  <w:rPr>
                    <w:rFonts w:hint="eastAsia"/>
                    <w:sz w:val="18"/>
                  </w:rPr>
                  <w:t xml:space="preserve"> 页 共 </w:t>
                </w:r>
                <w:r>
                  <w:fldChar w:fldCharType="begin"/>
                </w:r>
                <w:r>
                  <w:instrText xml:space="preserve"> NUMPAGES  \* MERGEFORMAT </w:instrText>
                </w:r>
                <w:r>
                  <w:fldChar w:fldCharType="separate"/>
                </w:r>
                <w:r>
                  <w:rPr>
                    <w:sz w:val="18"/>
                  </w:rPr>
                  <w:t>4</w:t>
                </w:r>
                <w:r>
                  <w:rPr>
                    <w:sz w:val="18"/>
                  </w:rPr>
                  <w:fldChar w:fldCharType="end"/>
                </w:r>
                <w:r>
                  <w:rPr>
                    <w:rFonts w:hint="eastAsia"/>
                    <w:sz w:val="18"/>
                  </w:rPr>
                  <w:t xml:space="preserve"> 页</w:t>
                </w:r>
              </w:p>
            </w:txbxContent>
          </v:textbox>
        </v:shape>
      </w:pic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pBdr>
        <w:bottom w:val="single" w:color="auto" w:sz="4" w:space="1"/>
      </w:pBdr>
      <w:jc w:val="center"/>
      <w:rPr>
        <w:rFonts w:asciiTheme="majorEastAsia" w:hAnsiTheme="majorEastAsia" w:eastAsiaTheme="majorEastAsia" w:cstheme="majorEastAsia"/>
        <w:b/>
        <w:bCs/>
        <w:sz w:val="44"/>
        <w:szCs w:val="44"/>
      </w:rPr>
    </w:pPr>
    <w:r>
      <w:rPr>
        <w:rFonts w:hint="eastAsia" w:asciiTheme="majorEastAsia" w:hAnsiTheme="majorEastAsia" w:eastAsiaTheme="majorEastAsia" w:cstheme="majorEastAsia"/>
        <w:b/>
        <w:bCs/>
        <w:sz w:val="44"/>
        <w:szCs w:val="44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13335</wp:posOffset>
          </wp:positionH>
          <wp:positionV relativeFrom="paragraph">
            <wp:posOffset>24130</wp:posOffset>
          </wp:positionV>
          <wp:extent cx="1604645" cy="450850"/>
          <wp:effectExtent l="0" t="0" r="14605" b="6350"/>
          <wp:wrapSquare wrapText="bothSides"/>
          <wp:docPr id="3" name="图片 3" descr="QQ截图2018012410484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QQ截图20180124104845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604645" cy="4508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hint="eastAsia" w:asciiTheme="majorEastAsia" w:hAnsiTheme="majorEastAsia" w:eastAsiaTheme="majorEastAsia" w:cstheme="majorEastAsia"/>
        <w:b/>
        <w:bCs/>
        <w:sz w:val="44"/>
        <w:szCs w:val="44"/>
      </w:rPr>
      <w:t>外站AOG保障手册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6CC69E0"/>
    <w:multiLevelType w:val="singleLevel"/>
    <w:tmpl w:val="56CC69E0"/>
    <w:lvl w:ilvl="0" w:tentative="0">
      <w:start w:val="3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doNotValidateAgainstSchema/>
  <w:doNotDemarcateInvalidXml/>
  <w:hdrShapeDefaults>
    <o:shapelayout v:ext="edit">
      <o:idmap v:ext="edit" data="3,4"/>
    </o:shapelayout>
  </w:hdrShapeDefaults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2"/>
  </w:compat>
  <w:rsids>
    <w:rsidRoot w:val="00172A27"/>
    <w:rsid w:val="000234BE"/>
    <w:rsid w:val="00030B0E"/>
    <w:rsid w:val="00037133"/>
    <w:rsid w:val="00080E17"/>
    <w:rsid w:val="000825AC"/>
    <w:rsid w:val="00095EED"/>
    <w:rsid w:val="00097F8B"/>
    <w:rsid w:val="000A429A"/>
    <w:rsid w:val="000A4EB0"/>
    <w:rsid w:val="000D061E"/>
    <w:rsid w:val="000E49B0"/>
    <w:rsid w:val="00170382"/>
    <w:rsid w:val="00172A27"/>
    <w:rsid w:val="00174C95"/>
    <w:rsid w:val="001952FF"/>
    <w:rsid w:val="001A78E7"/>
    <w:rsid w:val="001C7799"/>
    <w:rsid w:val="0020251C"/>
    <w:rsid w:val="00232CA5"/>
    <w:rsid w:val="00293F71"/>
    <w:rsid w:val="002C3223"/>
    <w:rsid w:val="002D6BFD"/>
    <w:rsid w:val="0036274F"/>
    <w:rsid w:val="00375076"/>
    <w:rsid w:val="00377902"/>
    <w:rsid w:val="00383F42"/>
    <w:rsid w:val="003B1462"/>
    <w:rsid w:val="003B26A2"/>
    <w:rsid w:val="003C0D36"/>
    <w:rsid w:val="003D3DAB"/>
    <w:rsid w:val="003F4FA0"/>
    <w:rsid w:val="004023B0"/>
    <w:rsid w:val="004119DF"/>
    <w:rsid w:val="00472839"/>
    <w:rsid w:val="00484B34"/>
    <w:rsid w:val="004A07C1"/>
    <w:rsid w:val="004E7B35"/>
    <w:rsid w:val="004F1A04"/>
    <w:rsid w:val="00504D24"/>
    <w:rsid w:val="00512944"/>
    <w:rsid w:val="00512C7E"/>
    <w:rsid w:val="00515AFE"/>
    <w:rsid w:val="00522BE6"/>
    <w:rsid w:val="00535DA4"/>
    <w:rsid w:val="00547494"/>
    <w:rsid w:val="00560D2E"/>
    <w:rsid w:val="0057559D"/>
    <w:rsid w:val="00577A8D"/>
    <w:rsid w:val="005A6225"/>
    <w:rsid w:val="005C2EB3"/>
    <w:rsid w:val="00616273"/>
    <w:rsid w:val="006417E6"/>
    <w:rsid w:val="006735F2"/>
    <w:rsid w:val="006B2A2D"/>
    <w:rsid w:val="006F7DC0"/>
    <w:rsid w:val="00705474"/>
    <w:rsid w:val="007340FD"/>
    <w:rsid w:val="00737F31"/>
    <w:rsid w:val="00744B3C"/>
    <w:rsid w:val="00747F0D"/>
    <w:rsid w:val="00757253"/>
    <w:rsid w:val="00764AAA"/>
    <w:rsid w:val="00766486"/>
    <w:rsid w:val="00776C0C"/>
    <w:rsid w:val="00784D99"/>
    <w:rsid w:val="00790C79"/>
    <w:rsid w:val="007A5C90"/>
    <w:rsid w:val="007D1B07"/>
    <w:rsid w:val="00820BE3"/>
    <w:rsid w:val="00826EB3"/>
    <w:rsid w:val="00843639"/>
    <w:rsid w:val="00866036"/>
    <w:rsid w:val="00880D5B"/>
    <w:rsid w:val="0088367A"/>
    <w:rsid w:val="008B70E6"/>
    <w:rsid w:val="008C5C10"/>
    <w:rsid w:val="00933997"/>
    <w:rsid w:val="0096337C"/>
    <w:rsid w:val="009921BE"/>
    <w:rsid w:val="009A27B9"/>
    <w:rsid w:val="009C0E1C"/>
    <w:rsid w:val="009C1945"/>
    <w:rsid w:val="00A0701A"/>
    <w:rsid w:val="00A403D6"/>
    <w:rsid w:val="00A91872"/>
    <w:rsid w:val="00A96D51"/>
    <w:rsid w:val="00AA1EDF"/>
    <w:rsid w:val="00AF40E4"/>
    <w:rsid w:val="00AF53F3"/>
    <w:rsid w:val="00B258F6"/>
    <w:rsid w:val="00B61ED1"/>
    <w:rsid w:val="00B95276"/>
    <w:rsid w:val="00BA04A8"/>
    <w:rsid w:val="00BA1C38"/>
    <w:rsid w:val="00BD60AA"/>
    <w:rsid w:val="00C0686C"/>
    <w:rsid w:val="00C16534"/>
    <w:rsid w:val="00C20A2D"/>
    <w:rsid w:val="00C43325"/>
    <w:rsid w:val="00C556ED"/>
    <w:rsid w:val="00C57D41"/>
    <w:rsid w:val="00C7071D"/>
    <w:rsid w:val="00C72926"/>
    <w:rsid w:val="00C828FA"/>
    <w:rsid w:val="00C8311D"/>
    <w:rsid w:val="00C96A6E"/>
    <w:rsid w:val="00CA562C"/>
    <w:rsid w:val="00CB1789"/>
    <w:rsid w:val="00CD58DE"/>
    <w:rsid w:val="00CE5DC9"/>
    <w:rsid w:val="00D13AAB"/>
    <w:rsid w:val="00D15150"/>
    <w:rsid w:val="00D413D1"/>
    <w:rsid w:val="00D532FD"/>
    <w:rsid w:val="00D704A2"/>
    <w:rsid w:val="00D769BC"/>
    <w:rsid w:val="00DA7E0A"/>
    <w:rsid w:val="00DB4F15"/>
    <w:rsid w:val="00DB6990"/>
    <w:rsid w:val="00DE0FE3"/>
    <w:rsid w:val="00E007E0"/>
    <w:rsid w:val="00E071E1"/>
    <w:rsid w:val="00E2244C"/>
    <w:rsid w:val="00E42CBA"/>
    <w:rsid w:val="00E559C0"/>
    <w:rsid w:val="00E578F2"/>
    <w:rsid w:val="00E82480"/>
    <w:rsid w:val="00EC3660"/>
    <w:rsid w:val="00ED26AB"/>
    <w:rsid w:val="00ED4DCC"/>
    <w:rsid w:val="00ED7BE4"/>
    <w:rsid w:val="00EE41CC"/>
    <w:rsid w:val="00EF650A"/>
    <w:rsid w:val="00F110E5"/>
    <w:rsid w:val="00F13667"/>
    <w:rsid w:val="00F32497"/>
    <w:rsid w:val="00F422FB"/>
    <w:rsid w:val="00FA227F"/>
    <w:rsid w:val="00FA23AF"/>
    <w:rsid w:val="00FC0F25"/>
    <w:rsid w:val="00FC3135"/>
    <w:rsid w:val="00FC4D91"/>
    <w:rsid w:val="00FD4745"/>
    <w:rsid w:val="01CC0423"/>
    <w:rsid w:val="02124197"/>
    <w:rsid w:val="023D639D"/>
    <w:rsid w:val="02AE33C7"/>
    <w:rsid w:val="02D07167"/>
    <w:rsid w:val="042931A6"/>
    <w:rsid w:val="05FC265C"/>
    <w:rsid w:val="06BC3690"/>
    <w:rsid w:val="08226B93"/>
    <w:rsid w:val="08D67C9C"/>
    <w:rsid w:val="093E22CC"/>
    <w:rsid w:val="09A520F4"/>
    <w:rsid w:val="0A95151B"/>
    <w:rsid w:val="0B21714A"/>
    <w:rsid w:val="0C525AB4"/>
    <w:rsid w:val="0C5A3414"/>
    <w:rsid w:val="0CAA6DB0"/>
    <w:rsid w:val="0CD61D88"/>
    <w:rsid w:val="0CFA199F"/>
    <w:rsid w:val="0D0C140C"/>
    <w:rsid w:val="0DD86E11"/>
    <w:rsid w:val="0E161724"/>
    <w:rsid w:val="0E701A4A"/>
    <w:rsid w:val="0EC447CC"/>
    <w:rsid w:val="0F2D3EF9"/>
    <w:rsid w:val="0F612FE7"/>
    <w:rsid w:val="10025FF0"/>
    <w:rsid w:val="10343A84"/>
    <w:rsid w:val="114E4586"/>
    <w:rsid w:val="136271A7"/>
    <w:rsid w:val="1363402F"/>
    <w:rsid w:val="1490052F"/>
    <w:rsid w:val="14A87BB3"/>
    <w:rsid w:val="156A2C4E"/>
    <w:rsid w:val="159F334B"/>
    <w:rsid w:val="163E37B8"/>
    <w:rsid w:val="16685650"/>
    <w:rsid w:val="166A3FA8"/>
    <w:rsid w:val="16AF0D85"/>
    <w:rsid w:val="16B36D4D"/>
    <w:rsid w:val="16F64F12"/>
    <w:rsid w:val="16FF7334"/>
    <w:rsid w:val="17A24608"/>
    <w:rsid w:val="18405D00"/>
    <w:rsid w:val="19057703"/>
    <w:rsid w:val="192149CF"/>
    <w:rsid w:val="1A581543"/>
    <w:rsid w:val="1A745FB3"/>
    <w:rsid w:val="1B3D3635"/>
    <w:rsid w:val="1BF13150"/>
    <w:rsid w:val="1C2E2F3C"/>
    <w:rsid w:val="1D2D1547"/>
    <w:rsid w:val="1E0210EA"/>
    <w:rsid w:val="202F60AC"/>
    <w:rsid w:val="20F70559"/>
    <w:rsid w:val="2104506C"/>
    <w:rsid w:val="215B2254"/>
    <w:rsid w:val="215B43AD"/>
    <w:rsid w:val="230E4D6D"/>
    <w:rsid w:val="233C26FC"/>
    <w:rsid w:val="2383521B"/>
    <w:rsid w:val="24873956"/>
    <w:rsid w:val="24900C3B"/>
    <w:rsid w:val="255460C8"/>
    <w:rsid w:val="25687640"/>
    <w:rsid w:val="25942968"/>
    <w:rsid w:val="26AA0C6C"/>
    <w:rsid w:val="276D1047"/>
    <w:rsid w:val="27C621F9"/>
    <w:rsid w:val="287D586A"/>
    <w:rsid w:val="291B2A9A"/>
    <w:rsid w:val="297F5EFD"/>
    <w:rsid w:val="29A71294"/>
    <w:rsid w:val="2B767EC9"/>
    <w:rsid w:val="2B9938FC"/>
    <w:rsid w:val="2D095DD0"/>
    <w:rsid w:val="2E03028B"/>
    <w:rsid w:val="2E2E65FE"/>
    <w:rsid w:val="2EDB26E4"/>
    <w:rsid w:val="32F1449E"/>
    <w:rsid w:val="33CC5127"/>
    <w:rsid w:val="33DA4013"/>
    <w:rsid w:val="347E3BD2"/>
    <w:rsid w:val="3582520A"/>
    <w:rsid w:val="35856C8D"/>
    <w:rsid w:val="35D00F7C"/>
    <w:rsid w:val="35FD7A3C"/>
    <w:rsid w:val="36066807"/>
    <w:rsid w:val="369127F5"/>
    <w:rsid w:val="371B35B6"/>
    <w:rsid w:val="374E3DD0"/>
    <w:rsid w:val="378B1CB1"/>
    <w:rsid w:val="38F71A6D"/>
    <w:rsid w:val="39391BC2"/>
    <w:rsid w:val="39653C76"/>
    <w:rsid w:val="3A0D748E"/>
    <w:rsid w:val="3A6C7728"/>
    <w:rsid w:val="3B261DC1"/>
    <w:rsid w:val="3B3F1068"/>
    <w:rsid w:val="3C825A07"/>
    <w:rsid w:val="3C9C6D44"/>
    <w:rsid w:val="3CD33F10"/>
    <w:rsid w:val="3D41582C"/>
    <w:rsid w:val="3E846238"/>
    <w:rsid w:val="3FEC31D0"/>
    <w:rsid w:val="406F39E4"/>
    <w:rsid w:val="411924B4"/>
    <w:rsid w:val="412676D2"/>
    <w:rsid w:val="4144469D"/>
    <w:rsid w:val="415C44C9"/>
    <w:rsid w:val="42135F6F"/>
    <w:rsid w:val="429C5C97"/>
    <w:rsid w:val="44D209C9"/>
    <w:rsid w:val="451D7311"/>
    <w:rsid w:val="452E455B"/>
    <w:rsid w:val="45AB1174"/>
    <w:rsid w:val="45BE5A54"/>
    <w:rsid w:val="46415AD2"/>
    <w:rsid w:val="4652091D"/>
    <w:rsid w:val="4670228F"/>
    <w:rsid w:val="46DE5C74"/>
    <w:rsid w:val="46FF030F"/>
    <w:rsid w:val="475168C9"/>
    <w:rsid w:val="476D7688"/>
    <w:rsid w:val="47B72F83"/>
    <w:rsid w:val="486459E2"/>
    <w:rsid w:val="48751B18"/>
    <w:rsid w:val="48EE48B5"/>
    <w:rsid w:val="49505F48"/>
    <w:rsid w:val="49B830A9"/>
    <w:rsid w:val="4A170F03"/>
    <w:rsid w:val="4B0E0FB1"/>
    <w:rsid w:val="4B6323E0"/>
    <w:rsid w:val="4C1655A2"/>
    <w:rsid w:val="4C3C600D"/>
    <w:rsid w:val="4E681522"/>
    <w:rsid w:val="4FCF633B"/>
    <w:rsid w:val="50002B1C"/>
    <w:rsid w:val="509945FB"/>
    <w:rsid w:val="50C2317A"/>
    <w:rsid w:val="52C32C2F"/>
    <w:rsid w:val="52EA4E20"/>
    <w:rsid w:val="5436411E"/>
    <w:rsid w:val="54B028AA"/>
    <w:rsid w:val="54EE1263"/>
    <w:rsid w:val="553F0297"/>
    <w:rsid w:val="55B54BF4"/>
    <w:rsid w:val="560107F6"/>
    <w:rsid w:val="57DB6535"/>
    <w:rsid w:val="57F6715F"/>
    <w:rsid w:val="582544FA"/>
    <w:rsid w:val="58416161"/>
    <w:rsid w:val="590356BD"/>
    <w:rsid w:val="593801A3"/>
    <w:rsid w:val="59D33201"/>
    <w:rsid w:val="5AEB394F"/>
    <w:rsid w:val="5BCE405B"/>
    <w:rsid w:val="5C57517A"/>
    <w:rsid w:val="5C8E5C36"/>
    <w:rsid w:val="5CBD324D"/>
    <w:rsid w:val="5E013462"/>
    <w:rsid w:val="5E9F5AAE"/>
    <w:rsid w:val="61471CA2"/>
    <w:rsid w:val="61D40024"/>
    <w:rsid w:val="6248747F"/>
    <w:rsid w:val="62826D67"/>
    <w:rsid w:val="63383C60"/>
    <w:rsid w:val="636E0979"/>
    <w:rsid w:val="6397207C"/>
    <w:rsid w:val="64754A97"/>
    <w:rsid w:val="6536613E"/>
    <w:rsid w:val="659518FA"/>
    <w:rsid w:val="65BA22CC"/>
    <w:rsid w:val="66251C04"/>
    <w:rsid w:val="662B7318"/>
    <w:rsid w:val="66EC6F91"/>
    <w:rsid w:val="6830179C"/>
    <w:rsid w:val="68C21D27"/>
    <w:rsid w:val="69E7711F"/>
    <w:rsid w:val="6A2D7552"/>
    <w:rsid w:val="6AFC00CF"/>
    <w:rsid w:val="6B5B2538"/>
    <w:rsid w:val="6B72037F"/>
    <w:rsid w:val="6C892A0B"/>
    <w:rsid w:val="6C921546"/>
    <w:rsid w:val="6CC93A1E"/>
    <w:rsid w:val="6D400B1D"/>
    <w:rsid w:val="6E8933D4"/>
    <w:rsid w:val="6F631323"/>
    <w:rsid w:val="712B74CB"/>
    <w:rsid w:val="71B10356"/>
    <w:rsid w:val="71CE25EB"/>
    <w:rsid w:val="7200504A"/>
    <w:rsid w:val="72BA63DA"/>
    <w:rsid w:val="72D001C0"/>
    <w:rsid w:val="73120F83"/>
    <w:rsid w:val="737A107B"/>
    <w:rsid w:val="73EC5986"/>
    <w:rsid w:val="740C7D15"/>
    <w:rsid w:val="74E93CAD"/>
    <w:rsid w:val="74EC5994"/>
    <w:rsid w:val="75486E5A"/>
    <w:rsid w:val="756E7075"/>
    <w:rsid w:val="76591F1A"/>
    <w:rsid w:val="76F47213"/>
    <w:rsid w:val="7837370E"/>
    <w:rsid w:val="78626210"/>
    <w:rsid w:val="793F6C1D"/>
    <w:rsid w:val="7942758F"/>
    <w:rsid w:val="7A476C20"/>
    <w:rsid w:val="7B2C0E24"/>
    <w:rsid w:val="7BCA395B"/>
    <w:rsid w:val="7BD468DB"/>
    <w:rsid w:val="7C09423C"/>
    <w:rsid w:val="7C5321F7"/>
    <w:rsid w:val="7C8F622F"/>
    <w:rsid w:val="7E070777"/>
    <w:rsid w:val="7EA1282E"/>
    <w:rsid w:val="7F7722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iPriority="9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paragraph" w:styleId="2">
    <w:name w:val="heading 2"/>
    <w:basedOn w:val="1"/>
    <w:next w:val="1"/>
    <w:qFormat/>
    <w:uiPriority w:val="0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8">
    <w:name w:val="Default Paragraph Font"/>
    <w:unhideWhenUsed/>
    <w:qFormat/>
    <w:uiPriority w:val="1"/>
  </w:style>
  <w:style w:type="table" w:default="1" w:styleId="11">
    <w:name w:val="Normal Table"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alloon Text"/>
    <w:basedOn w:val="1"/>
    <w:link w:val="19"/>
    <w:unhideWhenUsed/>
    <w:qFormat/>
    <w:uiPriority w:val="99"/>
    <w:rPr>
      <w:sz w:val="18"/>
      <w:szCs w:val="18"/>
    </w:r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6">
    <w:name w:val="HTML Preformatted"/>
    <w:basedOn w:val="1"/>
    <w:link w:val="20"/>
    <w:unhideWhenUsed/>
    <w:qFormat/>
    <w:uiPriority w:val="99"/>
    <w:rPr>
      <w:rFonts w:ascii="Courier New" w:hAnsi="Courier New" w:cs="Courier New"/>
      <w:sz w:val="20"/>
      <w:szCs w:val="20"/>
    </w:rPr>
  </w:style>
  <w:style w:type="paragraph" w:styleId="7">
    <w:name w:val="Normal (Web)"/>
    <w:basedOn w:val="1"/>
    <w:unhideWhenUsed/>
    <w:qFormat/>
    <w:uiPriority w:val="99"/>
    <w:pPr>
      <w:jc w:val="left"/>
    </w:pPr>
    <w:rPr>
      <w:kern w:val="0"/>
      <w:sz w:val="24"/>
    </w:rPr>
  </w:style>
  <w:style w:type="character" w:styleId="9">
    <w:name w:val="FollowedHyperlink"/>
    <w:basedOn w:val="8"/>
    <w:qFormat/>
    <w:uiPriority w:val="0"/>
    <w:rPr>
      <w:color w:val="333333"/>
      <w:u w:val="single"/>
    </w:rPr>
  </w:style>
  <w:style w:type="character" w:styleId="10">
    <w:name w:val="Hyperlink"/>
    <w:basedOn w:val="8"/>
    <w:qFormat/>
    <w:uiPriority w:val="0"/>
    <w:rPr>
      <w:color w:val="003366"/>
      <w:u w:val="single"/>
    </w:rPr>
  </w:style>
  <w:style w:type="table" w:styleId="12">
    <w:name w:val="Table Grid"/>
    <w:basedOn w:val="11"/>
    <w:unhideWhenUsed/>
    <w:qFormat/>
    <w:uiPriority w:val="9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Layout w:type="fixed"/>
    </w:tblPr>
  </w:style>
  <w:style w:type="character" w:customStyle="1" w:styleId="13">
    <w:name w:val="emailstyle19"/>
    <w:basedOn w:val="8"/>
    <w:qFormat/>
    <w:uiPriority w:val="0"/>
    <w:rPr>
      <w:rFonts w:ascii="Arial" w:hAnsi="Arial" w:cs="Arial"/>
      <w:color w:val="auto"/>
    </w:rPr>
  </w:style>
  <w:style w:type="character" w:customStyle="1" w:styleId="14">
    <w:name w:val="Balloon Text Char"/>
    <w:basedOn w:val="8"/>
    <w:qFormat/>
    <w:uiPriority w:val="0"/>
    <w:rPr>
      <w:rFonts w:hint="default" w:ascii="Tahoma" w:hAnsi="Tahoma" w:eastAsia="Tahoma" w:cs="Tahoma"/>
    </w:rPr>
  </w:style>
  <w:style w:type="character" w:customStyle="1" w:styleId="15">
    <w:name w:val="emailstyle21"/>
    <w:basedOn w:val="8"/>
    <w:qFormat/>
    <w:uiPriority w:val="0"/>
    <w:rPr>
      <w:rFonts w:hint="default" w:ascii="Arial" w:hAnsi="Arial" w:cs="Arial"/>
      <w:color w:val="1F497D"/>
    </w:rPr>
  </w:style>
  <w:style w:type="character" w:customStyle="1" w:styleId="16">
    <w:name w:val="emailstyle20"/>
    <w:basedOn w:val="8"/>
    <w:qFormat/>
    <w:uiPriority w:val="0"/>
    <w:rPr>
      <w:rFonts w:hint="default" w:ascii="Arial" w:hAnsi="Arial" w:cs="Arial"/>
      <w:color w:val="1F497D"/>
    </w:rPr>
  </w:style>
  <w:style w:type="paragraph" w:customStyle="1" w:styleId="17">
    <w:name w:val="p0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18">
    <w:name w:val="列出段落1"/>
    <w:basedOn w:val="1"/>
    <w:qFormat/>
    <w:uiPriority w:val="0"/>
    <w:pPr>
      <w:tabs>
        <w:tab w:val="left" w:pos="11475"/>
        <w:tab w:val="left" w:pos="12560"/>
      </w:tabs>
      <w:ind w:firstLine="420" w:firstLineChars="200"/>
    </w:pPr>
  </w:style>
  <w:style w:type="character" w:customStyle="1" w:styleId="19">
    <w:name w:val="批注框文本 字符"/>
    <w:basedOn w:val="8"/>
    <w:link w:val="3"/>
    <w:semiHidden/>
    <w:qFormat/>
    <w:uiPriority w:val="99"/>
    <w:rPr>
      <w:kern w:val="2"/>
      <w:sz w:val="18"/>
      <w:szCs w:val="18"/>
    </w:rPr>
  </w:style>
  <w:style w:type="character" w:customStyle="1" w:styleId="20">
    <w:name w:val="HTML 预设格式 字符"/>
    <w:basedOn w:val="8"/>
    <w:link w:val="6"/>
    <w:semiHidden/>
    <w:qFormat/>
    <w:uiPriority w:val="99"/>
    <w:rPr>
      <w:rFonts w:ascii="Courier New" w:hAnsi="Courier New" w:cs="Courier New"/>
      <w:kern w:val="2"/>
    </w:rPr>
  </w:style>
  <w:style w:type="character" w:customStyle="1" w:styleId="21">
    <w:name w:val="apple-converted-space"/>
    <w:basedOn w:val="8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jpeg"/><Relationship Id="rId8" Type="http://schemas.openxmlformats.org/officeDocument/2006/relationships/image" Target="media/image4.jpeg"/><Relationship Id="rId7" Type="http://schemas.openxmlformats.org/officeDocument/2006/relationships/image" Target="media/image3.jpeg"/><Relationship Id="rId6" Type="http://schemas.openxmlformats.org/officeDocument/2006/relationships/image" Target="media/image2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customXml" Target="../customXml/item2.xml"/><Relationship Id="rId14" Type="http://schemas.openxmlformats.org/officeDocument/2006/relationships/numbering" Target="numbering.xml"/><Relationship Id="rId13" Type="http://schemas.openxmlformats.org/officeDocument/2006/relationships/customXml" Target="../customXml/item1.xml"/><Relationship Id="rId12" Type="http://schemas.openxmlformats.org/officeDocument/2006/relationships/image" Target="media/image8.jpeg"/><Relationship Id="rId11" Type="http://schemas.openxmlformats.org/officeDocument/2006/relationships/image" Target="media/image7.jpeg"/><Relationship Id="rId10" Type="http://schemas.openxmlformats.org/officeDocument/2006/relationships/image" Target="media/image6.jpe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4097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3F7AE29-73C9-4A59-9E51-211E3B5ECE5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http://www.deepbbs.org</Company>
  <Pages>4</Pages>
  <Words>218</Words>
  <Characters>1243</Characters>
  <Lines>10</Lines>
  <Paragraphs>2</Paragraphs>
  <TotalTime>0</TotalTime>
  <ScaleCrop>false</ScaleCrop>
  <LinksUpToDate>false</LinksUpToDate>
  <CharactersWithSpaces>1459</CharactersWithSpaces>
  <Application>WPS Office_10.8.0.6470_F1E327BC-269C-435d-A152-05C5408002CA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2016-03-26T00:52:00Z</dcterms:created>
  <dc:creator>wangyong</dc:creator>
  <cp:lastModifiedBy>dengyunfei</cp:lastModifiedBy>
  <cp:lastPrinted>2018-11-28T01:29:00Z</cp:lastPrinted>
  <dcterms:modified xsi:type="dcterms:W3CDTF">2019-07-11T04:47:43Z</dcterms:modified>
  <dc:title>2015/1/27</dc:title>
  <cp:revision>71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2052-10.8.0.6470</vt:lpwstr>
  </property>
</Properties>
</file>