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b/>
          <w:bCs/>
          <w:color w:val="2563eb"/>
          <w:sz w:val="48"/>
          <w:szCs w:val="48"/>
        </w:rPr>
        <w:t xml:space="preserve">灵犀演示 Q1 2026 季度汇报</w:t>
      </w:r>
    </w:p>
    <w:p>
      <w:pPr>
        <w:spacing w:after="360"/>
        <w:jc w:val="center"/>
      </w:pPr>
      <w:r>
        <w:rPr>
          <w:color w:val="64748b"/>
          <w:sz w:val="20"/>
          <w:szCs w:val="20"/>
        </w:rPr>
        <w:t xml:space="preserve">生成时间：2026-07-10 05:21:35 · 灵犀演示</w:t>
      </w:r>
    </w:p>
    <w:p>
      <w:pPr>
        <w:pStyle w:val="Heading2"/>
        <w:spacing w:after="120" w:before="240"/>
      </w:pPr>
      <w:r>
        <w:rPr>
          <w:b/>
          <w:bCs/>
          <w:color w:val="2563eb"/>
          <w:sz w:val="32"/>
          <w:szCs w:val="32"/>
        </w:rPr>
        <w:t xml:space="preserve">1. 灵犀演示 Q1 2026 季度汇报 · 业绩概览</w:t>
      </w:r>
    </w:p>
    <w:p>
      <w:pPr>
        <w:spacing w:after="120"/>
      </w:pPr>
      <w:r>
        <w:t xml:space="preserve">本季度营收环比增长 </w:t>
      </w:r>
      <w:r>
        <w:rPr>
          <w:b/>
          <w:bCs/>
        </w:rPr>
        <w:t xml:space="preserve">18%</w:t>
      </w:r>
      <w:r>
        <w:t xml:space="preserve">，核心 KPI 全面达标。</w:t>
      </w:r>
    </w:p>
    <w:p>
      <w:pPr>
        <w:pStyle w:val="Heading2"/>
        <w:spacing w:after="120" w:before="240"/>
      </w:pPr>
      <w:r>
        <w:rPr>
          <w:b/>
          <w:bCs/>
          <w:color w:val="2563eb"/>
          <w:sz w:val="32"/>
          <w:szCs w:val="32"/>
        </w:rPr>
        <w:t xml:space="preserve">2. 关键进展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t xml:space="preserve">新签约 3 家标杆客户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t xml:space="preserve">老客户续约率 92%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t xml:space="preserve">产品交付周期缩短 30%</w:t>
      </w:r>
    </w:p>
    <w:p>
      <w:pPr>
        <w:pStyle w:val="Heading2"/>
        <w:spacing w:after="120" w:before="240"/>
      </w:pPr>
      <w:r>
        <w:rPr>
          <w:b/>
          <w:bCs/>
          <w:color w:val="2563eb"/>
          <w:sz w:val="32"/>
          <w:szCs w:val="32"/>
        </w:rPr>
        <w:t xml:space="preserve">3. 下季度计划</w:t>
      </w:r>
    </w:p>
    <w:p>
      <w:pPr>
        <w:spacing w:after="120"/>
      </w:pPr>
      <w:r>
        <w:t xml:space="preserve">聚焦渠道拓展、产品化交付与客户成功体系建设。</w:t>
      </w:r>
    </w:p>
    <w:p>
      <w:pPr>
        <w:pStyle w:val="Heading2"/>
        <w:spacing w:after="120" w:before="240"/>
      </w:pPr>
      <w:r>
        <w:rPr>
          <w:b/>
          <w:bCs/>
          <w:color w:val="2563eb"/>
          <w:sz w:val="32"/>
          <w:szCs w:val="32"/>
        </w:rPr>
        <w:t xml:space="preserve">4. AI 生成说明</w:t>
      </w:r>
    </w:p>
    <w:p>
      <w:pPr>
        <w:spacing w:after="120"/>
      </w:pPr>
      <w:r>
        <w:t xml:space="preserve">daemon 返回内容：hello (mock)</w:t>
      </w:r>
    </w:p>
    <w:p>
      <w:pPr>
        <w:spacing w:before="480"/>
        <w:jc w:val="center"/>
      </w:pPr>
      <w:r>
        <w:rPr>
          <w:i/>
          <w:iCs/>
          <w:color w:val="64748b"/>
          <w:sz w:val="18"/>
          <w:szCs w:val="18"/>
        </w:rPr>
        <w:t xml:space="preserve">
—— 本文档由灵犀演示自动生成 ——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&quot;PingFang SC&quot;, &quot;Microsoft YaHei&quot;, &quot;Segoe UI&quot;, sans-serif" w:cs="&quot;PingFang SC&quot;, &quot;Microsoft YaHei&quot;, &quot;Segoe UI&quot;, sans-serif" w:eastAsia="&quot;PingFang SC&quot;, &quot;Microsoft YaHei&quot;, &quot;Segoe UI&quot;, sans-serif" w:hAnsi="&quot;PingFang SC&quot;, &quot;Microsoft YaHei&quot;, &quot;Segoe UI&quot;, sans-seri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&quot;PingFang SC&quot;, &quot;Microsoft YaHei&quot;, &quot;Segoe UI&quot;, sans-serif" w:cs="&quot;PingFang SC&quot;, &quot;Microsoft YaHei&quot;, &quot;Segoe UI&quot;, sans-serif" w:eastAsia="&quot;PingFang SC&quot;, &quot;Microsoft YaHei&quot;, &quot;Segoe UI&quot;, sans-serif" w:hAnsi="&quot;PingFang SC&quot;, &quot;Microsoft YaHei&quot;, &quot;Segoe UI&quot;, sans-serif"/>
      <w:b/>
      <w:bCs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&quot;PingFang SC&quot;, &quot;Microsoft YaHei&quot;, &quot;Segoe UI&quot;, sans-serif" w:cs="&quot;PingFang SC&quot;, &quot;Microsoft YaHei&quot;, &quot;Segoe UI&quot;, sans-serif" w:eastAsia="&quot;PingFang SC&quot;, &quot;Microsoft YaHei&quot;, &quot;Segoe UI&quot;, sans-serif" w:hAnsi="&quot;PingFang SC&quot;, &quot;Microsoft YaHei&quot;, &quot;Segoe UI&quot;, sans-serif"/>
      <w:b/>
      <w:bCs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灵犀演示 Q1 2026 季度汇报</dc:title>
  <dc:creator>灵犀演示</dc:creator>
  <dc:description>由灵犀演示 T-1.5 多格式输出生成，preview_id=pm-demo</dc:description>
  <cp:lastModifiedBy>Un-named</cp:lastModifiedBy>
  <cp:revision>1</cp:revision>
  <dcterms:created xsi:type="dcterms:W3CDTF">2026-07-10T05:21:35.276Z</dcterms:created>
  <dcterms:modified xsi:type="dcterms:W3CDTF">2026-07-10T05:21:35.276Z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