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 2026 季度汇报 · 灵犀演示</w:t>
      </w:r>
    </w:p>
    <w:p>
      <w:r>
        <w:t>Q1 2026 季度业绩总结：本季度营收达成率 108%，同比增长 23%。</w:t>
      </w:r>
    </w:p>
    <w:p>
      <w:r>
        <w:t>新增企业客户 14 家，流失 3 家，净增 11 家，续约率 92%。</w:t>
      </w:r>
    </w:p>
    <w:p>
      <w:r>
        <w:t>AI 产品线贡献占比从 28% 提升至 41%，成为第一大营收支柱。</w:t>
      </w:r>
    </w:p>
    <w:p>
      <w:r>
        <w:t>海外市场初步开拓，东南亚 3 个 POC 客户进入商务谈判阶段。</w:t>
      </w:r>
    </w:p>
    <w:p>
      <w:r>
        <w:t>团队规模 28 人，新增 5 人（研发 3 / 销售 2），流失 1 人。</w:t>
      </w:r>
    </w:p>
    <w:p>
      <w:r>
        <w:t>产品迭代：发布 6 个主要版本，平均迭代周期 14 天，线上事故 0 起。</w:t>
      </w:r>
    </w:p>
    <w:p>
      <w:r>
        <w:t>Q2 计划：聚焦 AI 商业化闭环，推出付费版 + 行业模板，目标 ARR 800 万。</w:t>
      </w:r>
    </w:p>
    <w:p>
      <w:r>
        <w:rPr>
          <w:b/>
        </w:rPr>
        <w:t>关键词：</w:t>
      </w:r>
    </w:p>
    <w:p>
      <w:r>
        <w:t>季度汇报 · 营收 · AI产品线 · 海外市场 · 团队 · Q2计划</w:t>
      </w:r>
    </w:p>
    <w:p>
      <w:r>
        <w:rPr>
          <w:i/>
        </w:rPr>
        <w:br/>
        <w:t>本文件由 T-1.1 testdata generator 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