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项目方案</w:t>
      </w:r>
    </w:p>
    <w:p>
      <w:r>
        <w:t>项目预算为1260万元。2026Q1同比增长率为18%。</w:t>
      </w:r>
    </w:p>
    <w:p>
      <w:r>
        <w:t>项目实施费用为300万元。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