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xml" ContentType="application/vnd.openxmlformats-officedocument.wordprocessingml.comments+xml"/>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E19" w:rsidRDefault="00487E19">
      <w:pPr>
        <w:pStyle w:val="Text"/>
        <w:ind w:firstLine="0"/>
        <w:rPr>
          <w:sz w:val="18"/>
          <w:szCs w:val="18"/>
        </w:rPr>
      </w:pPr>
      <w:r>
        <w:rPr>
          <w:sz w:val="18"/>
          <w:szCs w:val="18"/>
        </w:rPr>
        <w:footnoteReference w:customMarkFollows="1" w:id="2"/>
        <w:sym w:font="Symbol" w:char="F020"/>
      </w:r>
    </w:p>
    <w:p w:rsidR="00487E19" w:rsidRDefault="009D76F4" w:rsidP="004378DE">
      <w:pPr>
        <w:pStyle w:val="Title"/>
        <w:framePr w:wrap="notBeside"/>
      </w:pPr>
      <w:r>
        <w:t xml:space="preserve">Investigation of Long Memory in Quarterly </w:t>
      </w:r>
      <w:r w:rsidR="00DF0DE8">
        <w:t>Housing</w:t>
      </w:r>
      <w:r>
        <w:t xml:space="preserve"> Price Index Data</w:t>
      </w:r>
    </w:p>
    <w:p w:rsidR="00487E19" w:rsidRDefault="009D76F4">
      <w:pPr>
        <w:pStyle w:val="Authors"/>
        <w:framePr w:wrap="notBeside"/>
      </w:pPr>
      <w:r>
        <w:t>Vikas Garg, Yasin Khan, Shirley Lu, Timothy Roberts</w:t>
      </w:r>
      <w:r w:rsidR="00F44E13">
        <w:t>, Yifan Tang,</w:t>
      </w:r>
      <w:r>
        <w:t xml:space="preserve"> Wesley Tillu </w:t>
      </w:r>
    </w:p>
    <w:p w:rsidR="00487E19" w:rsidRDefault="00487E19">
      <w:bookmarkStart w:id="0" w:name="PointTmp"/>
    </w:p>
    <w:bookmarkEnd w:id="0"/>
    <w:p w:rsidR="00D52520" w:rsidRDefault="00524977" w:rsidP="00A3489F">
      <w:pPr>
        <w:pStyle w:val="Text"/>
        <w:keepNext/>
        <w:framePr w:dropCap="drop" w:lines="2" w:wrap="auto" w:vAnchor="text" w:hAnchor="page" w:x="938" w:y="497"/>
        <w:spacing w:line="276" w:lineRule="auto"/>
        <w:ind w:firstLine="0"/>
        <w:rPr>
          <w:smallCaps/>
          <w:position w:val="-3"/>
          <w:sz w:val="56"/>
          <w:szCs w:val="56"/>
        </w:rPr>
      </w:pPr>
      <w:r>
        <w:rPr>
          <w:smallCaps/>
          <w:position w:val="-3"/>
          <w:sz w:val="56"/>
          <w:szCs w:val="56"/>
        </w:rPr>
        <w:t>T</w:t>
      </w:r>
    </w:p>
    <w:p w:rsidR="00487E19" w:rsidRDefault="00B37BD3" w:rsidP="00A3489F">
      <w:pPr>
        <w:pStyle w:val="Heading1"/>
        <w:ind w:left="-540"/>
      </w:pPr>
      <w:r>
        <w:t xml:space="preserve">  </w:t>
      </w:r>
      <w:r w:rsidR="00487E19">
        <w:t>I</w:t>
      </w:r>
      <w:r w:rsidR="00487E19">
        <w:rPr>
          <w:sz w:val="16"/>
          <w:szCs w:val="16"/>
        </w:rPr>
        <w:t>NTRODUCTION</w:t>
      </w:r>
    </w:p>
    <w:p w:rsidR="00524977" w:rsidRDefault="00524977" w:rsidP="00A3489F">
      <w:pPr>
        <w:pStyle w:val="Text"/>
        <w:spacing w:line="240" w:lineRule="auto"/>
        <w:ind w:left="-90" w:right="260" w:firstLine="0"/>
      </w:pPr>
      <w:r>
        <w:t xml:space="preserve">his project seeks to understand the housing price process in a discrete time series setting. As key drivers of mortgage rates and valuation, addressing house price evolution is critical to investing in mortgage backed assets. Fundamental considerations relevant to our project scope will include, but will not be limited to, the effect of default and prepayment risk on mortgage pool valuation and the significance of geography in the housing market. Additionally, this project will investigate the presence of long memory in the housing price process, with a specific focus on long memory in housing price volatility. </w:t>
      </w:r>
    </w:p>
    <w:p w:rsidR="00524977" w:rsidRDefault="00524977" w:rsidP="00A3489F">
      <w:pPr>
        <w:pStyle w:val="Text"/>
        <w:spacing w:line="240" w:lineRule="auto"/>
      </w:pPr>
    </w:p>
    <w:p w:rsidR="009D76F4" w:rsidRPr="00A128F0" w:rsidRDefault="00524977" w:rsidP="00A3489F">
      <w:pPr>
        <w:pStyle w:val="Text"/>
        <w:spacing w:line="240" w:lineRule="auto"/>
        <w:ind w:left="-90" w:right="260" w:firstLine="0"/>
      </w:pPr>
      <w:r>
        <w:t>In general, an understanding of the housing price process should lend itself to a model from which time series forecasts can be derived using appropriate methods and techniques.</w:t>
      </w:r>
    </w:p>
    <w:p w:rsidR="00A128F0" w:rsidRPr="00A128F0" w:rsidRDefault="00A128F0" w:rsidP="00A128F0">
      <w:pPr>
        <w:pStyle w:val="Text"/>
      </w:pPr>
    </w:p>
    <w:p w:rsidR="00B37BD3" w:rsidRDefault="00B37BD3" w:rsidP="00B37BD3">
      <w:pPr>
        <w:pStyle w:val="Heading1"/>
      </w:pPr>
      <w:r>
        <w:t xml:space="preserve">  Data</w:t>
      </w:r>
    </w:p>
    <w:p w:rsidR="00B37BD3" w:rsidRDefault="00B37BD3" w:rsidP="00DF0DE8">
      <w:pPr>
        <w:pStyle w:val="Heading2"/>
        <w:ind w:left="0" w:right="260"/>
      </w:pPr>
      <w:r>
        <w:t>Interpolation</w:t>
      </w:r>
    </w:p>
    <w:p w:rsidR="00B37BD3" w:rsidRDefault="00B37BD3" w:rsidP="00DF0DE8">
      <w:pPr>
        <w:ind w:right="260"/>
        <w:jc w:val="both"/>
      </w:pPr>
      <w:r>
        <w:t>The Office of Federal Housing Enterprise Oversight (OFHEO) Housing Price Index (HPI) provides quarterly housing price data on a state-level starting from 1975.  This quarterly data was interpolated to achieve monthly housing price data.  Interpolation gives two benefits: first, monthly data matches the frequency of borrowers’ payment streams, which is the basis for asset-backed securitie</w:t>
      </w:r>
      <w:r w:rsidR="00F74406">
        <w:t xml:space="preserve">s, and second, interpolation increases our data set from 135 quarterly observations to 402 monthly observations, thus increasing the sample size significantly.  Interpolation does have its drawbacks, though, of increasing estimation errors.  The selection of appropriate interpolation techniques will aim to minimize such errors.  </w:t>
      </w:r>
    </w:p>
    <w:p w:rsidR="00A73F2D" w:rsidRDefault="00A73F2D" w:rsidP="00DF0DE8">
      <w:pPr>
        <w:ind w:right="260"/>
        <w:jc w:val="both"/>
      </w:pPr>
    </w:p>
    <w:p w:rsidR="00A73F2D" w:rsidRDefault="00A73F2D" w:rsidP="00DF0DE8">
      <w:pPr>
        <w:ind w:right="260"/>
        <w:jc w:val="both"/>
      </w:pPr>
      <w:r>
        <w:t>Two interpolation techniques were analyzed.  First, a linear interpolation between each quarterly data point was used to estimate monthly housing prices.  Second, a cubic spline interpolation method was implemented on the entire data set.  For both methods, HPI’s quarterly observations were fixed so that the interpolated data set matches the quarterly for the corresponding months as to reduce error.  A plot of the quarterly and monthly time series shows the interpolation methods to be accurate.  See Figure 1.1.1</w:t>
      </w:r>
      <w:r w:rsidR="006979C2">
        <w:t>.  The more granular zoomed-in plots show that a cubic spline is continuous and smooth as compared to the linearly interpolated data.</w:t>
      </w:r>
    </w:p>
    <w:p w:rsidR="00447070" w:rsidRDefault="00447070" w:rsidP="00B37BD3"/>
    <w:p w:rsidR="00447070" w:rsidRDefault="00152AFF" w:rsidP="00B37BD3">
      <w:r>
        <w:rPr>
          <w:noProof/>
        </w:rPr>
        <w:drawing>
          <wp:inline distT="0" distB="0" distL="0" distR="0">
            <wp:extent cx="3362325" cy="45910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362325" cy="4591050"/>
                    </a:xfrm>
                    <a:prstGeom prst="rect">
                      <a:avLst/>
                    </a:prstGeom>
                    <a:noFill/>
                    <a:ln w="9525">
                      <a:noFill/>
                      <a:miter lim="800000"/>
                      <a:headEnd/>
                      <a:tailEnd/>
                    </a:ln>
                  </pic:spPr>
                </pic:pic>
              </a:graphicData>
            </a:graphic>
          </wp:inline>
        </w:drawing>
      </w:r>
    </w:p>
    <w:p w:rsidR="00F74406" w:rsidRPr="006979C2" w:rsidRDefault="006979C2" w:rsidP="006979C2">
      <w:pPr>
        <w:jc w:val="center"/>
        <w:rPr>
          <w:b/>
          <w:sz w:val="16"/>
          <w:szCs w:val="16"/>
        </w:rPr>
      </w:pPr>
      <w:r w:rsidRPr="006979C2">
        <w:rPr>
          <w:b/>
          <w:sz w:val="16"/>
          <w:szCs w:val="16"/>
        </w:rPr>
        <w:t>Figure 1.1.1</w:t>
      </w:r>
      <w:r>
        <w:rPr>
          <w:b/>
          <w:sz w:val="16"/>
          <w:szCs w:val="16"/>
        </w:rPr>
        <w:t xml:space="preserve">: Comparison of quarterly with linearly and cubic-spline interpolated monthly prices for </w:t>
      </w:r>
      <w:smartTag w:uri="urn:schemas-microsoft-com:office:smarttags" w:element="State">
        <w:smartTag w:uri="urn:schemas-microsoft-com:office:smarttags" w:element="place">
          <w:r>
            <w:rPr>
              <w:b/>
              <w:sz w:val="16"/>
              <w:szCs w:val="16"/>
            </w:rPr>
            <w:t>Alaska</w:t>
          </w:r>
        </w:smartTag>
      </w:smartTag>
      <w:r>
        <w:rPr>
          <w:b/>
          <w:sz w:val="16"/>
          <w:szCs w:val="16"/>
        </w:rPr>
        <w:t>.  The plots on the right-hand side shows a zoomed-in version of the original and interpolated data.</w:t>
      </w:r>
    </w:p>
    <w:p w:rsidR="000E5702" w:rsidRDefault="000E5702" w:rsidP="00B37BD3"/>
    <w:p w:rsidR="000E5702" w:rsidRDefault="000E5702" w:rsidP="000E5702">
      <w:pPr>
        <w:ind w:right="260"/>
        <w:jc w:val="both"/>
      </w:pPr>
      <w:r>
        <w:t xml:space="preserve">Furthermore, the two-sample Kolmogorov-Smirnov test was used to statistically check whether the quarterly and the interpolated data sets are drawn from the same distribution.  The p-value for both the linear and cubic-spline interpolation methods was 1, verifying that the data interpolation did not fundamentally alter the original observed data set.  </w:t>
      </w:r>
    </w:p>
    <w:p w:rsidR="00965DB5" w:rsidRDefault="00965DB5" w:rsidP="000E5702">
      <w:pPr>
        <w:ind w:right="260"/>
        <w:jc w:val="both"/>
      </w:pPr>
    </w:p>
    <w:p w:rsidR="007D76EF" w:rsidRDefault="007D76EF" w:rsidP="000E5702">
      <w:pPr>
        <w:ind w:right="260"/>
        <w:jc w:val="both"/>
      </w:pPr>
      <w:r>
        <w:t xml:space="preserve">The </w:t>
      </w:r>
      <w:r w:rsidR="00484CBC">
        <w:t xml:space="preserve">quarterly and monthly </w:t>
      </w:r>
      <w:r>
        <w:t xml:space="preserve">autocorrelation functions </w:t>
      </w:r>
      <w:r w:rsidR="000B1BA6">
        <w:t xml:space="preserve">(ACF) </w:t>
      </w:r>
      <w:r w:rsidR="00484CBC">
        <w:t>for the simple returns were calculated and compared t</w:t>
      </w:r>
      <w:r>
        <w:t>o validate</w:t>
      </w:r>
      <w:r w:rsidR="00484CBC">
        <w:t xml:space="preserve"> that the monthly ACF at lag </w:t>
      </w:r>
      <w:r w:rsidR="00484CBC" w:rsidRPr="00484CBC">
        <w:rPr>
          <w:i/>
        </w:rPr>
        <w:t>i</w:t>
      </w:r>
      <w:r w:rsidR="00484CBC">
        <w:t xml:space="preserve"> approximately equals the quarterly ACF at lag </w:t>
      </w:r>
      <w:r w:rsidR="00484CBC" w:rsidRPr="00484CBC">
        <w:rPr>
          <w:i/>
        </w:rPr>
        <w:t>i</w:t>
      </w:r>
      <w:r w:rsidR="00484CBC">
        <w:rPr>
          <w:i/>
        </w:rPr>
        <w:t>+</w:t>
      </w:r>
      <w:r w:rsidR="00484CBC" w:rsidRPr="00484CBC">
        <w:rPr>
          <w:i/>
        </w:rPr>
        <w:t>3</w:t>
      </w:r>
      <w:r w:rsidR="00484CBC">
        <w:t xml:space="preserve"> for all </w:t>
      </w:r>
      <w:r w:rsidR="00484CBC" w:rsidRPr="00484CBC">
        <w:rPr>
          <w:i/>
        </w:rPr>
        <w:t>i</w:t>
      </w:r>
      <w:r w:rsidR="00484CBC">
        <w:t>.</w:t>
      </w:r>
      <w:r w:rsidR="000B1BA6">
        <w:t xml:space="preserve">  Figure 1.1.2 shows the </w:t>
      </w:r>
      <w:r w:rsidR="000B1BA6">
        <w:lastRenderedPageBreak/>
        <w:t>ACF plots of the quarterly and monthly simple returns.  As expected, the monthly autocorrelations peak at every third multiple of where the quarterly autocorrelation peaks.  This confirms that no additional autocorrelation was induced in the</w:t>
      </w:r>
      <w:r w:rsidR="00E618E6">
        <w:t xml:space="preserve"> interpolation process.  The monthly autocorrelations also exhibit the same pattern and shape as the quarterly, except with more granularity and precision.</w:t>
      </w:r>
    </w:p>
    <w:p w:rsidR="00252D7A" w:rsidRDefault="00252D7A" w:rsidP="000E5702">
      <w:pPr>
        <w:ind w:right="260"/>
        <w:jc w:val="both"/>
      </w:pPr>
    </w:p>
    <w:p w:rsidR="00252D7A" w:rsidRDefault="00152AFF" w:rsidP="00226714">
      <w:pPr>
        <w:ind w:left="-90" w:right="260"/>
        <w:jc w:val="both"/>
      </w:pPr>
      <w:r>
        <w:rPr>
          <w:noProof/>
        </w:rPr>
        <w:drawing>
          <wp:inline distT="0" distB="0" distL="0" distR="0">
            <wp:extent cx="3362325" cy="33528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362325" cy="3352800"/>
                    </a:xfrm>
                    <a:prstGeom prst="rect">
                      <a:avLst/>
                    </a:prstGeom>
                    <a:noFill/>
                    <a:ln w="9525">
                      <a:noFill/>
                      <a:miter lim="800000"/>
                      <a:headEnd/>
                      <a:tailEnd/>
                    </a:ln>
                  </pic:spPr>
                </pic:pic>
              </a:graphicData>
            </a:graphic>
          </wp:inline>
        </w:drawing>
      </w:r>
    </w:p>
    <w:p w:rsidR="00252D7A" w:rsidRDefault="00252D7A" w:rsidP="000B1BA6">
      <w:pPr>
        <w:ind w:right="260"/>
        <w:jc w:val="center"/>
        <w:rPr>
          <w:b/>
          <w:sz w:val="16"/>
          <w:szCs w:val="16"/>
        </w:rPr>
      </w:pPr>
      <w:r>
        <w:rPr>
          <w:b/>
          <w:sz w:val="16"/>
          <w:szCs w:val="16"/>
        </w:rPr>
        <w:t>Figure 1.1.2:</w:t>
      </w:r>
      <w:r w:rsidR="000B1BA6">
        <w:rPr>
          <w:b/>
          <w:sz w:val="16"/>
          <w:szCs w:val="16"/>
        </w:rPr>
        <w:t xml:space="preserve">  Autocorrelation plots of quarterly and interpolated monthly simple returns for </w:t>
      </w:r>
      <w:smartTag w:uri="urn:schemas-microsoft-com:office:smarttags" w:element="State">
        <w:smartTag w:uri="urn:schemas-microsoft-com:office:smarttags" w:element="place">
          <w:r w:rsidR="000B1BA6">
            <w:rPr>
              <w:b/>
              <w:sz w:val="16"/>
              <w:szCs w:val="16"/>
            </w:rPr>
            <w:t>Alaska</w:t>
          </w:r>
        </w:smartTag>
      </w:smartTag>
      <w:r w:rsidR="000B1BA6">
        <w:rPr>
          <w:b/>
          <w:sz w:val="16"/>
          <w:szCs w:val="16"/>
        </w:rPr>
        <w:t>.</w:t>
      </w:r>
    </w:p>
    <w:p w:rsidR="00252D7A" w:rsidRDefault="00252D7A" w:rsidP="00252D7A">
      <w:pPr>
        <w:ind w:right="260"/>
        <w:jc w:val="center"/>
      </w:pPr>
    </w:p>
    <w:p w:rsidR="00881964" w:rsidRDefault="00881964" w:rsidP="00881964">
      <w:pPr>
        <w:pStyle w:val="Heading2"/>
        <w:ind w:left="0" w:right="260"/>
      </w:pPr>
      <w:r>
        <w:t>Data Cut-Offs</w:t>
      </w:r>
      <w:r w:rsidR="00334185">
        <w:t xml:space="preserve"> / Scrubbing the Data</w:t>
      </w:r>
    </w:p>
    <w:p w:rsidR="00881964" w:rsidRDefault="00881964" w:rsidP="00881964"/>
    <w:p w:rsidR="00881964" w:rsidRPr="00881964" w:rsidRDefault="00881964" w:rsidP="00881964"/>
    <w:p w:rsidR="00881964" w:rsidRPr="00B37BD3" w:rsidRDefault="00881964" w:rsidP="00881964">
      <w:pPr>
        <w:ind w:right="260"/>
      </w:pPr>
    </w:p>
    <w:p w:rsidR="00D52520" w:rsidRDefault="00D52520" w:rsidP="00D52520">
      <w:pPr>
        <w:pStyle w:val="Heading1"/>
      </w:pPr>
      <w:r>
        <w:t>Methods</w:t>
      </w:r>
    </w:p>
    <w:p w:rsidR="00BF3766" w:rsidRPr="00BF3766" w:rsidRDefault="00BF3766" w:rsidP="00BF3766"/>
    <w:p w:rsidR="003E0BE0" w:rsidRPr="003E0BE0" w:rsidRDefault="00A0769F" w:rsidP="003E0BE0">
      <w:pPr>
        <w:pStyle w:val="Heading2"/>
        <w:ind w:left="0"/>
      </w:pPr>
      <w:commentRangeStart w:id="1"/>
      <w:r>
        <w:t>Initial Analysis</w:t>
      </w:r>
      <w:commentRangeEnd w:id="1"/>
      <w:r w:rsidR="00440F34">
        <w:rPr>
          <w:rStyle w:val="CommentReference"/>
          <w:i w:val="0"/>
          <w:iCs w:val="0"/>
        </w:rPr>
        <w:commentReference w:id="1"/>
      </w:r>
    </w:p>
    <w:p w:rsidR="00025ED7" w:rsidRDefault="00DF0C0D" w:rsidP="00DC5D6C">
      <w:pPr>
        <w:pStyle w:val="Heading3"/>
      </w:pPr>
      <w:commentRangeStart w:id="2"/>
      <w:r>
        <w:t>Exploratory Data Analysis</w:t>
      </w:r>
      <w:commentRangeEnd w:id="2"/>
      <w:r>
        <w:rPr>
          <w:rStyle w:val="CommentReference"/>
          <w:i w:val="0"/>
          <w:iCs w:val="0"/>
        </w:rPr>
        <w:commentReference w:id="2"/>
      </w:r>
    </w:p>
    <w:p w:rsidR="00025ED7" w:rsidRPr="00025ED7" w:rsidRDefault="00025ED7" w:rsidP="00A3489F"/>
    <w:p w:rsidR="00DF0C0D" w:rsidRPr="00025ED7" w:rsidRDefault="00DF0C0D" w:rsidP="00A3489F">
      <w:pPr>
        <w:ind w:right="260"/>
        <w:jc w:val="both"/>
      </w:pPr>
      <w:r w:rsidRPr="00025ED7">
        <w:t>Th</w:t>
      </w:r>
      <w:r w:rsidR="00CF49AB">
        <w:t xml:space="preserve">e </w:t>
      </w:r>
      <w:r w:rsidRPr="00025ED7">
        <w:t>initial analysis of the data</w:t>
      </w:r>
      <w:r w:rsidR="006B0661">
        <w:t xml:space="preserve"> was carried out as follows</w:t>
      </w:r>
      <w:r w:rsidRPr="00025ED7">
        <w:t>:</w:t>
      </w:r>
    </w:p>
    <w:p w:rsidR="00025ED7" w:rsidRPr="00025ED7" w:rsidRDefault="00025ED7" w:rsidP="00A3489F">
      <w:pPr>
        <w:pStyle w:val="ListParagraph"/>
        <w:autoSpaceDE/>
        <w:autoSpaceDN/>
        <w:spacing w:after="200"/>
        <w:ind w:left="0" w:right="260"/>
        <w:jc w:val="both"/>
      </w:pPr>
    </w:p>
    <w:p w:rsidR="00100313" w:rsidRPr="001A29B8" w:rsidRDefault="00DF0C0D" w:rsidP="00D972CA">
      <w:pPr>
        <w:pStyle w:val="ListParagraph"/>
        <w:autoSpaceDE/>
        <w:autoSpaceDN/>
        <w:spacing w:after="200"/>
        <w:ind w:left="0" w:right="260"/>
        <w:jc w:val="both"/>
        <w:rPr>
          <w:rFonts w:ascii="Times-Roman" w:hAnsi="Times-Roman" w:cs="Times-Roman"/>
        </w:rPr>
      </w:pPr>
      <w:r w:rsidRPr="00025ED7">
        <w:t xml:space="preserve">The simple return series was created from the </w:t>
      </w:r>
      <w:r w:rsidR="00B37BD3">
        <w:t>HPI</w:t>
      </w:r>
      <w:r w:rsidRPr="00025ED7">
        <w:t xml:space="preserve"> data and time series plots were generated for all the states.</w:t>
      </w:r>
      <w:r w:rsidR="006B0661">
        <w:t xml:space="preserve"> </w:t>
      </w:r>
      <w:r w:rsidR="00B37BD3">
        <w:t xml:space="preserve"> </w:t>
      </w:r>
      <w:r w:rsidRPr="00025ED7">
        <w:t>If the</w:t>
      </w:r>
      <w:r w:rsidR="006B0661">
        <w:t xml:space="preserve"> simple return</w:t>
      </w:r>
      <w:r w:rsidRPr="00025ED7">
        <w:t xml:space="preserve"> series</w:t>
      </w:r>
      <w:r w:rsidR="006B0661">
        <w:t xml:space="preserve"> created from the HPI data</w:t>
      </w:r>
      <w:r w:rsidRPr="00025ED7">
        <w:t xml:space="preserve"> is stationary </w:t>
      </w:r>
      <w:r w:rsidR="00CF49AB">
        <w:t xml:space="preserve">then the </w:t>
      </w:r>
      <w:r w:rsidR="006B0661">
        <w:t xml:space="preserve">appropriate </w:t>
      </w:r>
      <w:r w:rsidR="00CF49AB">
        <w:t>AR/MA or the</w:t>
      </w:r>
      <w:r w:rsidRPr="00025ED7">
        <w:t xml:space="preserve"> ARMA order </w:t>
      </w:r>
      <w:r w:rsidR="00CF49AB">
        <w:t xml:space="preserve">is determined </w:t>
      </w:r>
      <w:r w:rsidRPr="00025ED7">
        <w:t xml:space="preserve">(using the </w:t>
      </w:r>
      <w:r w:rsidR="00CF49AB">
        <w:t>Partial Autocorrelation Function (</w:t>
      </w:r>
      <w:r w:rsidRPr="00F66360">
        <w:t>PACF</w:t>
      </w:r>
      <w:r w:rsidR="00CF49AB" w:rsidRPr="00F66360">
        <w:t>) and the Auto Correlation Function (</w:t>
      </w:r>
      <w:r w:rsidRPr="00F66360">
        <w:t>ACF</w:t>
      </w:r>
      <w:r w:rsidR="00CF49AB" w:rsidRPr="00F66360">
        <w:t>)</w:t>
      </w:r>
      <w:r w:rsidRPr="00025ED7">
        <w:t xml:space="preserve"> plots) and </w:t>
      </w:r>
      <w:r w:rsidR="00CF49AB">
        <w:t xml:space="preserve">then </w:t>
      </w:r>
      <w:r w:rsidRPr="00025ED7">
        <w:t>the</w:t>
      </w:r>
      <w:r w:rsidR="00CF49AB">
        <w:t xml:space="preserve"> model</w:t>
      </w:r>
      <w:r w:rsidRPr="00025ED7">
        <w:t xml:space="preserve"> parameters</w:t>
      </w:r>
      <w:r w:rsidR="00CF49AB">
        <w:t xml:space="preserve"> are estimated</w:t>
      </w:r>
      <w:r w:rsidRPr="00025ED7">
        <w:t>.</w:t>
      </w:r>
      <w:r w:rsidR="00100313" w:rsidRPr="00025ED7">
        <w:t xml:space="preserve"> </w:t>
      </w:r>
      <w:r w:rsidRPr="00025ED7">
        <w:t xml:space="preserve">If the series is not stationary, it’s tested for unit root stationarity. </w:t>
      </w:r>
      <w:r w:rsidR="0050474F">
        <w:t>T</w:t>
      </w:r>
      <w:r w:rsidRPr="00025ED7">
        <w:t>he first differenced series</w:t>
      </w:r>
      <w:r w:rsidR="0050474F">
        <w:t xml:space="preserve"> of the simple returns is created</w:t>
      </w:r>
      <w:r w:rsidRPr="00025ED7">
        <w:t>, for series which sh</w:t>
      </w:r>
      <w:r w:rsidR="0050474F">
        <w:t>ow the presence of a unit root. Next step is to determine the orders of an</w:t>
      </w:r>
      <w:r w:rsidRPr="00025ED7">
        <w:t xml:space="preserve"> A</w:t>
      </w:r>
      <w:r w:rsidR="0050474F">
        <w:t>RIMA model for</w:t>
      </w:r>
      <w:r w:rsidRPr="00025ED7">
        <w:t xml:space="preserve"> th</w:t>
      </w:r>
      <w:r w:rsidR="0050474F">
        <w:t>is</w:t>
      </w:r>
      <w:r w:rsidRPr="00025ED7">
        <w:t xml:space="preserve"> series.</w:t>
      </w:r>
      <w:r w:rsidR="00100313" w:rsidRPr="00025ED7">
        <w:t xml:space="preserve"> </w:t>
      </w:r>
      <w:r w:rsidRPr="00025ED7">
        <w:t xml:space="preserve">Box-Ljung test is used on residuals </w:t>
      </w:r>
      <w:r w:rsidR="00756B7B">
        <w:t xml:space="preserve">to test the adequacy of the </w:t>
      </w:r>
      <w:r w:rsidR="0050474F">
        <w:lastRenderedPageBreak/>
        <w:t>model. The test is performed separately for the residuals</w:t>
      </w:r>
      <w:r w:rsidR="00756B7B">
        <w:t xml:space="preserve">, </w:t>
      </w:r>
      <w:r w:rsidRPr="00025ED7">
        <w:t xml:space="preserve">and </w:t>
      </w:r>
      <w:r w:rsidR="00756B7B">
        <w:t xml:space="preserve">on the </w:t>
      </w:r>
      <w:r w:rsidRPr="00025ED7">
        <w:t>squared residuals to test the</w:t>
      </w:r>
      <w:r w:rsidR="0050474F">
        <w:t xml:space="preserve"> adequacy of the mean equation and the</w:t>
      </w:r>
      <w:r w:rsidRPr="00025ED7">
        <w:t xml:space="preserve"> presence of ARCH effects</w:t>
      </w:r>
      <w:r w:rsidR="0050474F">
        <w:t xml:space="preserve"> respectively</w:t>
      </w:r>
      <w:r w:rsidRPr="00025ED7">
        <w:t>.</w:t>
      </w:r>
      <w:r w:rsidR="00100313" w:rsidRPr="00025ED7">
        <w:t xml:space="preserve"> </w:t>
      </w:r>
      <w:r w:rsidRPr="00025ED7">
        <w:t xml:space="preserve">Given below are charts prepared for </w:t>
      </w:r>
      <w:r w:rsidR="0050474F" w:rsidRPr="00F66360">
        <w:t>A</w:t>
      </w:r>
      <w:r w:rsidR="0050474F">
        <w:t>R</w:t>
      </w:r>
      <w:r w:rsidRPr="00025ED7">
        <w:t>, which show a non stationary behavior in the simple return series, and a slowly decaying ACF plot. But the differenced series appears to be stationary.</w:t>
      </w:r>
      <w:r w:rsidR="00100313" w:rsidRPr="00025ED7">
        <w:t xml:space="preserve"> </w:t>
      </w:r>
    </w:p>
    <w:p w:rsidR="00440F34" w:rsidRDefault="00152AFF" w:rsidP="00D972CA">
      <w:r>
        <w:rPr>
          <w:noProof/>
        </w:rPr>
        <w:drawing>
          <wp:inline distT="0" distB="0" distL="0" distR="0">
            <wp:extent cx="3409950" cy="42291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srcRect/>
                    <a:stretch>
                      <a:fillRect/>
                    </a:stretch>
                  </pic:blipFill>
                  <pic:spPr bwMode="auto">
                    <a:xfrm>
                      <a:off x="0" y="0"/>
                      <a:ext cx="3409950" cy="4229100"/>
                    </a:xfrm>
                    <a:prstGeom prst="rect">
                      <a:avLst/>
                    </a:prstGeom>
                    <a:noFill/>
                    <a:ln w="9525">
                      <a:noFill/>
                      <a:miter lim="800000"/>
                      <a:headEnd/>
                      <a:tailEnd/>
                    </a:ln>
                  </pic:spPr>
                </pic:pic>
              </a:graphicData>
            </a:graphic>
          </wp:inline>
        </w:drawing>
      </w:r>
    </w:p>
    <w:p w:rsidR="00D972CA" w:rsidRDefault="00D972CA" w:rsidP="00D972CA">
      <w:pPr>
        <w:ind w:right="260"/>
        <w:jc w:val="center"/>
        <w:rPr>
          <w:b/>
          <w:sz w:val="16"/>
          <w:szCs w:val="16"/>
        </w:rPr>
      </w:pPr>
      <w:r>
        <w:rPr>
          <w:b/>
          <w:sz w:val="16"/>
          <w:szCs w:val="16"/>
        </w:rPr>
        <w:t>Figure 1.1.3:  Time series and ACF plots of quarterly HPI/Returns/Diff.Returns data for Arkansas.</w:t>
      </w:r>
    </w:p>
    <w:p w:rsidR="00F66360" w:rsidRDefault="00F66360" w:rsidP="00440F34"/>
    <w:p w:rsidR="00D972CA" w:rsidRPr="00440F34" w:rsidRDefault="00D972CA" w:rsidP="00440F34"/>
    <w:p w:rsidR="00440F34" w:rsidRDefault="00440F34" w:rsidP="00DC5D6C">
      <w:pPr>
        <w:pStyle w:val="Heading3"/>
      </w:pPr>
      <w:commentRangeStart w:id="3"/>
      <w:r>
        <w:t>Data Transformations</w:t>
      </w:r>
      <w:commentRangeEnd w:id="3"/>
      <w:r>
        <w:rPr>
          <w:rStyle w:val="CommentReference"/>
          <w:i w:val="0"/>
          <w:iCs w:val="0"/>
        </w:rPr>
        <w:commentReference w:id="3"/>
      </w:r>
    </w:p>
    <w:p w:rsidR="00DC5D6C" w:rsidRPr="00DC5D6C" w:rsidRDefault="00DC5D6C" w:rsidP="00DC5D6C"/>
    <w:p w:rsidR="00007561" w:rsidRDefault="00007561" w:rsidP="00025ED7">
      <w:pPr>
        <w:ind w:right="260"/>
        <w:jc w:val="both"/>
      </w:pPr>
      <w:r>
        <w:t xml:space="preserve">Many parameter estimators are based on the assumption of Gaussian distribution.  In particular, the Whittle estimator for the fractional differencing parameter is one such estimator.  The Whittle estimator is generally preferred over other fractional differencing parameters as it is consistent, unbiased, and asymptotically efficient.   </w:t>
      </w:r>
    </w:p>
    <w:p w:rsidR="00007561" w:rsidRDefault="00007561" w:rsidP="00025ED7">
      <w:pPr>
        <w:ind w:right="260"/>
        <w:jc w:val="both"/>
      </w:pPr>
    </w:p>
    <w:p w:rsidR="00007561" w:rsidRDefault="00007561" w:rsidP="00025ED7">
      <w:pPr>
        <w:ind w:right="260"/>
        <w:jc w:val="both"/>
      </w:pPr>
      <w:r>
        <w:t xml:space="preserve">The Box Cox transformation aims to apply a power transformation to ensure that the data follows an approximately normal distribution.  The Box Cox transformation stabilizes variance and induces </w:t>
      </w:r>
      <w:r w:rsidRPr="00363A62">
        <w:t>homoscedacity</w:t>
      </w:r>
      <w:r>
        <w:t xml:space="preserve"> in the time series.  It is defined as</w:t>
      </w:r>
    </w:p>
    <w:p w:rsidR="00007561" w:rsidRDefault="00007561" w:rsidP="00025ED7">
      <w:pPr>
        <w:jc w:val="both"/>
      </w:pPr>
    </w:p>
    <w:p w:rsidR="00007561" w:rsidRDefault="00025ED7" w:rsidP="00F66360">
      <w:pPr>
        <w:ind w:right="260"/>
        <w:jc w:val="center"/>
      </w:pPr>
      <w:r w:rsidRPr="006C378D">
        <w:rPr>
          <w:position w:val="-50"/>
        </w:rPr>
        <w:object w:dxaOrig="2079"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2pt" o:ole="">
            <v:imagedata r:id="rId11" o:title=""/>
          </v:shape>
          <o:OLEObject Type="Embed" ProgID="Equation.3" ShapeID="_x0000_i1025" DrawAspect="Content" ObjectID="_1297102962" r:id="rId12"/>
        </w:object>
      </w:r>
    </w:p>
    <w:p w:rsidR="00007561" w:rsidRDefault="00007561" w:rsidP="00025ED7">
      <w:pPr>
        <w:jc w:val="both"/>
      </w:pPr>
    </w:p>
    <w:p w:rsidR="00805353" w:rsidRDefault="00805353" w:rsidP="00025ED7">
      <w:pPr>
        <w:ind w:right="260"/>
        <w:jc w:val="both"/>
      </w:pPr>
      <w:r>
        <w:lastRenderedPageBreak/>
        <w:t xml:space="preserve">In practice, this transformation is applied to the data before any necessary differencing.  Hence, the Box Cox was tested on the original housing price index data rather than their simple returns.  </w:t>
      </w:r>
    </w:p>
    <w:p w:rsidR="00007561" w:rsidRDefault="00007561" w:rsidP="00025ED7">
      <w:pPr>
        <w:ind w:right="260"/>
        <w:jc w:val="both"/>
      </w:pPr>
      <w:r>
        <w:t xml:space="preserve">If </w:t>
      </w:r>
      <w:r w:rsidR="00A3489F">
        <w:t xml:space="preserve">initial plots of the OFHEO HPI data do not exhibit normality, </w:t>
      </w:r>
      <w:r>
        <w:t xml:space="preserve">the Box Cox test was used to estimate the appropriate power of </w:t>
      </w:r>
      <w:r w:rsidR="001E6593" w:rsidRPr="001E6593">
        <w:fldChar w:fldCharType="begin"/>
      </w:r>
      <w:r w:rsidR="001E6593" w:rsidRPr="001E6593">
        <w:instrText xml:space="preserve"> QUOTE </w:instrText>
      </w:r>
      <m:oMath>
        <m:r>
          <w:rPr>
            <w:rFonts w:ascii="Cambria Math" w:hAnsi="Cambria Math"/>
          </w:rPr>
          <m:t>λ</m:t>
        </m:r>
      </m:oMath>
      <w:r w:rsidR="001E6593" w:rsidRPr="001E6593">
        <w:instrText xml:space="preserve"> </w:instrText>
      </w:r>
      <w:r w:rsidR="001E6593" w:rsidRPr="001E6593">
        <w:fldChar w:fldCharType="separate"/>
      </w:r>
      <w:r w:rsidR="00DA2BF2">
        <w:t>λ</w:t>
      </w:r>
      <w:r w:rsidR="001E6593" w:rsidRPr="001E6593">
        <w:fldChar w:fldCharType="end"/>
      </w:r>
      <w:r>
        <w:t xml:space="preserve"> along with its standard error.  Then, the interval (</w:t>
      </w:r>
      <w:r w:rsidR="001E6593" w:rsidRPr="001E6593">
        <w:fldChar w:fldCharType="begin"/>
      </w:r>
      <w:r w:rsidR="001E6593" w:rsidRPr="001E6593">
        <w:instrText xml:space="preserve"> QUOTE </w:instrText>
      </w:r>
      <m:oMath>
        <m:r>
          <w:rPr>
            <w:rFonts w:ascii="Cambria Math" w:hAnsi="Cambria Math"/>
          </w:rPr>
          <m:t>λ±std.error</m:t>
        </m:r>
      </m:oMath>
      <w:r w:rsidR="001E6593" w:rsidRPr="001E6593">
        <w:instrText xml:space="preserve"> </w:instrText>
      </w:r>
      <w:r w:rsidR="001E6593" w:rsidRPr="001E6593">
        <w:fldChar w:fldCharType="separate"/>
      </w:r>
      <w:r w:rsidR="00DA2BF2">
        <w:t>λ</w:t>
      </w:r>
      <w:r w:rsidR="001E6593" w:rsidRPr="001E6593">
        <w:fldChar w:fldCharType="end"/>
      </w:r>
      <w:r w:rsidR="00DA2BF2">
        <w:t xml:space="preserve"> +/- std. error</w:t>
      </w:r>
      <w:r>
        <w:t>) was evaluated to determine the power to apply.  If the interval contained 0, a log transformation was used.  Otherwise, the estimate or its closest fraction was used to transform the data.</w:t>
      </w:r>
      <w:r w:rsidR="00805353">
        <w:t xml:space="preserve">  </w:t>
      </w:r>
    </w:p>
    <w:p w:rsidR="00007561" w:rsidRDefault="00007561" w:rsidP="00025ED7">
      <w:pPr>
        <w:ind w:right="260"/>
        <w:jc w:val="both"/>
      </w:pPr>
    </w:p>
    <w:p w:rsidR="00007561" w:rsidRDefault="00007561" w:rsidP="00025ED7">
      <w:pPr>
        <w:ind w:right="260"/>
        <w:jc w:val="both"/>
      </w:pPr>
      <w:r>
        <w:t>The effectiveness of the data transformation was tested graphically with density plots and statistically using formal normality tests.</w:t>
      </w:r>
    </w:p>
    <w:p w:rsidR="00007561" w:rsidRDefault="00007561" w:rsidP="00025ED7">
      <w:pPr>
        <w:ind w:right="260"/>
        <w:jc w:val="both"/>
      </w:pPr>
    </w:p>
    <w:p w:rsidR="00007561" w:rsidRDefault="00007561" w:rsidP="00025ED7">
      <w:pPr>
        <w:ind w:right="260"/>
        <w:jc w:val="both"/>
      </w:pPr>
      <w:r>
        <w:t xml:space="preserve">A weakness of the Box Cox transformation is that if the true distribution is far from Gaussian, there will not exist a sufficient </w:t>
      </w:r>
      <w:r w:rsidR="00DA2BF2">
        <w:t>λ</w:t>
      </w:r>
      <w:r>
        <w:t xml:space="preserve"> that will make the data normal.  </w:t>
      </w:r>
      <w:r w:rsidRPr="006129E2">
        <w:t xml:space="preserve">However, even in cases where no power transformation could bring the distribution to exactly normal, the usual estimates of </w:t>
      </w:r>
      <w:r w:rsidR="001E6593" w:rsidRPr="001E6593">
        <w:fldChar w:fldCharType="begin"/>
      </w:r>
      <w:r w:rsidR="001E6593" w:rsidRPr="001E6593">
        <w:instrText xml:space="preserve"> QUOTE </w:instrText>
      </w:r>
      <m:oMath>
        <m:r>
          <w:rPr>
            <w:rFonts w:ascii="Cambria Math" w:hAnsi="Cambria Math"/>
          </w:rPr>
          <m:t>λ</m:t>
        </m:r>
      </m:oMath>
      <w:r w:rsidR="001E6593" w:rsidRPr="001E6593">
        <w:instrText xml:space="preserve"> </w:instrText>
      </w:r>
      <w:r w:rsidR="001E6593" w:rsidRPr="001E6593">
        <w:fldChar w:fldCharType="separate"/>
      </w:r>
      <w:r w:rsidR="00DA2BF2">
        <w:t>λ</w:t>
      </w:r>
      <w:r w:rsidR="001E6593" w:rsidRPr="001E6593">
        <w:fldChar w:fldCharType="end"/>
      </w:r>
      <w:r w:rsidRPr="006129E2">
        <w:t xml:space="preserve"> will lead to a distribution that satisfies certain restrictions on the first 4 moments, </w:t>
      </w:r>
      <w:r w:rsidR="00A3489F">
        <w:t xml:space="preserve">and </w:t>
      </w:r>
      <w:r w:rsidRPr="006129E2">
        <w:t xml:space="preserve">thus will </w:t>
      </w:r>
      <w:r w:rsidR="00A3489F" w:rsidRPr="006129E2">
        <w:t xml:space="preserve">usually </w:t>
      </w:r>
      <w:r w:rsidRPr="006129E2">
        <w:t>be symmetric</w:t>
      </w:r>
      <w:r>
        <w:t>.</w:t>
      </w:r>
    </w:p>
    <w:p w:rsidR="00007561" w:rsidRDefault="00007561" w:rsidP="00007561"/>
    <w:p w:rsidR="008F3F41" w:rsidRDefault="008F3F41" w:rsidP="00007561"/>
    <w:p w:rsidR="00440F34" w:rsidRDefault="00440F34" w:rsidP="00DC5D6C">
      <w:pPr>
        <w:pStyle w:val="Heading3"/>
      </w:pPr>
      <w:commentRangeStart w:id="4"/>
      <w:r>
        <w:t>I(1) Testing</w:t>
      </w:r>
      <w:commentRangeEnd w:id="4"/>
      <w:r>
        <w:rPr>
          <w:rStyle w:val="CommentReference"/>
          <w:i w:val="0"/>
          <w:iCs w:val="0"/>
        </w:rPr>
        <w:commentReference w:id="4"/>
      </w:r>
    </w:p>
    <w:p w:rsidR="00DC5D6C" w:rsidRPr="00DC5D6C" w:rsidRDefault="00DC5D6C" w:rsidP="00DC5D6C"/>
    <w:p w:rsidR="009C6085" w:rsidRPr="00775F0B" w:rsidRDefault="009C6085" w:rsidP="00A13689">
      <w:pPr>
        <w:ind w:right="260"/>
        <w:jc w:val="both"/>
      </w:pPr>
      <w:r w:rsidRPr="00775F0B">
        <w:t>To test for unit root stationary, primarily, the Augmented Dickey-Fuller (ADF) test was used. The ADF test checks for the presence of unit root in the time series. The hypothesis tests are summarized as follows:</w:t>
      </w:r>
    </w:p>
    <w:p w:rsidR="009C6085" w:rsidRPr="00775F0B" w:rsidRDefault="009C6085" w:rsidP="00A13689">
      <w:pPr>
        <w:ind w:left="808" w:right="260" w:firstLine="202"/>
      </w:pPr>
    </w:p>
    <w:p w:rsidR="009C6085" w:rsidRPr="00775F0B" w:rsidRDefault="009C6085" w:rsidP="00A13689">
      <w:pPr>
        <w:ind w:left="808" w:right="260" w:firstLine="202"/>
      </w:pPr>
      <w:r w:rsidRPr="00775F0B">
        <w:t>H</w:t>
      </w:r>
      <w:r w:rsidRPr="00F70099">
        <w:rPr>
          <w:vertAlign w:val="subscript"/>
        </w:rPr>
        <w:t>o</w:t>
      </w:r>
      <w:r w:rsidRPr="00775F0B">
        <w:t>: y</w:t>
      </w:r>
      <w:r w:rsidRPr="00C33A3A">
        <w:rPr>
          <w:vertAlign w:val="subscript"/>
        </w:rPr>
        <w:t>t</w:t>
      </w:r>
      <w:r w:rsidRPr="00775F0B">
        <w:t xml:space="preserve"> ~ I(1), series contains a unit root</w:t>
      </w:r>
    </w:p>
    <w:p w:rsidR="009C6085" w:rsidRPr="00775F0B" w:rsidRDefault="009C6085" w:rsidP="00A13689">
      <w:pPr>
        <w:ind w:left="808" w:right="260" w:firstLine="202"/>
      </w:pPr>
      <w:r w:rsidRPr="00775F0B">
        <w:t>H</w:t>
      </w:r>
      <w:r w:rsidRPr="00F70099">
        <w:rPr>
          <w:vertAlign w:val="subscript"/>
        </w:rPr>
        <w:t>a</w:t>
      </w:r>
      <w:r w:rsidRPr="00775F0B">
        <w:t>: y</w:t>
      </w:r>
      <w:r w:rsidRPr="00C33A3A">
        <w:rPr>
          <w:vertAlign w:val="subscript"/>
        </w:rPr>
        <w:t>t</w:t>
      </w:r>
      <w:r w:rsidRPr="00775F0B">
        <w:t xml:space="preserve"> ~ I(0), series is stationary</w:t>
      </w:r>
    </w:p>
    <w:p w:rsidR="009C6085" w:rsidRPr="00775F0B" w:rsidRDefault="009C6085" w:rsidP="00A13689">
      <w:pPr>
        <w:ind w:left="1616" w:right="260" w:firstLine="202"/>
      </w:pPr>
      <w:r w:rsidRPr="00775F0B">
        <w:t xml:space="preserve">where </w:t>
      </w:r>
      <w:r w:rsidRPr="00775F0B">
        <w:rPr>
          <w:rFonts w:ascii="Gulim" w:eastAsia="Gulim" w:hAnsi="Gulim" w:hint="eastAsia"/>
        </w:rPr>
        <w:t xml:space="preserve"> </w:t>
      </w:r>
      <w:r w:rsidRPr="00775F0B">
        <w:sym w:font="Symbol" w:char="F020"/>
      </w:r>
      <w:r>
        <w:t>y</w:t>
      </w:r>
      <w:r w:rsidRPr="00775F0B">
        <w:rPr>
          <w:vertAlign w:val="subscript"/>
        </w:rPr>
        <w:t>t</w:t>
      </w:r>
      <w:r w:rsidRPr="00775F0B">
        <w:t xml:space="preserve"> ~ i.i.d</w:t>
      </w:r>
    </w:p>
    <w:p w:rsidR="009C6085" w:rsidRPr="00775F0B" w:rsidRDefault="009C6085" w:rsidP="00A13689">
      <w:pPr>
        <w:ind w:right="260"/>
        <w:jc w:val="both"/>
      </w:pPr>
    </w:p>
    <w:p w:rsidR="009C6085" w:rsidRDefault="009C6085" w:rsidP="00A13689">
      <w:pPr>
        <w:ind w:right="260"/>
        <w:jc w:val="both"/>
      </w:pPr>
      <w:r w:rsidRPr="00775F0B">
        <w:t xml:space="preserve">The ADF test was implemented using adf.test within </w:t>
      </w:r>
      <w:r w:rsidR="004630BC" w:rsidRPr="004630BC">
        <w:rPr>
          <w:b/>
          <w:sz w:val="18"/>
          <w:szCs w:val="18"/>
        </w:rPr>
        <w:t>R</w:t>
      </w:r>
      <w:r w:rsidRPr="00775F0B">
        <w:t xml:space="preserve"> (using the package “tseries”). </w:t>
      </w:r>
      <w:r>
        <w:t>To determine the lag order, AIC and BIC values were determined for multiple AR models. The lag associated with the lowest of AIC and BIC values was selected.</w:t>
      </w:r>
    </w:p>
    <w:p w:rsidR="009C6085" w:rsidRPr="00775F0B" w:rsidRDefault="009C6085" w:rsidP="00A13689">
      <w:pPr>
        <w:ind w:right="260"/>
        <w:jc w:val="both"/>
      </w:pPr>
    </w:p>
    <w:p w:rsidR="009C6085" w:rsidRDefault="009C6085" w:rsidP="00A13689">
      <w:pPr>
        <w:ind w:right="260"/>
        <w:jc w:val="both"/>
      </w:pPr>
      <w:r w:rsidRPr="00775F0B">
        <w:t xml:space="preserve">Additionally, the Phillips-Perron test was added, using pp.test within </w:t>
      </w:r>
      <w:r w:rsidR="004630BC" w:rsidRPr="004630BC">
        <w:rPr>
          <w:b/>
          <w:sz w:val="18"/>
          <w:szCs w:val="18"/>
        </w:rPr>
        <w:t>R</w:t>
      </w:r>
      <w:r w:rsidRPr="00775F0B">
        <w:t>, to substantiate test results from the ADF test. The hypotheses are the same as those from the ADF test.</w:t>
      </w:r>
    </w:p>
    <w:p w:rsidR="00775F0B" w:rsidRDefault="00775F0B" w:rsidP="00025ED7">
      <w:pPr>
        <w:ind w:right="260"/>
        <w:jc w:val="both"/>
      </w:pPr>
    </w:p>
    <w:p w:rsidR="008F3F41" w:rsidRPr="00440F34" w:rsidRDefault="008F3F41" w:rsidP="00025ED7">
      <w:pPr>
        <w:ind w:right="260"/>
        <w:jc w:val="both"/>
      </w:pPr>
    </w:p>
    <w:p w:rsidR="00440F34" w:rsidRDefault="00440F34" w:rsidP="003E0BE0">
      <w:pPr>
        <w:pStyle w:val="Heading3"/>
        <w:ind w:right="260"/>
      </w:pPr>
      <w:commentRangeStart w:id="5"/>
      <w:r>
        <w:t>Normality Testing</w:t>
      </w:r>
      <w:commentRangeEnd w:id="5"/>
      <w:r>
        <w:rPr>
          <w:rStyle w:val="CommentReference"/>
          <w:i w:val="0"/>
          <w:iCs w:val="0"/>
        </w:rPr>
        <w:commentReference w:id="5"/>
      </w:r>
    </w:p>
    <w:p w:rsidR="009E3122" w:rsidRPr="009E3122" w:rsidRDefault="009E3122" w:rsidP="00025ED7">
      <w:pPr>
        <w:ind w:right="260"/>
      </w:pPr>
    </w:p>
    <w:p w:rsidR="00440F34" w:rsidRDefault="00775F0B" w:rsidP="00025ED7">
      <w:pPr>
        <w:ind w:right="260"/>
        <w:jc w:val="both"/>
      </w:pPr>
      <w:r>
        <w:t>As stated before, testing the univariate data for normality was an essential part of this analysis,</w:t>
      </w:r>
      <w:r w:rsidR="00111439">
        <w:t xml:space="preserve"> since Gaussian MLE’s </w:t>
      </w:r>
      <w:r>
        <w:t>such as the Whittle estimate have parametric assumptions about the process under test. Graphical and statistical tests were emplo</w:t>
      </w:r>
      <w:r w:rsidR="00111439">
        <w:t>yed in this study.</w:t>
      </w:r>
    </w:p>
    <w:p w:rsidR="00775F0B" w:rsidRPr="00440F34" w:rsidRDefault="00775F0B" w:rsidP="00025ED7">
      <w:pPr>
        <w:ind w:right="260"/>
      </w:pPr>
    </w:p>
    <w:p w:rsidR="00DF0C0D" w:rsidRDefault="00DF0C0D" w:rsidP="00025ED7">
      <w:pPr>
        <w:pStyle w:val="Heading2"/>
        <w:ind w:left="202" w:right="260" w:hanging="202"/>
      </w:pPr>
      <w:commentRangeStart w:id="6"/>
      <w:commentRangeStart w:id="7"/>
      <w:r>
        <w:t xml:space="preserve">Parameter </w:t>
      </w:r>
      <w:commentRangeStart w:id="8"/>
      <w:r>
        <w:t>Estimation</w:t>
      </w:r>
      <w:commentRangeEnd w:id="6"/>
      <w:r>
        <w:rPr>
          <w:rStyle w:val="CommentReference"/>
          <w:i w:val="0"/>
          <w:iCs w:val="0"/>
        </w:rPr>
        <w:commentReference w:id="6"/>
      </w:r>
      <w:commentRangeEnd w:id="8"/>
      <w:r>
        <w:t xml:space="preserve"> </w:t>
      </w:r>
      <w:commentRangeEnd w:id="7"/>
      <w:r>
        <w:rPr>
          <w:rStyle w:val="CommentReference"/>
          <w:i w:val="0"/>
          <w:iCs w:val="0"/>
        </w:rPr>
        <w:commentReference w:id="7"/>
      </w:r>
      <w:r>
        <w:t xml:space="preserve">for </w:t>
      </w:r>
      <w:smartTag w:uri="urn:schemas-microsoft-com:office:smarttags" w:element="place">
        <w:smartTag w:uri="urn:schemas-microsoft-com:office:smarttags" w:element="PlaceName">
          <w:r>
            <w:t>Model</w:t>
          </w:r>
        </w:smartTag>
        <w:r>
          <w:t xml:space="preserve"> </w:t>
        </w:r>
        <w:smartTag w:uri="urn:schemas-microsoft-com:office:smarttags" w:element="PlaceType">
          <w:r>
            <w:t>Building</w:t>
          </w:r>
        </w:smartTag>
      </w:smartTag>
    </w:p>
    <w:p w:rsidR="00DF0C0D" w:rsidRPr="00492F4F" w:rsidRDefault="00DF0C0D" w:rsidP="00025ED7">
      <w:pPr>
        <w:ind w:right="260"/>
        <w:jc w:val="both"/>
      </w:pPr>
      <w:r>
        <w:rPr>
          <w:rStyle w:val="CommentReference"/>
          <w:i/>
          <w:iCs/>
        </w:rPr>
        <w:commentReference w:id="8"/>
      </w:r>
      <w:r w:rsidRPr="00492F4F">
        <w:t>The current methodology estimates the model orders and the fractional differencing parameter of the model by a two step process:</w:t>
      </w:r>
    </w:p>
    <w:p w:rsidR="00D35F91" w:rsidRDefault="00D35F91" w:rsidP="00025ED7">
      <w:pPr>
        <w:ind w:left="360" w:right="260"/>
        <w:jc w:val="both"/>
      </w:pPr>
    </w:p>
    <w:p w:rsidR="00DF0C0D" w:rsidRPr="00492F4F" w:rsidRDefault="00DF0C0D" w:rsidP="00025ED7">
      <w:pPr>
        <w:ind w:right="260"/>
        <w:jc w:val="both"/>
      </w:pPr>
      <w:r>
        <w:t xml:space="preserve">In the first step </w:t>
      </w:r>
      <w:r w:rsidRPr="00492F4F">
        <w:t xml:space="preserve">the ARMA orders </w:t>
      </w:r>
      <w:r w:rsidR="00D02BD4">
        <w:t xml:space="preserve">are determined </w:t>
      </w:r>
      <w:r w:rsidRPr="00492F4F">
        <w:t xml:space="preserve">to fit the mean equation by inspecting the PACF/ACF/EACF </w:t>
      </w:r>
      <w:r w:rsidR="00D02BD4">
        <w:t xml:space="preserve">(Extended Auto Correlation Function) </w:t>
      </w:r>
      <w:r w:rsidRPr="00492F4F">
        <w:t>plots.</w:t>
      </w:r>
      <w:r w:rsidR="00D35F91" w:rsidRPr="00D35F91">
        <w:t xml:space="preserve"> </w:t>
      </w:r>
      <w:r w:rsidR="00AE63B2">
        <w:t>Using these orders t</w:t>
      </w:r>
      <w:r w:rsidRPr="00492F4F">
        <w:t>he value of “d”</w:t>
      </w:r>
      <w:r w:rsidR="00AE63B2">
        <w:t xml:space="preserve"> (</w:t>
      </w:r>
      <w:r>
        <w:t>fractional differencing parameter)</w:t>
      </w:r>
      <w:r w:rsidRPr="00492F4F">
        <w:t xml:space="preserve"> </w:t>
      </w:r>
      <w:r w:rsidR="00AE63B2">
        <w:t xml:space="preserve">is estimated </w:t>
      </w:r>
      <w:r w:rsidRPr="00492F4F">
        <w:t xml:space="preserve">by the GPH methodology </w:t>
      </w:r>
      <w:r w:rsidR="00AE63B2" w:rsidRPr="00492F4F">
        <w:t>and</w:t>
      </w:r>
      <w:r w:rsidR="00AE63B2">
        <w:t xml:space="preserve"> </w:t>
      </w:r>
      <w:r w:rsidR="00AE63B2" w:rsidRPr="00492F4F">
        <w:t>a</w:t>
      </w:r>
      <w:r w:rsidRPr="00492F4F">
        <w:t xml:space="preserve"> fractionally differenced series</w:t>
      </w:r>
      <w:r w:rsidR="00AE63B2">
        <w:t xml:space="preserve"> si created</w:t>
      </w:r>
      <w:r w:rsidRPr="00492F4F">
        <w:t>.</w:t>
      </w:r>
      <w:r w:rsidR="00AE63B2">
        <w:t xml:space="preserve"> T</w:t>
      </w:r>
      <w:r w:rsidRPr="00492F4F">
        <w:t xml:space="preserve">he model parameters </w:t>
      </w:r>
      <w:r w:rsidR="00AE63B2">
        <w:t xml:space="preserve">are estimated </w:t>
      </w:r>
      <w:r w:rsidRPr="00492F4F">
        <w:t xml:space="preserve">by trial and error approach to determining an appropriate model that best fits the data. </w:t>
      </w:r>
    </w:p>
    <w:p w:rsidR="009C6085" w:rsidRDefault="009C6085" w:rsidP="00025ED7">
      <w:pPr>
        <w:ind w:right="260"/>
        <w:jc w:val="both"/>
      </w:pPr>
    </w:p>
    <w:p w:rsidR="00DF0C0D" w:rsidRDefault="00DF0C0D" w:rsidP="00025ED7">
      <w:pPr>
        <w:ind w:right="260"/>
        <w:jc w:val="both"/>
      </w:pPr>
      <w:r w:rsidRPr="00492F4F">
        <w:t xml:space="preserve">Box-Ljung test is applied </w:t>
      </w:r>
      <w:r>
        <w:t>at each stage to check for model adequacy and to investigate the presence of ARCH effects.</w:t>
      </w:r>
      <w:r w:rsidR="00D35F91">
        <w:t xml:space="preserve"> </w:t>
      </w:r>
      <w:r w:rsidRPr="00492F4F">
        <w:t>Model selection is based on B</w:t>
      </w:r>
      <w:r w:rsidR="00AE63B2">
        <w:t>IC (</w:t>
      </w:r>
      <w:r w:rsidRPr="00492F4F">
        <w:t>Bayesian Information Criterion</w:t>
      </w:r>
      <w:r w:rsidR="00AE63B2">
        <w:t>)</w:t>
      </w:r>
      <w:r w:rsidRPr="00492F4F">
        <w:t>.</w:t>
      </w:r>
      <w:r>
        <w:t xml:space="preserve"> </w:t>
      </w:r>
    </w:p>
    <w:p w:rsidR="00DF0C0D" w:rsidRDefault="00DF0C0D" w:rsidP="00DF0C0D">
      <w:pPr>
        <w:ind w:left="720"/>
      </w:pPr>
    </w:p>
    <w:p w:rsidR="00DF0C0D" w:rsidRDefault="004630BC" w:rsidP="00F66360">
      <w:pPr>
        <w:ind w:right="260"/>
        <w:jc w:val="center"/>
      </w:pPr>
      <w:r w:rsidRPr="00F645C2">
        <w:rPr>
          <w:position w:val="-24"/>
        </w:rPr>
        <w:object w:dxaOrig="2180" w:dyaOrig="620">
          <v:shape id="_x0000_i1026" type="#_x0000_t75" style="width:108.75pt;height:30.75pt" o:ole="">
            <v:imagedata r:id="rId13" o:title=""/>
          </v:shape>
          <o:OLEObject Type="Embed" ProgID="Equation.3" ShapeID="_x0000_i1026" DrawAspect="Content" ObjectID="_1297102963" r:id="rId14"/>
        </w:object>
      </w:r>
    </w:p>
    <w:p w:rsidR="00DF0C0D" w:rsidRDefault="00DF0C0D" w:rsidP="00DF0C0D">
      <w:pPr>
        <w:ind w:left="720"/>
      </w:pPr>
    </w:p>
    <w:p w:rsidR="00D35F91" w:rsidRDefault="00D35F91" w:rsidP="00025ED7">
      <w:pPr>
        <w:ind w:right="260"/>
        <w:jc w:val="both"/>
      </w:pPr>
      <w:r>
        <w:t>The m</w:t>
      </w:r>
      <w:r w:rsidR="00DF0C0D">
        <w:t>odel with the lowest BIC</w:t>
      </w:r>
      <w:r w:rsidR="00FD3B3B">
        <w:t xml:space="preserve"> value</w:t>
      </w:r>
      <w:r w:rsidR="00DF0C0D">
        <w:t xml:space="preserve"> is accepted as the final model. </w:t>
      </w:r>
      <w:r w:rsidR="00FD3B3B">
        <w:t xml:space="preserve">BIC was chosen over AIC for model comparison as </w:t>
      </w:r>
      <w:r w:rsidR="00D82748">
        <w:t xml:space="preserve">BIC is found to give more superior results as compared to AIC for autoregressive </w:t>
      </w:r>
      <w:r w:rsidR="00FD3B3B">
        <w:t>model order selection [6]; a</w:t>
      </w:r>
      <w:r w:rsidR="00D82748">
        <w:t xml:space="preserve">lso </w:t>
      </w:r>
      <w:r w:rsidR="00D82748" w:rsidRPr="006A400C">
        <w:t>BIC enjoys the consistency property in</w:t>
      </w:r>
      <w:r w:rsidR="00D82748">
        <w:t xml:space="preserve"> </w:t>
      </w:r>
      <w:r w:rsidR="00D82748" w:rsidRPr="006A400C">
        <w:t xml:space="preserve">terms of selecting the true model. </w:t>
      </w:r>
      <w:r w:rsidR="00D82748">
        <w:t>[7]</w:t>
      </w:r>
      <w:r w:rsidRPr="00D35F91">
        <w:t xml:space="preserve"> </w:t>
      </w:r>
    </w:p>
    <w:p w:rsidR="00440F34" w:rsidRPr="00A0769F" w:rsidRDefault="00440F34" w:rsidP="00025ED7">
      <w:pPr>
        <w:pStyle w:val="Heading2"/>
        <w:numPr>
          <w:ilvl w:val="0"/>
          <w:numId w:val="0"/>
        </w:numPr>
        <w:ind w:left="202"/>
        <w:jc w:val="both"/>
      </w:pPr>
      <w:r>
        <w:rPr>
          <w:rStyle w:val="CommentReference"/>
          <w:i w:val="0"/>
          <w:iCs w:val="0"/>
        </w:rPr>
        <w:commentReference w:id="9"/>
      </w:r>
    </w:p>
    <w:p w:rsidR="00440F34" w:rsidRDefault="00440F34" w:rsidP="00DC5D6C">
      <w:pPr>
        <w:pStyle w:val="Heading3"/>
      </w:pPr>
      <w:commentRangeStart w:id="10"/>
      <w:r>
        <w:t>Fractional Differencing Parameters</w:t>
      </w:r>
      <w:commentRangeEnd w:id="10"/>
      <w:r>
        <w:rPr>
          <w:rStyle w:val="CommentReference"/>
          <w:i w:val="0"/>
          <w:iCs w:val="0"/>
        </w:rPr>
        <w:commentReference w:id="10"/>
      </w:r>
    </w:p>
    <w:p w:rsidR="009E3122" w:rsidRDefault="009E3122" w:rsidP="009E3122"/>
    <w:p w:rsidR="007145AA" w:rsidRDefault="007145AA" w:rsidP="00025ED7">
      <w:pPr>
        <w:ind w:right="260"/>
        <w:jc w:val="both"/>
      </w:pPr>
      <w:r>
        <w:t>An appropriate investigation of fractional differencing includes entertaining several estimators for a fractional differencing parameter in an ARFIMA (p,d,q) framework. According to Beran, a linear process with i.i.d. innovations can exhibit long memory, however, it is difficult to distinguish the behavior of line</w:t>
      </w:r>
      <w:r w:rsidR="00996148">
        <w:t>ar ARMA-type processes from fractionally integrated processes for small values of n, where n is the length of the univariate process under question.</w:t>
      </w:r>
      <w:r w:rsidR="00996148">
        <w:rPr>
          <w:rStyle w:val="EndnoteReference"/>
        </w:rPr>
        <w:endnoteReference w:id="2"/>
      </w:r>
      <w:r w:rsidR="00996148">
        <w:t xml:space="preserve"> </w:t>
      </w:r>
    </w:p>
    <w:p w:rsidR="009E3122" w:rsidRDefault="009E3122" w:rsidP="00025ED7">
      <w:pPr>
        <w:jc w:val="both"/>
      </w:pPr>
    </w:p>
    <w:p w:rsidR="00996148" w:rsidRDefault="00996148" w:rsidP="00025ED7">
      <w:pPr>
        <w:ind w:right="260"/>
        <w:jc w:val="both"/>
      </w:pPr>
      <w:r>
        <w:t xml:space="preserve">With these considerations in mind, </w:t>
      </w:r>
      <w:r w:rsidR="00B56538">
        <w:t>i</w:t>
      </w:r>
      <w:r>
        <w:t>t</w:t>
      </w:r>
      <w:r w:rsidR="00B56538">
        <w:t xml:space="preserve"> was</w:t>
      </w:r>
      <w:r>
        <w:t xml:space="preserve"> necessary to include a fractional integration determination based on </w:t>
      </w:r>
      <w:r w:rsidR="00D35F91">
        <w:t>the following:</w:t>
      </w:r>
    </w:p>
    <w:p w:rsidR="00D35F91" w:rsidRDefault="00D35F91" w:rsidP="009E3122"/>
    <w:p w:rsidR="00996148" w:rsidRDefault="00996148" w:rsidP="004630BC">
      <w:pPr>
        <w:numPr>
          <w:ilvl w:val="0"/>
          <w:numId w:val="21"/>
        </w:numPr>
        <w:ind w:left="630" w:right="260" w:hanging="270"/>
        <w:jc w:val="both"/>
      </w:pPr>
      <w:r>
        <w:t>An efficiency study of different estimators for the fractional differencing d, including “removal of fractional differencing.”</w:t>
      </w:r>
    </w:p>
    <w:p w:rsidR="009E3122" w:rsidRDefault="009E3122" w:rsidP="004630BC">
      <w:pPr>
        <w:ind w:left="810" w:right="260"/>
        <w:jc w:val="both"/>
      </w:pPr>
    </w:p>
    <w:p w:rsidR="00996148" w:rsidRDefault="00996148" w:rsidP="004630BC">
      <w:pPr>
        <w:numPr>
          <w:ilvl w:val="0"/>
          <w:numId w:val="21"/>
        </w:numPr>
        <w:ind w:left="630" w:right="260" w:hanging="270"/>
        <w:jc w:val="both"/>
      </w:pPr>
      <w:r>
        <w:t>A formal statistical hypothesis test for fractional differencing.</w:t>
      </w:r>
      <w:r w:rsidR="00322F31">
        <w:t xml:space="preserve"> Specifically, Dolando </w:t>
      </w:r>
      <w:r w:rsidR="00322F31">
        <w:rPr>
          <w:i/>
        </w:rPr>
        <w:t>et. al.</w:t>
      </w:r>
      <w:r w:rsidR="00322F31">
        <w:rPr>
          <w:rStyle w:val="EndnoteReference"/>
          <w:i/>
        </w:rPr>
        <w:endnoteReference w:id="3"/>
      </w:r>
      <w:r w:rsidR="00322F31">
        <w:t xml:space="preserve"> has proposed a Fractional Dickey Fuller test, in which, in the following regression setup, </w:t>
      </w:r>
    </w:p>
    <w:p w:rsidR="00252D86" w:rsidRDefault="00252D86" w:rsidP="004630BC">
      <w:pPr>
        <w:pStyle w:val="ListParagraph"/>
        <w:ind w:left="630" w:right="260" w:hanging="270"/>
        <w:jc w:val="both"/>
      </w:pPr>
    </w:p>
    <w:p w:rsidR="00252D86" w:rsidRPr="00252D86" w:rsidRDefault="00252D86" w:rsidP="004630BC">
      <w:pPr>
        <w:ind w:left="630" w:right="260" w:hanging="270"/>
        <w:jc w:val="center"/>
      </w:pPr>
      <w:r>
        <w:t>Δy</w:t>
      </w:r>
      <w:r w:rsidRPr="00252D86">
        <w:rPr>
          <w:vertAlign w:val="subscript"/>
        </w:rPr>
        <w:t>t</w:t>
      </w:r>
      <w:r>
        <w:t xml:space="preserve"> = µ + </w:t>
      </w:r>
      <w:r w:rsidRPr="00252D86">
        <w:rPr>
          <w:i/>
        </w:rPr>
        <w:t>φ</w:t>
      </w:r>
      <w:r>
        <w:t>Δ</w:t>
      </w:r>
      <w:r w:rsidRPr="00252D86">
        <w:rPr>
          <w:vertAlign w:val="superscript"/>
        </w:rPr>
        <w:t>d</w:t>
      </w:r>
      <w:r>
        <w:t>y</w:t>
      </w:r>
      <w:r w:rsidRPr="00252D86">
        <w:rPr>
          <w:vertAlign w:val="subscript"/>
        </w:rPr>
        <w:t>t-1</w:t>
      </w:r>
      <w:r>
        <w:t xml:space="preserve"> + A(</w:t>
      </w:r>
      <w:r w:rsidRPr="00252D86">
        <w:rPr>
          <w:i/>
        </w:rPr>
        <w:t>L</w:t>
      </w:r>
      <w:r>
        <w:t>)</w:t>
      </w:r>
      <w:r w:rsidRPr="00252D86">
        <w:t>Δy</w:t>
      </w:r>
      <w:r w:rsidRPr="00252D86">
        <w:rPr>
          <w:vertAlign w:val="subscript"/>
        </w:rPr>
        <w:t>t</w:t>
      </w:r>
      <w:r>
        <w:rPr>
          <w:vertAlign w:val="subscript"/>
        </w:rPr>
        <w:t xml:space="preserve"> </w:t>
      </w:r>
      <w:r>
        <w:t>+ ε</w:t>
      </w:r>
      <w:r w:rsidRPr="00252D86">
        <w:rPr>
          <w:vertAlign w:val="subscript"/>
        </w:rPr>
        <w:t>t</w:t>
      </w:r>
    </w:p>
    <w:p w:rsidR="00322F31" w:rsidRDefault="00322F31" w:rsidP="004630BC">
      <w:pPr>
        <w:ind w:left="630" w:right="260" w:hanging="270"/>
        <w:jc w:val="both"/>
      </w:pPr>
    </w:p>
    <w:p w:rsidR="00322F31" w:rsidRDefault="00322F31" w:rsidP="004630BC">
      <w:pPr>
        <w:ind w:left="630" w:right="260"/>
        <w:jc w:val="both"/>
      </w:pPr>
      <w:r>
        <w:t>the null hypothesis of unit-root non-stationarity (d=d</w:t>
      </w:r>
      <w:r>
        <w:rPr>
          <w:vertAlign w:val="subscript"/>
        </w:rPr>
        <w:t>0</w:t>
      </w:r>
      <w:r>
        <w:t xml:space="preserve">=1) is tested against fractional integration </w:t>
      </w:r>
    </w:p>
    <w:p w:rsidR="00322F31" w:rsidRDefault="00322F31" w:rsidP="004630BC">
      <w:pPr>
        <w:ind w:left="630" w:right="260"/>
        <w:jc w:val="both"/>
      </w:pPr>
      <w:r>
        <w:t>(d=d</w:t>
      </w:r>
      <w:r>
        <w:rPr>
          <w:vertAlign w:val="subscript"/>
        </w:rPr>
        <w:t xml:space="preserve">1 </w:t>
      </w:r>
      <w:r w:rsidRPr="00322F31">
        <w:t>ε</w:t>
      </w:r>
      <w:r>
        <w:t xml:space="preserve"> (-1/2,1/2)).</w:t>
      </w:r>
    </w:p>
    <w:p w:rsidR="004630BC" w:rsidRDefault="004630BC" w:rsidP="004630BC">
      <w:pPr>
        <w:ind w:left="630" w:right="260"/>
        <w:jc w:val="both"/>
      </w:pPr>
    </w:p>
    <w:p w:rsidR="00252D86" w:rsidRDefault="00252D86" w:rsidP="004630BC">
      <w:pPr>
        <w:ind w:left="630" w:right="260" w:hanging="270"/>
        <w:jc w:val="center"/>
      </w:pPr>
      <w:r>
        <w:t>H</w:t>
      </w:r>
      <w:r w:rsidRPr="00252D86">
        <w:rPr>
          <w:vertAlign w:val="subscript"/>
        </w:rPr>
        <w:t>0</w:t>
      </w:r>
      <w:r>
        <w:t xml:space="preserve">: </w:t>
      </w:r>
      <w:r w:rsidRPr="00252D86">
        <w:rPr>
          <w:i/>
        </w:rPr>
        <w:t>φ</w:t>
      </w:r>
      <w:r>
        <w:t xml:space="preserve"> = 0, y</w:t>
      </w:r>
      <w:r w:rsidRPr="00252D86">
        <w:rPr>
          <w:vertAlign w:val="subscript"/>
        </w:rPr>
        <w:t>t</w:t>
      </w:r>
      <w:r>
        <w:t xml:space="preserve"> is </w:t>
      </w:r>
      <w:r w:rsidRPr="00252D86">
        <w:rPr>
          <w:i/>
        </w:rPr>
        <w:t>FI</w:t>
      </w:r>
      <w:r>
        <w:t>(d</w:t>
      </w:r>
      <w:r w:rsidRPr="00252D86">
        <w:rPr>
          <w:vertAlign w:val="subscript"/>
        </w:rPr>
        <w:t>0</w:t>
      </w:r>
      <w:r>
        <w:t>)</w:t>
      </w:r>
    </w:p>
    <w:p w:rsidR="00252D86" w:rsidRPr="00252D86" w:rsidRDefault="00252D86" w:rsidP="004630BC">
      <w:pPr>
        <w:ind w:left="630" w:right="260" w:hanging="270"/>
        <w:jc w:val="center"/>
      </w:pPr>
      <w:r w:rsidRPr="00252D86">
        <w:t>H</w:t>
      </w:r>
      <w:r>
        <w:rPr>
          <w:vertAlign w:val="subscript"/>
        </w:rPr>
        <w:t>A</w:t>
      </w:r>
      <w:r w:rsidRPr="00252D86">
        <w:t xml:space="preserve">: </w:t>
      </w:r>
      <w:r w:rsidRPr="00252D86">
        <w:rPr>
          <w:i/>
        </w:rPr>
        <w:t>φ</w:t>
      </w:r>
      <w:r w:rsidRPr="00252D86">
        <w:t xml:space="preserve"> </w:t>
      </w:r>
      <w:r>
        <w:t>&lt;</w:t>
      </w:r>
      <w:r w:rsidRPr="00252D86">
        <w:t xml:space="preserve"> 0, y</w:t>
      </w:r>
      <w:r w:rsidRPr="00252D86">
        <w:rPr>
          <w:vertAlign w:val="subscript"/>
        </w:rPr>
        <w:t>t</w:t>
      </w:r>
      <w:r w:rsidRPr="00252D86">
        <w:t xml:space="preserve"> is </w:t>
      </w:r>
      <w:r w:rsidRPr="00252D86">
        <w:rPr>
          <w:i/>
        </w:rPr>
        <w:t>FI</w:t>
      </w:r>
      <w:r w:rsidRPr="00252D86">
        <w:t>(d</w:t>
      </w:r>
      <w:r>
        <w:rPr>
          <w:vertAlign w:val="subscript"/>
        </w:rPr>
        <w:t>1</w:t>
      </w:r>
      <w:r w:rsidRPr="00252D86">
        <w:t>)</w:t>
      </w:r>
    </w:p>
    <w:p w:rsidR="00252D86" w:rsidRPr="00252D86" w:rsidRDefault="00252D86" w:rsidP="004630BC">
      <w:pPr>
        <w:ind w:left="630" w:right="260" w:hanging="270"/>
        <w:jc w:val="both"/>
      </w:pPr>
    </w:p>
    <w:p w:rsidR="00322F31" w:rsidRDefault="00322F31" w:rsidP="004630BC">
      <w:pPr>
        <w:ind w:left="630" w:right="260"/>
        <w:jc w:val="both"/>
      </w:pPr>
      <w:r>
        <w:lastRenderedPageBreak/>
        <w:t>Initial results of this test are promising in simulation, but further investigation has to be carried out to validate statistical accuracy with respect to MARS-derived critical values (see Sephton</w:t>
      </w:r>
      <w:r w:rsidR="009E3122">
        <w:rPr>
          <w:rStyle w:val="EndnoteReference"/>
        </w:rPr>
        <w:endnoteReference w:id="4"/>
      </w:r>
      <w:r>
        <w:t>).</w:t>
      </w:r>
    </w:p>
    <w:p w:rsidR="009E3122" w:rsidRDefault="009E3122" w:rsidP="00025ED7">
      <w:pPr>
        <w:ind w:left="810" w:right="260"/>
      </w:pPr>
    </w:p>
    <w:p w:rsidR="00996148" w:rsidRPr="007145AA" w:rsidRDefault="00996148" w:rsidP="004630BC">
      <w:pPr>
        <w:numPr>
          <w:ilvl w:val="0"/>
          <w:numId w:val="21"/>
        </w:numPr>
        <w:ind w:left="630" w:right="260" w:hanging="270"/>
      </w:pPr>
      <w:r>
        <w:t>An objective comparison of ARFIMA(p,d,q) (long memory) with an alternative model, using forecast errors.</w:t>
      </w:r>
    </w:p>
    <w:p w:rsidR="00D35F91" w:rsidRDefault="00D35F91" w:rsidP="003E0BE0">
      <w:commentRangeStart w:id="11"/>
    </w:p>
    <w:p w:rsidR="000576F9" w:rsidRDefault="000576F9" w:rsidP="003E0BE0">
      <w:pPr>
        <w:pStyle w:val="Heading3"/>
      </w:pPr>
      <w:r>
        <w:t xml:space="preserve">Joint Estimation of </w:t>
      </w:r>
      <w:r w:rsidR="00DA2BF2">
        <w:t>ARFIMA(p,d,q)</w:t>
      </w:r>
      <w:r>
        <w:t xml:space="preserve"> Parameters</w:t>
      </w:r>
    </w:p>
    <w:commentRangeEnd w:id="11"/>
    <w:p w:rsidR="000576F9" w:rsidRPr="00C5595E" w:rsidRDefault="000576F9" w:rsidP="000576F9">
      <w:r>
        <w:rPr>
          <w:rStyle w:val="CommentReference"/>
        </w:rPr>
        <w:commentReference w:id="11"/>
      </w:r>
    </w:p>
    <w:p w:rsidR="000576F9" w:rsidRDefault="000576F9" w:rsidP="00025ED7">
      <w:pPr>
        <w:ind w:right="260"/>
        <w:jc w:val="both"/>
      </w:pPr>
      <w:r>
        <w:t xml:space="preserve">The current methodologies for estimating the model parameters follow a two step </w:t>
      </w:r>
      <w:r w:rsidR="00B10639">
        <w:t>approach;</w:t>
      </w:r>
      <w:r>
        <w:t xml:space="preserve"> the first step is to obtain the estimate of fractional differencing parameter “d” and an ARMA estimation technique is applied to the fractionally differenced time series in the second. </w:t>
      </w:r>
    </w:p>
    <w:p w:rsidR="00DA2BF2" w:rsidRPr="000D7B7A" w:rsidRDefault="00DA2BF2" w:rsidP="00025ED7">
      <w:pPr>
        <w:ind w:right="260"/>
        <w:jc w:val="both"/>
      </w:pPr>
    </w:p>
    <w:p w:rsidR="000576F9" w:rsidRDefault="00B10639" w:rsidP="00025ED7">
      <w:pPr>
        <w:ind w:right="260"/>
        <w:jc w:val="both"/>
      </w:pPr>
      <w:r w:rsidRPr="00F66360">
        <w:t>However a one step approach would give better parameter estimates.</w:t>
      </w:r>
      <w:r>
        <w:t xml:space="preserve"> We are currently re</w:t>
      </w:r>
      <w:r w:rsidR="000576F9">
        <w:t xml:space="preserve">searching the </w:t>
      </w:r>
      <w:r>
        <w:t xml:space="preserve">methods available for </w:t>
      </w:r>
      <w:r w:rsidR="000576F9">
        <w:t xml:space="preserve">implementing a one-step joint estimation framework of the </w:t>
      </w:r>
      <w:r>
        <w:t>ARIMA (</w:t>
      </w:r>
      <w:r w:rsidR="000576F9">
        <w:t>p,d,q) model to the return series, on</w:t>
      </w:r>
      <w:r w:rsidR="00B56538">
        <w:t>ce</w:t>
      </w:r>
      <w:r w:rsidR="000576F9">
        <w:t xml:space="preserve"> the ARCH effects are confirmed. </w:t>
      </w:r>
    </w:p>
    <w:p w:rsidR="00DA2BF2" w:rsidRDefault="00DA2BF2" w:rsidP="00025ED7">
      <w:pPr>
        <w:ind w:right="260"/>
        <w:jc w:val="both"/>
      </w:pPr>
    </w:p>
    <w:p w:rsidR="000576F9" w:rsidRPr="00080436" w:rsidRDefault="00B10639" w:rsidP="00025ED7">
      <w:pPr>
        <w:ind w:right="260"/>
        <w:jc w:val="both"/>
      </w:pPr>
      <w:r>
        <w:t xml:space="preserve">A couple of </w:t>
      </w:r>
      <w:r w:rsidR="00DA2BF2">
        <w:t>methodologies</w:t>
      </w:r>
      <w:r>
        <w:t xml:space="preserve"> are proposed in the scientific literature for a one step estimation of the ARIMA (p,d,q) process. These </w:t>
      </w:r>
      <w:r w:rsidR="000576F9">
        <w:t xml:space="preserve">are based on </w:t>
      </w:r>
      <w:r w:rsidR="000576F9" w:rsidRPr="00CE63C3">
        <w:t xml:space="preserve">Bayesian inference for autoregressive </w:t>
      </w:r>
      <w:r w:rsidR="00DA2BF2" w:rsidRPr="00CE63C3">
        <w:t>fractionally integrated</w:t>
      </w:r>
      <w:r w:rsidR="000576F9" w:rsidRPr="00CE63C3">
        <w:t xml:space="preserve"> moving average (ARFIMA) models using Markov chain Monte</w:t>
      </w:r>
      <w:r w:rsidR="000576F9">
        <w:t xml:space="preserve"> </w:t>
      </w:r>
      <w:r w:rsidR="000576F9" w:rsidRPr="00CE63C3">
        <w:t>Carl</w:t>
      </w:r>
      <w:r w:rsidR="000576F9">
        <w:t>o methods [5] and a pseudo linear method for the estimation of Fractiona</w:t>
      </w:r>
      <w:r w:rsidR="00A13689">
        <w:t>lly Integrated ARMA models [4],</w:t>
      </w:r>
      <w:r w:rsidR="000576F9">
        <w:t xml:space="preserve"> but a feasible implementation of e methodologies is yet to be confirmed in the context of our analysis.</w:t>
      </w:r>
    </w:p>
    <w:p w:rsidR="00F44E13" w:rsidRPr="00F44E13" w:rsidRDefault="00F44E13" w:rsidP="00F44E13"/>
    <w:p w:rsidR="00D52520" w:rsidRDefault="00D52520" w:rsidP="00D52520">
      <w:pPr>
        <w:pStyle w:val="Heading1"/>
      </w:pPr>
      <w:r>
        <w:t>Results</w:t>
      </w:r>
    </w:p>
    <w:p w:rsidR="00F44E13" w:rsidRPr="00440F34" w:rsidRDefault="00F44E13" w:rsidP="003E0BE0">
      <w:pPr>
        <w:pStyle w:val="Heading2"/>
        <w:ind w:left="0"/>
      </w:pPr>
      <w:commentRangeStart w:id="12"/>
      <w:r>
        <w:t>Initial Analysis</w:t>
      </w:r>
      <w:commentRangeEnd w:id="12"/>
      <w:r>
        <w:rPr>
          <w:rStyle w:val="CommentReference"/>
          <w:i w:val="0"/>
          <w:iCs w:val="0"/>
        </w:rPr>
        <w:commentReference w:id="12"/>
      </w:r>
    </w:p>
    <w:p w:rsidR="00F44E13" w:rsidRDefault="00F44E13" w:rsidP="003E0BE0">
      <w:pPr>
        <w:pStyle w:val="Heading3"/>
      </w:pPr>
      <w:commentRangeStart w:id="13"/>
      <w:r>
        <w:t>Data Transformations</w:t>
      </w:r>
      <w:commentRangeEnd w:id="13"/>
      <w:r>
        <w:rPr>
          <w:rStyle w:val="CommentReference"/>
          <w:i w:val="0"/>
          <w:iCs w:val="0"/>
        </w:rPr>
        <w:commentReference w:id="13"/>
      </w:r>
    </w:p>
    <w:p w:rsidR="003E0BE0" w:rsidRPr="003E0BE0" w:rsidRDefault="003E0BE0" w:rsidP="003E0BE0"/>
    <w:p w:rsidR="00775F0B" w:rsidRDefault="00775F0B" w:rsidP="00025ED7">
      <w:pPr>
        <w:ind w:right="260"/>
        <w:jc w:val="both"/>
      </w:pPr>
      <w:r>
        <w:t>Analysis of the states demonstrated that the distribution of the returns deviates too far from Gaussian and thus, any Box Cox transform</w:t>
      </w:r>
      <w:r w:rsidR="00A76EFC">
        <w:t xml:space="preserve">ation attempt fails.  Figure </w:t>
      </w:r>
      <w:r w:rsidR="00DA2BF2">
        <w:t>3.</w:t>
      </w:r>
      <w:r w:rsidR="00A76EFC">
        <w:t>1.1</w:t>
      </w:r>
      <w:r>
        <w:t xml:space="preserve"> shows graphical results from before and after the transforma</w:t>
      </w:r>
      <w:r w:rsidR="00A76EFC">
        <w:t xml:space="preserve">tion for </w:t>
      </w:r>
      <w:smartTag w:uri="urn:schemas-microsoft-com:office:smarttags" w:element="place">
        <w:smartTag w:uri="urn:schemas-microsoft-com:office:smarttags" w:element="State">
          <w:r w:rsidR="00A76EFC">
            <w:t>Arkansas</w:t>
          </w:r>
        </w:smartTag>
      </w:smartTag>
      <w:r w:rsidR="00A76EFC">
        <w:t xml:space="preserve"> and Table 1.2</w:t>
      </w:r>
      <w:r>
        <w:t xml:space="preserve"> shows numerical results.</w:t>
      </w:r>
    </w:p>
    <w:p w:rsidR="00775F0B" w:rsidRDefault="00152AFF" w:rsidP="00775F0B">
      <w:r>
        <w:rPr>
          <w:noProof/>
        </w:rPr>
        <w:lastRenderedPageBreak/>
        <w:drawing>
          <wp:inline distT="0" distB="0" distL="0" distR="0">
            <wp:extent cx="3286125" cy="32766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3286125" cy="3276600"/>
                    </a:xfrm>
                    <a:prstGeom prst="rect">
                      <a:avLst/>
                    </a:prstGeom>
                    <a:noFill/>
                    <a:ln w="9525">
                      <a:noFill/>
                      <a:miter lim="800000"/>
                      <a:headEnd/>
                      <a:tailEnd/>
                    </a:ln>
                  </pic:spPr>
                </pic:pic>
              </a:graphicData>
            </a:graphic>
          </wp:inline>
        </w:drawing>
      </w:r>
    </w:p>
    <w:p w:rsidR="001131A9" w:rsidRDefault="00E4370E" w:rsidP="003E0BE0">
      <w:pPr>
        <w:jc w:val="center"/>
        <w:rPr>
          <w:rFonts w:cs="Arial"/>
          <w:b/>
          <w:bCs/>
          <w:sz w:val="16"/>
          <w:szCs w:val="16"/>
        </w:rPr>
      </w:pPr>
      <w:r>
        <w:rPr>
          <w:rFonts w:cs="Arial"/>
          <w:b/>
          <w:bCs/>
          <w:sz w:val="16"/>
          <w:szCs w:val="16"/>
        </w:rPr>
        <w:t xml:space="preserve">Figure </w:t>
      </w:r>
      <w:r w:rsidR="00100313">
        <w:rPr>
          <w:rFonts w:cs="Arial"/>
          <w:b/>
          <w:bCs/>
          <w:sz w:val="16"/>
          <w:szCs w:val="16"/>
        </w:rPr>
        <w:t>3</w:t>
      </w:r>
      <w:r>
        <w:rPr>
          <w:rFonts w:cs="Arial"/>
          <w:b/>
          <w:bCs/>
          <w:sz w:val="16"/>
          <w:szCs w:val="16"/>
        </w:rPr>
        <w:t>.1</w:t>
      </w:r>
      <w:r w:rsidR="00100313">
        <w:rPr>
          <w:rFonts w:cs="Arial"/>
          <w:b/>
          <w:bCs/>
          <w:sz w:val="16"/>
          <w:szCs w:val="16"/>
        </w:rPr>
        <w:t>.1</w:t>
      </w:r>
      <w:r w:rsidR="00775F0B" w:rsidRPr="00DA1CD0">
        <w:rPr>
          <w:rFonts w:cs="Arial"/>
          <w:b/>
          <w:bCs/>
          <w:sz w:val="16"/>
          <w:szCs w:val="16"/>
        </w:rPr>
        <w:t xml:space="preserve">: </w:t>
      </w:r>
      <w:r w:rsidR="00775F0B">
        <w:rPr>
          <w:rFonts w:cs="Arial"/>
          <w:b/>
          <w:bCs/>
          <w:sz w:val="16"/>
          <w:szCs w:val="16"/>
        </w:rPr>
        <w:t xml:space="preserve">QQ plots and density plots of the </w:t>
      </w:r>
      <w:smartTag w:uri="urn:schemas-microsoft-com:office:smarttags" w:element="place">
        <w:smartTag w:uri="urn:schemas-microsoft-com:office:smarttags" w:element="State">
          <w:r w:rsidR="00775F0B">
            <w:rPr>
              <w:rFonts w:cs="Arial"/>
              <w:b/>
              <w:bCs/>
              <w:sz w:val="16"/>
              <w:szCs w:val="16"/>
            </w:rPr>
            <w:t>Arkansas</w:t>
          </w:r>
        </w:smartTag>
      </w:smartTag>
      <w:r w:rsidR="00775F0B">
        <w:rPr>
          <w:rFonts w:cs="Arial"/>
          <w:b/>
          <w:bCs/>
          <w:sz w:val="16"/>
          <w:szCs w:val="16"/>
        </w:rPr>
        <w:t xml:space="preserve"> </w:t>
      </w:r>
      <w:r w:rsidR="00805A18">
        <w:rPr>
          <w:rFonts w:cs="Arial"/>
          <w:b/>
          <w:bCs/>
          <w:sz w:val="16"/>
          <w:szCs w:val="16"/>
        </w:rPr>
        <w:t xml:space="preserve">HPI data </w:t>
      </w:r>
      <w:r w:rsidR="00775F0B">
        <w:rPr>
          <w:rFonts w:cs="Arial"/>
          <w:b/>
          <w:bCs/>
          <w:sz w:val="16"/>
          <w:szCs w:val="16"/>
        </w:rPr>
        <w:t xml:space="preserve">(left) </w:t>
      </w:r>
    </w:p>
    <w:p w:rsidR="00775F0B" w:rsidRDefault="00775F0B" w:rsidP="003E0BE0">
      <w:pPr>
        <w:jc w:val="center"/>
      </w:pPr>
      <w:r>
        <w:rPr>
          <w:rFonts w:cs="Arial"/>
          <w:b/>
          <w:bCs/>
          <w:sz w:val="16"/>
          <w:szCs w:val="16"/>
        </w:rPr>
        <w:t xml:space="preserve">and the Box Cox transformed series </w:t>
      </w:r>
      <w:r w:rsidRPr="00677987">
        <w:rPr>
          <w:b/>
          <w:bCs/>
          <w:sz w:val="16"/>
          <w:szCs w:val="16"/>
        </w:rPr>
        <w:t xml:space="preserve">with </w:t>
      </w:r>
      <w:r w:rsidR="001131A9">
        <w:rPr>
          <w:rFonts w:cs="Arial"/>
          <w:b/>
          <w:bCs/>
          <w:sz w:val="16"/>
          <w:szCs w:val="16"/>
        </w:rPr>
        <w:sym w:font="Symbol" w:char="F06C"/>
      </w:r>
      <w:r w:rsidR="00805A18">
        <w:rPr>
          <w:b/>
          <w:sz w:val="16"/>
          <w:szCs w:val="16"/>
        </w:rPr>
        <w:t>=0.23</w:t>
      </w:r>
      <w:r w:rsidRPr="00677987">
        <w:rPr>
          <w:b/>
          <w:bCs/>
          <w:sz w:val="16"/>
          <w:szCs w:val="16"/>
        </w:rPr>
        <w:t xml:space="preserve"> (right)</w:t>
      </w:r>
    </w:p>
    <w:p w:rsidR="00775F0B" w:rsidRDefault="00775F0B" w:rsidP="00775F0B"/>
    <w:p w:rsidR="00775F0B" w:rsidRPr="00E32B69" w:rsidRDefault="00152AFF" w:rsidP="00E32B69">
      <w:pPr>
        <w:jc w:val="center"/>
      </w:pPr>
      <w:r>
        <w:rPr>
          <w:noProof/>
        </w:rPr>
        <w:drawing>
          <wp:inline distT="0" distB="0" distL="0" distR="0">
            <wp:extent cx="3152775" cy="11430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152775" cy="1143000"/>
                    </a:xfrm>
                    <a:prstGeom prst="rect">
                      <a:avLst/>
                    </a:prstGeom>
                    <a:noFill/>
                    <a:ln w="9525">
                      <a:noFill/>
                      <a:miter lim="800000"/>
                      <a:headEnd/>
                      <a:tailEnd/>
                    </a:ln>
                  </pic:spPr>
                </pic:pic>
              </a:graphicData>
            </a:graphic>
          </wp:inline>
        </w:drawing>
      </w:r>
    </w:p>
    <w:p w:rsidR="00805A18" w:rsidRDefault="00E4370E" w:rsidP="001131A9">
      <w:pPr>
        <w:jc w:val="center"/>
        <w:rPr>
          <w:rFonts w:cs="Arial"/>
          <w:b/>
          <w:bCs/>
          <w:sz w:val="16"/>
          <w:szCs w:val="16"/>
        </w:rPr>
      </w:pPr>
      <w:r>
        <w:rPr>
          <w:rFonts w:cs="Arial"/>
          <w:b/>
          <w:bCs/>
          <w:sz w:val="16"/>
          <w:szCs w:val="16"/>
        </w:rPr>
        <w:t>Table 1.2</w:t>
      </w:r>
      <w:r w:rsidR="00775F0B" w:rsidRPr="00DA1CD0">
        <w:rPr>
          <w:rFonts w:cs="Arial"/>
          <w:b/>
          <w:bCs/>
          <w:sz w:val="16"/>
          <w:szCs w:val="16"/>
        </w:rPr>
        <w:t xml:space="preserve">: </w:t>
      </w:r>
      <w:r w:rsidR="00775F0B">
        <w:rPr>
          <w:rFonts w:cs="Arial"/>
          <w:b/>
          <w:bCs/>
          <w:sz w:val="16"/>
          <w:szCs w:val="16"/>
        </w:rPr>
        <w:t xml:space="preserve">p-values from normality tests for the </w:t>
      </w:r>
      <w:smartTag w:uri="urn:schemas-microsoft-com:office:smarttags" w:element="place">
        <w:smartTag w:uri="urn:schemas-microsoft-com:office:smarttags" w:element="State">
          <w:r w:rsidR="00775F0B">
            <w:rPr>
              <w:rFonts w:cs="Arial"/>
              <w:b/>
              <w:bCs/>
              <w:sz w:val="16"/>
              <w:szCs w:val="16"/>
            </w:rPr>
            <w:t>Arkansas</w:t>
          </w:r>
        </w:smartTag>
      </w:smartTag>
      <w:r w:rsidR="00775F0B">
        <w:rPr>
          <w:rFonts w:cs="Arial"/>
          <w:b/>
          <w:bCs/>
          <w:sz w:val="16"/>
          <w:szCs w:val="16"/>
        </w:rPr>
        <w:t xml:space="preserve"> </w:t>
      </w:r>
      <w:r w:rsidR="00805A18">
        <w:rPr>
          <w:rFonts w:cs="Arial"/>
          <w:b/>
          <w:bCs/>
          <w:sz w:val="16"/>
          <w:szCs w:val="16"/>
        </w:rPr>
        <w:t>housing price</w:t>
      </w:r>
    </w:p>
    <w:p w:rsidR="00775F0B" w:rsidRDefault="00775F0B" w:rsidP="003E0BE0">
      <w:pPr>
        <w:jc w:val="center"/>
      </w:pPr>
      <w:r>
        <w:rPr>
          <w:rFonts w:cs="Arial"/>
          <w:b/>
          <w:bCs/>
          <w:sz w:val="16"/>
          <w:szCs w:val="16"/>
        </w:rPr>
        <w:t>series and the Box Cox transformed series with</w:t>
      </w:r>
      <w:r w:rsidR="001131A9">
        <w:rPr>
          <w:rFonts w:cs="Arial"/>
          <w:b/>
          <w:bCs/>
          <w:sz w:val="16"/>
          <w:szCs w:val="16"/>
        </w:rPr>
        <w:t xml:space="preserve"> </w:t>
      </w:r>
      <w:r w:rsidR="001131A9">
        <w:rPr>
          <w:rFonts w:cs="Arial"/>
          <w:b/>
          <w:bCs/>
          <w:sz w:val="16"/>
          <w:szCs w:val="16"/>
        </w:rPr>
        <w:sym w:font="Symbol" w:char="F06C"/>
      </w:r>
      <w:r w:rsidR="00805A18">
        <w:rPr>
          <w:b/>
          <w:sz w:val="16"/>
          <w:szCs w:val="16"/>
        </w:rPr>
        <w:t>=0.23</w:t>
      </w:r>
      <w:r w:rsidRPr="00677987">
        <w:rPr>
          <w:b/>
          <w:bCs/>
          <w:sz w:val="16"/>
          <w:szCs w:val="16"/>
        </w:rPr>
        <w:t xml:space="preserve"> (right)</w:t>
      </w:r>
    </w:p>
    <w:p w:rsidR="00775F0B" w:rsidRDefault="00775F0B" w:rsidP="00775F0B"/>
    <w:p w:rsidR="00802AAC" w:rsidRDefault="00775F0B" w:rsidP="00802AAC">
      <w:pPr>
        <w:ind w:right="260"/>
        <w:jc w:val="both"/>
      </w:pPr>
      <w:r>
        <w:t xml:space="preserve">The QQ plots and density plots show significant departures from normality.  </w:t>
      </w:r>
      <w:r w:rsidR="00E32B69">
        <w:t>While the Jarque-Bera test does not reject normality in the transformed series, t</w:t>
      </w:r>
      <w:r>
        <w:t xml:space="preserve">he p-values of </w:t>
      </w:r>
      <w:r w:rsidR="00E32B69">
        <w:t>the other</w:t>
      </w:r>
      <w:r>
        <w:t xml:space="preserve"> normality tests strongly suggest non-normal distributions.</w:t>
      </w:r>
      <w:r w:rsidR="00BF554B">
        <w:t xml:space="preserve">  The Jarque-Bera tests deviations from normal skewness of 0 and kurtosis of 3.  Thus, a symmetric and short-tailed distribution with sample skewness and excess kurtosis coefficients near 0 can incorrectly pass the JB test, as was the case here.</w:t>
      </w:r>
      <w:r w:rsidR="00802AAC">
        <w:t xml:space="preserve">  It is concluded that a Box Cox transformation is inadequate in making the housing price series Gaussian.</w:t>
      </w:r>
    </w:p>
    <w:p w:rsidR="00BF554B" w:rsidRDefault="00BF554B" w:rsidP="00BF554B">
      <w:pPr>
        <w:ind w:right="260"/>
        <w:jc w:val="both"/>
      </w:pPr>
    </w:p>
    <w:p w:rsidR="00F44E13" w:rsidRPr="00440F34" w:rsidRDefault="00F44E13" w:rsidP="00F44E13"/>
    <w:p w:rsidR="00F44E13" w:rsidRDefault="00F44E13" w:rsidP="003E0BE0">
      <w:pPr>
        <w:pStyle w:val="Heading3"/>
      </w:pPr>
      <w:commentRangeStart w:id="14"/>
      <w:r w:rsidRPr="00775F0B">
        <w:t>I(1) Testing</w:t>
      </w:r>
      <w:commentRangeEnd w:id="14"/>
      <w:r w:rsidRPr="00775F0B">
        <w:rPr>
          <w:rStyle w:val="CommentReference"/>
          <w:i w:val="0"/>
          <w:iCs w:val="0"/>
          <w:sz w:val="20"/>
          <w:szCs w:val="20"/>
        </w:rPr>
        <w:commentReference w:id="14"/>
      </w:r>
    </w:p>
    <w:p w:rsidR="00775F0B" w:rsidRPr="00775F0B" w:rsidRDefault="00775F0B" w:rsidP="00775F0B"/>
    <w:p w:rsidR="00007561" w:rsidRPr="00775F0B" w:rsidRDefault="00007561" w:rsidP="00025ED7">
      <w:pPr>
        <w:ind w:right="260"/>
        <w:jc w:val="both"/>
      </w:pPr>
      <w:r w:rsidRPr="00775F0B">
        <w:t xml:space="preserve">Results of </w:t>
      </w:r>
      <w:r w:rsidR="00775F0B">
        <w:t xml:space="preserve">unit root </w:t>
      </w:r>
      <w:r w:rsidRPr="00775F0B">
        <w:t>tests are shown in Table 1. As shown, the p-values all show the rejection of the H</w:t>
      </w:r>
      <w:r w:rsidRPr="00775F0B">
        <w:rPr>
          <w:vertAlign w:val="subscript"/>
        </w:rPr>
        <w:t>o</w:t>
      </w:r>
      <w:r w:rsidRPr="00775F0B">
        <w:t xml:space="preserve"> for the presence of a unit root; thus, these states were determined to be stationary.</w:t>
      </w:r>
    </w:p>
    <w:p w:rsidR="00007561" w:rsidRDefault="00007561" w:rsidP="00007561">
      <w:pPr>
        <w:rPr>
          <w:sz w:val="18"/>
          <w:szCs w:val="18"/>
        </w:rPr>
      </w:pPr>
    </w:p>
    <w:p w:rsidR="00007561" w:rsidRDefault="003A530D" w:rsidP="00007561">
      <w:pPr>
        <w:jc w:val="center"/>
        <w:rPr>
          <w:sz w:val="18"/>
          <w:szCs w:val="18"/>
        </w:rPr>
      </w:pPr>
      <w:r w:rsidRPr="0026112F">
        <w:rPr>
          <w:sz w:val="18"/>
          <w:szCs w:val="18"/>
        </w:rPr>
        <w:object w:dxaOrig="3818" w:dyaOrig="1060">
          <v:shape id="_x0000_i1027" type="#_x0000_t75" style="width:191.25pt;height:53.25pt" o:ole="">
            <v:imagedata r:id="rId17" o:title=""/>
          </v:shape>
          <o:OLEObject Type="Embed" ProgID="Excel.Sheet.8" ShapeID="_x0000_i1027" DrawAspect="Content" ObjectID="_1297102964" r:id="rId18"/>
        </w:object>
      </w:r>
    </w:p>
    <w:p w:rsidR="00007561" w:rsidRPr="00F958B6" w:rsidRDefault="00007561" w:rsidP="00007561">
      <w:pPr>
        <w:jc w:val="center"/>
        <w:rPr>
          <w:b/>
          <w:sz w:val="16"/>
          <w:szCs w:val="16"/>
        </w:rPr>
      </w:pPr>
      <w:r w:rsidRPr="00F958B6">
        <w:rPr>
          <w:b/>
          <w:sz w:val="16"/>
          <w:szCs w:val="16"/>
        </w:rPr>
        <w:t xml:space="preserve">Table </w:t>
      </w:r>
      <w:r w:rsidR="00100313">
        <w:rPr>
          <w:b/>
          <w:sz w:val="16"/>
          <w:szCs w:val="16"/>
        </w:rPr>
        <w:t>3.</w:t>
      </w:r>
      <w:r w:rsidR="00E4370E">
        <w:rPr>
          <w:b/>
          <w:sz w:val="16"/>
          <w:szCs w:val="16"/>
        </w:rPr>
        <w:t>2.1</w:t>
      </w:r>
      <w:r w:rsidRPr="00F958B6">
        <w:rPr>
          <w:b/>
          <w:sz w:val="16"/>
          <w:szCs w:val="16"/>
        </w:rPr>
        <w:t xml:space="preserve">: </w:t>
      </w:r>
      <w:r>
        <w:rPr>
          <w:b/>
          <w:sz w:val="16"/>
          <w:szCs w:val="16"/>
        </w:rPr>
        <w:t>p-values obtained from applying the Augmented Dickey-Fuller and Phillips-Perron tests to a sample of states</w:t>
      </w:r>
    </w:p>
    <w:p w:rsidR="00F44E13" w:rsidRDefault="00F44E13" w:rsidP="00F44E13"/>
    <w:p w:rsidR="00F66360" w:rsidRPr="00440F34" w:rsidRDefault="00F66360" w:rsidP="00F44E13"/>
    <w:p w:rsidR="00F44E13" w:rsidRDefault="00F44E13" w:rsidP="003E0BE0">
      <w:pPr>
        <w:pStyle w:val="Heading3"/>
      </w:pPr>
      <w:commentRangeStart w:id="15"/>
      <w:r>
        <w:t>Normality Testing</w:t>
      </w:r>
      <w:commentRangeEnd w:id="15"/>
      <w:r>
        <w:rPr>
          <w:rStyle w:val="CommentReference"/>
          <w:i w:val="0"/>
          <w:iCs w:val="0"/>
        </w:rPr>
        <w:commentReference w:id="15"/>
      </w:r>
    </w:p>
    <w:p w:rsidR="003E0BE0" w:rsidRPr="003E0BE0" w:rsidRDefault="003E0BE0" w:rsidP="003E0BE0"/>
    <w:p w:rsidR="00007561" w:rsidRPr="000B25E3" w:rsidRDefault="00007561" w:rsidP="00007561">
      <w:pPr>
        <w:jc w:val="center"/>
        <w:rPr>
          <w:sz w:val="18"/>
          <w:szCs w:val="18"/>
        </w:rPr>
      </w:pPr>
      <w:r w:rsidRPr="000B25E3">
        <w:rPr>
          <w:sz w:val="18"/>
          <w:szCs w:val="18"/>
        </w:rPr>
        <w:object w:dxaOrig="5259" w:dyaOrig="4314">
          <v:shape id="_x0000_i1028" type="#_x0000_t75" style="width:263.25pt;height:215.25pt" o:ole="">
            <v:imagedata r:id="rId19" o:title=""/>
          </v:shape>
          <o:OLEObject Type="Embed" ProgID="Excel.Sheet.8" ShapeID="_x0000_i1028" DrawAspect="Content" ObjectID="_1297102965" r:id="rId20"/>
        </w:object>
      </w:r>
    </w:p>
    <w:p w:rsidR="00007561" w:rsidRDefault="00007561" w:rsidP="00007561">
      <w:pPr>
        <w:jc w:val="center"/>
        <w:rPr>
          <w:rFonts w:cs="Arial"/>
          <w:b/>
          <w:sz w:val="16"/>
          <w:szCs w:val="16"/>
        </w:rPr>
      </w:pPr>
      <w:r w:rsidRPr="00F6785B">
        <w:rPr>
          <w:rFonts w:cs="Arial"/>
          <w:b/>
          <w:sz w:val="16"/>
          <w:szCs w:val="16"/>
        </w:rPr>
        <w:t xml:space="preserve">Table </w:t>
      </w:r>
      <w:r w:rsidR="00100313">
        <w:rPr>
          <w:rFonts w:cs="Arial"/>
          <w:b/>
          <w:sz w:val="16"/>
          <w:szCs w:val="16"/>
        </w:rPr>
        <w:t>3.</w:t>
      </w:r>
      <w:r w:rsidR="00E4370E">
        <w:rPr>
          <w:rFonts w:cs="Arial"/>
          <w:b/>
          <w:sz w:val="16"/>
          <w:szCs w:val="16"/>
        </w:rPr>
        <w:t>3.1</w:t>
      </w:r>
      <w:r w:rsidRPr="00F6785B">
        <w:rPr>
          <w:rFonts w:cs="Arial"/>
          <w:b/>
          <w:sz w:val="16"/>
          <w:szCs w:val="16"/>
        </w:rPr>
        <w:t>: Normality test p-values for simulated data, 134 data points</w:t>
      </w:r>
    </w:p>
    <w:p w:rsidR="00007561" w:rsidRPr="00F6785B" w:rsidRDefault="00007561" w:rsidP="00007561">
      <w:pPr>
        <w:jc w:val="center"/>
        <w:rPr>
          <w:rFonts w:cs="Arial"/>
          <w:b/>
          <w:sz w:val="16"/>
          <w:szCs w:val="16"/>
        </w:rPr>
      </w:pPr>
    </w:p>
    <w:p w:rsidR="00007561" w:rsidRPr="000B25E3" w:rsidRDefault="00007561" w:rsidP="00007561">
      <w:pPr>
        <w:jc w:val="center"/>
        <w:rPr>
          <w:sz w:val="18"/>
          <w:szCs w:val="18"/>
        </w:rPr>
      </w:pPr>
      <w:r w:rsidRPr="000B25E3">
        <w:rPr>
          <w:sz w:val="18"/>
          <w:szCs w:val="18"/>
        </w:rPr>
        <w:object w:dxaOrig="5259" w:dyaOrig="4314">
          <v:shape id="_x0000_i1029" type="#_x0000_t75" style="width:263.25pt;height:215.25pt" o:ole="">
            <v:imagedata r:id="rId21" o:title=""/>
          </v:shape>
          <o:OLEObject Type="Embed" ProgID="Excel.Sheet.8" ShapeID="_x0000_i1029" DrawAspect="Content" ObjectID="_1297102966" r:id="rId22"/>
        </w:object>
      </w:r>
    </w:p>
    <w:p w:rsidR="00007561" w:rsidRPr="00F6785B" w:rsidRDefault="00007561" w:rsidP="00007561">
      <w:pPr>
        <w:jc w:val="center"/>
        <w:rPr>
          <w:rFonts w:cs="Arial"/>
          <w:b/>
          <w:sz w:val="16"/>
          <w:szCs w:val="16"/>
        </w:rPr>
      </w:pPr>
      <w:r w:rsidRPr="00F6785B">
        <w:rPr>
          <w:rFonts w:cs="Arial"/>
          <w:b/>
          <w:sz w:val="16"/>
          <w:szCs w:val="16"/>
        </w:rPr>
        <w:t xml:space="preserve">Table </w:t>
      </w:r>
      <w:r w:rsidR="00100313">
        <w:rPr>
          <w:rFonts w:cs="Arial"/>
          <w:b/>
          <w:sz w:val="16"/>
          <w:szCs w:val="16"/>
        </w:rPr>
        <w:t>3.</w:t>
      </w:r>
      <w:r w:rsidR="00E4370E">
        <w:rPr>
          <w:rFonts w:cs="Arial"/>
          <w:b/>
          <w:sz w:val="16"/>
          <w:szCs w:val="16"/>
        </w:rPr>
        <w:t>3.2</w:t>
      </w:r>
      <w:r w:rsidRPr="00F6785B">
        <w:rPr>
          <w:rFonts w:cs="Arial"/>
          <w:b/>
          <w:sz w:val="16"/>
          <w:szCs w:val="16"/>
        </w:rPr>
        <w:t>: Normality test p-values for simulated data, 662 data points</w:t>
      </w:r>
    </w:p>
    <w:p w:rsidR="00007561" w:rsidRDefault="00007561" w:rsidP="00007561">
      <w:pPr>
        <w:rPr>
          <w:rFonts w:cs="Arial"/>
          <w:sz w:val="18"/>
          <w:szCs w:val="18"/>
        </w:rPr>
      </w:pPr>
    </w:p>
    <w:p w:rsidR="00007561" w:rsidRPr="00775F0B" w:rsidRDefault="00007561" w:rsidP="00025ED7">
      <w:pPr>
        <w:ind w:right="260"/>
        <w:jc w:val="both"/>
        <w:rPr>
          <w:rFonts w:cs="Arial"/>
        </w:rPr>
      </w:pPr>
      <w:r w:rsidRPr="00775F0B">
        <w:rPr>
          <w:rFonts w:cs="Arial"/>
        </w:rPr>
        <w:t xml:space="preserve">Data was simulated from a normal distribution, of both samples sizes 134 and 662, in </w:t>
      </w:r>
      <w:r w:rsidRPr="00B42DDA">
        <w:rPr>
          <w:rFonts w:cs="Arial"/>
        </w:rPr>
        <w:t xml:space="preserve">Table </w:t>
      </w:r>
      <w:r w:rsidR="00B42DDA" w:rsidRPr="00B42DDA">
        <w:rPr>
          <w:rFonts w:cs="Arial"/>
        </w:rPr>
        <w:t>3.3.1</w:t>
      </w:r>
      <w:r w:rsidRPr="00B42DDA">
        <w:rPr>
          <w:rFonts w:cs="Arial"/>
        </w:rPr>
        <w:t xml:space="preserve"> and </w:t>
      </w:r>
      <w:r w:rsidR="00B42DDA" w:rsidRPr="00B42DDA">
        <w:rPr>
          <w:rFonts w:cs="Arial"/>
        </w:rPr>
        <w:t>3.3.2</w:t>
      </w:r>
      <w:r w:rsidRPr="00775F0B">
        <w:rPr>
          <w:rFonts w:cs="Arial"/>
        </w:rPr>
        <w:t>, respectively. Normality tests were applied to the simulated data and the p-values were recorded. The simulation was repeated 1,000 times and the empirical quantiles of the p-values were recorded.</w:t>
      </w:r>
    </w:p>
    <w:p w:rsidR="00007561" w:rsidRPr="00775F0B" w:rsidRDefault="00007561" w:rsidP="00025ED7">
      <w:pPr>
        <w:ind w:right="260"/>
        <w:jc w:val="both"/>
        <w:rPr>
          <w:rFonts w:cs="Arial"/>
        </w:rPr>
      </w:pPr>
    </w:p>
    <w:p w:rsidR="00007561" w:rsidRPr="00775F0B" w:rsidRDefault="00007561" w:rsidP="00025ED7">
      <w:pPr>
        <w:ind w:right="260"/>
        <w:jc w:val="both"/>
      </w:pPr>
      <w:r w:rsidRPr="00775F0B">
        <w:rPr>
          <w:rFonts w:cs="Arial"/>
        </w:rPr>
        <w:t>The purpose of this exercise is to determine the accuracy of the normality tests. The results were expected, with an approximately uniform distribution of p-values. This will be investigated further before conclusions are drawn.</w:t>
      </w:r>
    </w:p>
    <w:p w:rsidR="00007561" w:rsidRPr="000B25E3" w:rsidRDefault="00007561" w:rsidP="00007561">
      <w:pPr>
        <w:rPr>
          <w:sz w:val="18"/>
          <w:szCs w:val="18"/>
        </w:rPr>
      </w:pPr>
    </w:p>
    <w:p w:rsidR="00F44E13" w:rsidRPr="00440F34" w:rsidRDefault="00F44E13" w:rsidP="00F44E13"/>
    <w:p w:rsidR="00F44E13" w:rsidRDefault="00F44E13" w:rsidP="003E0BE0">
      <w:pPr>
        <w:pStyle w:val="Heading2"/>
        <w:ind w:left="202" w:hanging="202"/>
      </w:pPr>
      <w:commentRangeStart w:id="16"/>
      <w:r>
        <w:lastRenderedPageBreak/>
        <w:t xml:space="preserve">Parameter </w:t>
      </w:r>
      <w:commentRangeStart w:id="17"/>
      <w:r>
        <w:t>Estimation</w:t>
      </w:r>
      <w:commentRangeEnd w:id="16"/>
      <w:r>
        <w:rPr>
          <w:rStyle w:val="CommentReference"/>
          <w:i w:val="0"/>
          <w:iCs w:val="0"/>
        </w:rPr>
        <w:commentReference w:id="16"/>
      </w:r>
      <w:commentRangeEnd w:id="17"/>
      <w:r>
        <w:t xml:space="preserve"> for </w:t>
      </w:r>
      <w:smartTag w:uri="urn:schemas-microsoft-com:office:smarttags" w:element="place">
        <w:smartTag w:uri="urn:schemas-microsoft-com:office:smarttags" w:element="PlaceName">
          <w:r>
            <w:t>Model</w:t>
          </w:r>
        </w:smartTag>
        <w:r>
          <w:t xml:space="preserve"> </w:t>
        </w:r>
        <w:smartTag w:uri="urn:schemas-microsoft-com:office:smarttags" w:element="PlaceType">
          <w:r>
            <w:t>Building</w:t>
          </w:r>
        </w:smartTag>
      </w:smartTag>
      <w:r>
        <w:rPr>
          <w:rStyle w:val="CommentReference"/>
          <w:i w:val="0"/>
          <w:iCs w:val="0"/>
        </w:rPr>
        <w:commentReference w:id="17"/>
      </w:r>
    </w:p>
    <w:p w:rsidR="00F44E13" w:rsidRDefault="00F44E13" w:rsidP="003E0BE0">
      <w:pPr>
        <w:pStyle w:val="Heading3"/>
      </w:pPr>
      <w:commentRangeStart w:id="18"/>
      <w:r>
        <w:t>Fractional Differencing Parameters</w:t>
      </w:r>
      <w:commentRangeEnd w:id="18"/>
      <w:r>
        <w:rPr>
          <w:rStyle w:val="CommentReference"/>
          <w:i w:val="0"/>
          <w:iCs w:val="0"/>
        </w:rPr>
        <w:commentReference w:id="18"/>
      </w:r>
    </w:p>
    <w:p w:rsidR="003E0BE0" w:rsidRPr="003E0BE0" w:rsidRDefault="003E0BE0" w:rsidP="003E0BE0"/>
    <w:p w:rsidR="00007561" w:rsidRDefault="00007561" w:rsidP="00025ED7">
      <w:pPr>
        <w:ind w:right="260"/>
        <w:jc w:val="both"/>
        <w:rPr>
          <w:sz w:val="18"/>
          <w:szCs w:val="18"/>
        </w:rPr>
      </w:pPr>
      <w:r w:rsidRPr="00775F0B">
        <w:t>Fractionally integrated processes of sample sizes 1000 were generated using fracdiff.sim (</w:t>
      </w:r>
      <w:r w:rsidR="004630BC" w:rsidRPr="004630BC">
        <w:rPr>
          <w:b/>
          <w:sz w:val="18"/>
        </w:rPr>
        <w:t>R</w:t>
      </w:r>
      <w:r w:rsidRPr="00775F0B">
        <w:t xml:space="preserve"> package “fracdiff”) from the ARIMA(0,d,0) distribution. The 2.5%, 50%, and 97.5% quantiles for the d values are indicated in Table 2. The GPH estimator (</w:t>
      </w:r>
      <w:r w:rsidR="004630BC" w:rsidRPr="004630BC">
        <w:rPr>
          <w:b/>
          <w:sz w:val="18"/>
        </w:rPr>
        <w:t>R</w:t>
      </w:r>
      <w:r w:rsidRPr="00775F0B">
        <w:t xml:space="preserve"> package “fracdiff”) was used to estimate the fractionally integrated parameter d from the simulated data. Simulations of 1000 were used to construct the empirical quantiles, with the purpose of understanding the accuracy of the GPH estimator</w:t>
      </w:r>
      <w:r w:rsidRPr="000B25E3">
        <w:rPr>
          <w:sz w:val="18"/>
          <w:szCs w:val="18"/>
        </w:rPr>
        <w:t>.</w:t>
      </w:r>
    </w:p>
    <w:p w:rsidR="00007561" w:rsidRPr="000B25E3" w:rsidRDefault="00007561" w:rsidP="00007561">
      <w:pPr>
        <w:rPr>
          <w:sz w:val="18"/>
          <w:szCs w:val="18"/>
        </w:rPr>
      </w:pPr>
    </w:p>
    <w:p w:rsidR="00007561" w:rsidRPr="000B25E3" w:rsidRDefault="003A530D" w:rsidP="00007561">
      <w:pPr>
        <w:jc w:val="center"/>
        <w:rPr>
          <w:sz w:val="18"/>
          <w:szCs w:val="18"/>
        </w:rPr>
      </w:pPr>
      <w:r w:rsidRPr="000B25E3">
        <w:rPr>
          <w:sz w:val="18"/>
          <w:szCs w:val="18"/>
        </w:rPr>
        <w:object w:dxaOrig="3045" w:dyaOrig="3787">
          <v:shape id="_x0000_i1030" type="#_x0000_t75" style="width:152.25pt;height:189.75pt" o:ole="">
            <v:imagedata r:id="rId23" o:title=""/>
          </v:shape>
          <o:OLEObject Type="Embed" ProgID="Excel.Sheet.8" ShapeID="_x0000_i1030" DrawAspect="Content" ObjectID="_1297102967" r:id="rId24"/>
        </w:object>
      </w:r>
    </w:p>
    <w:p w:rsidR="00007561" w:rsidRPr="00DA1CD0" w:rsidRDefault="00E4370E" w:rsidP="00007561">
      <w:pPr>
        <w:jc w:val="center"/>
        <w:rPr>
          <w:rFonts w:cs="Arial"/>
          <w:b/>
          <w:bCs/>
          <w:sz w:val="16"/>
          <w:szCs w:val="16"/>
        </w:rPr>
      </w:pPr>
      <w:r>
        <w:rPr>
          <w:rFonts w:cs="Arial"/>
          <w:b/>
          <w:bCs/>
          <w:sz w:val="16"/>
          <w:szCs w:val="16"/>
        </w:rPr>
        <w:t>Table 4.1</w:t>
      </w:r>
      <w:r w:rsidR="00007561" w:rsidRPr="00DA1CD0">
        <w:rPr>
          <w:rFonts w:cs="Arial"/>
          <w:b/>
          <w:bCs/>
          <w:sz w:val="16"/>
          <w:szCs w:val="16"/>
        </w:rPr>
        <w:t xml:space="preserve">: Quantiles of d-parameter of simulated fractionally integrated processes, determined though the GPH estimator </w:t>
      </w:r>
    </w:p>
    <w:p w:rsidR="00007561" w:rsidRPr="00DA1CD0" w:rsidRDefault="00007561" w:rsidP="00007561">
      <w:pPr>
        <w:jc w:val="center"/>
        <w:rPr>
          <w:rFonts w:cs="Arial"/>
          <w:b/>
          <w:bCs/>
          <w:sz w:val="16"/>
          <w:szCs w:val="16"/>
        </w:rPr>
      </w:pPr>
      <w:r w:rsidRPr="00DA1CD0">
        <w:rPr>
          <w:rFonts w:cs="Arial"/>
          <w:b/>
          <w:bCs/>
          <w:sz w:val="16"/>
          <w:szCs w:val="16"/>
        </w:rPr>
        <w:t>(n=1,000; Burn-In = 1,000; Simulations = 1,000; ARIMA(0,d,0))</w:t>
      </w:r>
    </w:p>
    <w:p w:rsidR="00007561" w:rsidRDefault="00007561" w:rsidP="00007561">
      <w:pPr>
        <w:rPr>
          <w:sz w:val="18"/>
          <w:szCs w:val="18"/>
        </w:rPr>
      </w:pPr>
    </w:p>
    <w:p w:rsidR="00007561" w:rsidRPr="00DA1CD0" w:rsidRDefault="00007561" w:rsidP="00007561">
      <w:pPr>
        <w:rPr>
          <w:b/>
          <w:i/>
          <w:sz w:val="18"/>
          <w:szCs w:val="18"/>
        </w:rPr>
      </w:pPr>
      <w:r w:rsidRPr="00DA1CD0">
        <w:rPr>
          <w:b/>
          <w:i/>
          <w:sz w:val="18"/>
          <w:szCs w:val="18"/>
        </w:rPr>
        <w:t>Selected Density Plots:</w:t>
      </w:r>
    </w:p>
    <w:p w:rsidR="00007561" w:rsidRPr="000B25E3" w:rsidRDefault="00152AFF" w:rsidP="00007561">
      <w:pPr>
        <w:jc w:val="center"/>
        <w:rPr>
          <w:sz w:val="18"/>
          <w:szCs w:val="18"/>
        </w:rPr>
      </w:pPr>
      <w:r>
        <w:rPr>
          <w:noProof/>
          <w:sz w:val="18"/>
          <w:szCs w:val="18"/>
        </w:rPr>
        <w:drawing>
          <wp:inline distT="0" distB="0" distL="0" distR="0">
            <wp:extent cx="2628900" cy="2543175"/>
            <wp:effectExtent l="19050" t="0" r="0" b="0"/>
            <wp:docPr id="1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srcRect/>
                    <a:stretch>
                      <a:fillRect/>
                    </a:stretch>
                  </pic:blipFill>
                  <pic:spPr bwMode="auto">
                    <a:xfrm>
                      <a:off x="0" y="0"/>
                      <a:ext cx="2628900" cy="2543175"/>
                    </a:xfrm>
                    <a:prstGeom prst="rect">
                      <a:avLst/>
                    </a:prstGeom>
                    <a:noFill/>
                    <a:ln w="9525">
                      <a:noFill/>
                      <a:miter lim="800000"/>
                      <a:headEnd/>
                      <a:tailEnd/>
                    </a:ln>
                  </pic:spPr>
                </pic:pic>
              </a:graphicData>
            </a:graphic>
          </wp:inline>
        </w:drawing>
      </w:r>
    </w:p>
    <w:p w:rsidR="003E0BE0" w:rsidRDefault="00E4370E" w:rsidP="00007561">
      <w:pPr>
        <w:jc w:val="center"/>
        <w:rPr>
          <w:b/>
          <w:sz w:val="16"/>
          <w:szCs w:val="16"/>
        </w:rPr>
      </w:pPr>
      <w:bookmarkStart w:id="19" w:name="OLE_LINK1"/>
      <w:bookmarkStart w:id="20" w:name="OLE_LINK2"/>
      <w:r>
        <w:rPr>
          <w:b/>
          <w:sz w:val="16"/>
          <w:szCs w:val="16"/>
        </w:rPr>
        <w:t xml:space="preserve">Figure </w:t>
      </w:r>
      <w:r w:rsidR="00100313">
        <w:rPr>
          <w:b/>
          <w:sz w:val="16"/>
          <w:szCs w:val="16"/>
        </w:rPr>
        <w:t>3.</w:t>
      </w:r>
      <w:r>
        <w:rPr>
          <w:b/>
          <w:sz w:val="16"/>
          <w:szCs w:val="16"/>
        </w:rPr>
        <w:t>4.2</w:t>
      </w:r>
      <w:r w:rsidR="00007561" w:rsidRPr="009D2328">
        <w:rPr>
          <w:b/>
          <w:sz w:val="16"/>
          <w:szCs w:val="16"/>
        </w:rPr>
        <w:t xml:space="preserve">: Density of GPH estimates of d Parameter, </w:t>
      </w:r>
    </w:p>
    <w:p w:rsidR="00007561" w:rsidRPr="009D2328" w:rsidRDefault="00007561" w:rsidP="00007561">
      <w:pPr>
        <w:jc w:val="center"/>
        <w:rPr>
          <w:b/>
          <w:sz w:val="16"/>
          <w:szCs w:val="16"/>
        </w:rPr>
      </w:pPr>
      <w:r w:rsidRPr="009D2328">
        <w:rPr>
          <w:b/>
          <w:sz w:val="16"/>
          <w:szCs w:val="16"/>
        </w:rPr>
        <w:t>Simulated data has d=0.1</w:t>
      </w:r>
    </w:p>
    <w:bookmarkEnd w:id="19"/>
    <w:bookmarkEnd w:id="20"/>
    <w:p w:rsidR="00007561" w:rsidRDefault="00007561" w:rsidP="00007561">
      <w:pPr>
        <w:rPr>
          <w:sz w:val="18"/>
          <w:szCs w:val="18"/>
        </w:rPr>
      </w:pPr>
    </w:p>
    <w:p w:rsidR="00007561" w:rsidRPr="000B25E3" w:rsidRDefault="00152AFF" w:rsidP="00007561">
      <w:pPr>
        <w:jc w:val="center"/>
        <w:rPr>
          <w:sz w:val="18"/>
          <w:szCs w:val="18"/>
        </w:rPr>
      </w:pPr>
      <w:r>
        <w:rPr>
          <w:noProof/>
          <w:sz w:val="18"/>
          <w:szCs w:val="18"/>
        </w:rPr>
        <w:lastRenderedPageBreak/>
        <w:drawing>
          <wp:inline distT="0" distB="0" distL="0" distR="0">
            <wp:extent cx="2600325" cy="2514600"/>
            <wp:effectExtent l="19050" t="0" r="9525" b="0"/>
            <wp:docPr id="1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2600325" cy="2514600"/>
                    </a:xfrm>
                    <a:prstGeom prst="rect">
                      <a:avLst/>
                    </a:prstGeom>
                    <a:noFill/>
                    <a:ln w="9525">
                      <a:noFill/>
                      <a:miter lim="800000"/>
                      <a:headEnd/>
                      <a:tailEnd/>
                    </a:ln>
                  </pic:spPr>
                </pic:pic>
              </a:graphicData>
            </a:graphic>
          </wp:inline>
        </w:drawing>
      </w:r>
    </w:p>
    <w:p w:rsidR="00007561" w:rsidRDefault="00007561" w:rsidP="003E0BE0">
      <w:pPr>
        <w:ind w:left="540" w:right="620"/>
        <w:jc w:val="center"/>
        <w:rPr>
          <w:sz w:val="18"/>
          <w:szCs w:val="18"/>
        </w:rPr>
      </w:pPr>
      <w:r w:rsidRPr="009D2328">
        <w:rPr>
          <w:b/>
          <w:sz w:val="16"/>
          <w:szCs w:val="16"/>
        </w:rPr>
        <w:t xml:space="preserve">Figure </w:t>
      </w:r>
      <w:r w:rsidR="00100313">
        <w:rPr>
          <w:b/>
          <w:sz w:val="16"/>
          <w:szCs w:val="16"/>
        </w:rPr>
        <w:t>3.</w:t>
      </w:r>
      <w:r w:rsidR="00E4370E">
        <w:rPr>
          <w:b/>
          <w:sz w:val="16"/>
          <w:szCs w:val="16"/>
        </w:rPr>
        <w:t>4.3</w:t>
      </w:r>
      <w:r w:rsidRPr="009D2328">
        <w:rPr>
          <w:b/>
          <w:sz w:val="16"/>
          <w:szCs w:val="16"/>
        </w:rPr>
        <w:t>: Density of GPH estimates of d Parameter, Simulated data has d=0.</w:t>
      </w:r>
      <w:r>
        <w:rPr>
          <w:b/>
          <w:sz w:val="16"/>
          <w:szCs w:val="16"/>
        </w:rPr>
        <w:t>3</w:t>
      </w:r>
    </w:p>
    <w:p w:rsidR="00007561" w:rsidRPr="00775F0B" w:rsidRDefault="00007561" w:rsidP="00007561"/>
    <w:p w:rsidR="00007561" w:rsidRPr="00775F0B" w:rsidRDefault="00007561" w:rsidP="00025ED7">
      <w:pPr>
        <w:ind w:right="260"/>
        <w:jc w:val="both"/>
      </w:pPr>
      <w:r w:rsidRPr="00775F0B">
        <w:t xml:space="preserve">The density plot indicates that the GPH estimator appears to be a reasonable estimate of the fractionally integrated parameter. This is verified by the relatively </w:t>
      </w:r>
      <w:r w:rsidR="00005457">
        <w:t>small variance</w:t>
      </w:r>
      <w:r w:rsidRPr="00775F0B">
        <w:t xml:space="preserve"> of the </w:t>
      </w:r>
      <w:r w:rsidR="00005457">
        <w:t xml:space="preserve">density </w:t>
      </w:r>
      <w:r w:rsidRPr="00775F0B">
        <w:t>plots. The accuracy of the GPH estimator will be investigated further by comparing fractionally integrated parameter estimates to the results from other estimators.</w:t>
      </w:r>
    </w:p>
    <w:p w:rsidR="00007561" w:rsidRPr="00775F0B" w:rsidRDefault="00007561" w:rsidP="00E32B69">
      <w:pPr>
        <w:ind w:right="260"/>
      </w:pPr>
    </w:p>
    <w:p w:rsidR="00007561" w:rsidRPr="00775F0B" w:rsidRDefault="00007561" w:rsidP="00E32B69">
      <w:pPr>
        <w:ind w:right="260"/>
        <w:jc w:val="center"/>
        <w:rPr>
          <w:b/>
          <w:i/>
        </w:rPr>
      </w:pPr>
      <w:r w:rsidRPr="00775F0B">
        <w:rPr>
          <w:b/>
          <w:i/>
        </w:rPr>
        <w:object w:dxaOrig="3075" w:dyaOrig="1052">
          <v:shape id="_x0000_i1031" type="#_x0000_t75" style="width:153.75pt;height:52.5pt" o:ole="">
            <v:imagedata r:id="rId27" o:title=""/>
          </v:shape>
          <o:OLEObject Type="Embed" ProgID="Excel.Sheet.8" ShapeID="_x0000_i1031" DrawAspect="Content" ObjectID="_1297102968" r:id="rId28"/>
        </w:object>
      </w:r>
    </w:p>
    <w:p w:rsidR="003E0BE0" w:rsidRDefault="00E4370E" w:rsidP="00E32B69">
      <w:pPr>
        <w:ind w:right="260"/>
        <w:jc w:val="center"/>
        <w:rPr>
          <w:b/>
          <w:sz w:val="16"/>
          <w:szCs w:val="16"/>
        </w:rPr>
      </w:pPr>
      <w:r w:rsidRPr="00E4370E">
        <w:rPr>
          <w:b/>
          <w:sz w:val="16"/>
          <w:szCs w:val="16"/>
        </w:rPr>
        <w:t xml:space="preserve">Table </w:t>
      </w:r>
      <w:r w:rsidR="00100313">
        <w:rPr>
          <w:b/>
          <w:sz w:val="16"/>
          <w:szCs w:val="16"/>
        </w:rPr>
        <w:t>3.</w:t>
      </w:r>
      <w:r w:rsidRPr="00E4370E">
        <w:rPr>
          <w:b/>
          <w:sz w:val="16"/>
          <w:szCs w:val="16"/>
        </w:rPr>
        <w:t>4.4</w:t>
      </w:r>
      <w:r w:rsidR="00007561" w:rsidRPr="00E4370E">
        <w:rPr>
          <w:b/>
          <w:sz w:val="16"/>
          <w:szCs w:val="16"/>
        </w:rPr>
        <w:t xml:space="preserve">: d-parameter estimates using the GPH and Sperio </w:t>
      </w:r>
    </w:p>
    <w:p w:rsidR="00007561" w:rsidRPr="00E4370E" w:rsidRDefault="003E0BE0" w:rsidP="00E32B69">
      <w:pPr>
        <w:ind w:right="260"/>
        <w:jc w:val="center"/>
        <w:rPr>
          <w:b/>
          <w:sz w:val="16"/>
          <w:szCs w:val="16"/>
        </w:rPr>
      </w:pPr>
      <w:r w:rsidRPr="00E4370E">
        <w:rPr>
          <w:b/>
          <w:sz w:val="16"/>
          <w:szCs w:val="16"/>
        </w:rPr>
        <w:t>E</w:t>
      </w:r>
      <w:r w:rsidR="00007561" w:rsidRPr="00E4370E">
        <w:rPr>
          <w:b/>
          <w:sz w:val="16"/>
          <w:szCs w:val="16"/>
        </w:rPr>
        <w:t>stimates</w:t>
      </w:r>
      <w:r>
        <w:rPr>
          <w:b/>
          <w:sz w:val="16"/>
          <w:szCs w:val="16"/>
        </w:rPr>
        <w:t xml:space="preserve"> </w:t>
      </w:r>
      <w:r w:rsidR="00007561" w:rsidRPr="00E4370E">
        <w:rPr>
          <w:b/>
          <w:sz w:val="16"/>
          <w:szCs w:val="16"/>
        </w:rPr>
        <w:t>for a select sample of states</w:t>
      </w:r>
    </w:p>
    <w:p w:rsidR="00007561" w:rsidRPr="00775F0B" w:rsidRDefault="00007561" w:rsidP="00007561"/>
    <w:p w:rsidR="00007561" w:rsidRPr="00775F0B" w:rsidRDefault="00007561" w:rsidP="00025ED7">
      <w:pPr>
        <w:ind w:right="260"/>
        <w:jc w:val="both"/>
      </w:pPr>
      <w:r w:rsidRPr="00775F0B">
        <w:t xml:space="preserve">Using the GPH estimator as described above, d-parameters were estimated for the selected states. The results are shown above in Table 3. Additionally, d-parameters were estimated using the Sperio estimator, to gauge the accuracy of GPH. Results using the Sperio estimator confirmed the d estimates for </w:t>
      </w:r>
      <w:smartTag w:uri="urn:schemas-microsoft-com:office:smarttags" w:element="State">
        <w:r w:rsidRPr="00775F0B">
          <w:t>Alabama</w:t>
        </w:r>
      </w:smartTag>
      <w:r w:rsidRPr="00775F0B">
        <w:t xml:space="preserve"> and </w:t>
      </w:r>
      <w:smartTag w:uri="urn:schemas-microsoft-com:office:smarttags" w:element="place">
        <w:smartTag w:uri="urn:schemas-microsoft-com:office:smarttags" w:element="State">
          <w:r w:rsidRPr="00775F0B">
            <w:t>Arkansas</w:t>
          </w:r>
        </w:smartTag>
      </w:smartTag>
      <w:r w:rsidRPr="00775F0B">
        <w:t xml:space="preserve">. However, the results for </w:t>
      </w:r>
      <w:smartTag w:uri="urn:schemas-microsoft-com:office:smarttags" w:element="place">
        <w:smartTag w:uri="urn:schemas-microsoft-com:office:smarttags" w:element="State">
          <w:r w:rsidRPr="00775F0B">
            <w:t>Alaska</w:t>
          </w:r>
        </w:smartTag>
      </w:smartTag>
      <w:r w:rsidRPr="00775F0B">
        <w:t xml:space="preserve"> verified the need for further investigation.</w:t>
      </w:r>
    </w:p>
    <w:p w:rsidR="00007561" w:rsidRPr="00775F0B" w:rsidRDefault="00007561" w:rsidP="00025ED7">
      <w:pPr>
        <w:ind w:right="260" w:firstLine="720"/>
        <w:jc w:val="both"/>
      </w:pPr>
    </w:p>
    <w:p w:rsidR="001A28C8" w:rsidRPr="00775F0B" w:rsidRDefault="001A28C8" w:rsidP="00025ED7">
      <w:pPr>
        <w:ind w:right="260" w:firstLine="720"/>
        <w:jc w:val="both"/>
      </w:pPr>
    </w:p>
    <w:p w:rsidR="001A28C8" w:rsidRPr="00775F0B" w:rsidRDefault="001A28C8" w:rsidP="00025ED7">
      <w:pPr>
        <w:ind w:right="260"/>
        <w:jc w:val="both"/>
      </w:pPr>
      <w:r w:rsidRPr="00775F0B">
        <w:t xml:space="preserve">To supplement these findings, a </w:t>
      </w:r>
      <w:smartTag w:uri="urn:schemas-microsoft-com:office:smarttags" w:element="place">
        <w:r w:rsidRPr="00775F0B">
          <w:t>Monte Carlo</w:t>
        </w:r>
      </w:smartTag>
      <w:r w:rsidRPr="00775F0B">
        <w:t xml:space="preserve"> simulation</w:t>
      </w:r>
      <w:r w:rsidR="00B56538">
        <w:t xml:space="preserve"> has been included</w:t>
      </w:r>
      <w:r w:rsidR="006C5DEF" w:rsidRPr="00775F0B">
        <w:t>,</w:t>
      </w:r>
      <w:r w:rsidRPr="00775F0B">
        <w:t xml:space="preserve"> where a random</w:t>
      </w:r>
      <w:r w:rsidR="006C5DEF" w:rsidRPr="00775F0B">
        <w:t xml:space="preserve"> ARFIMA (0,d,0) process is simulated 1000 tines, for a series length of 134, where d is the point estimate derived from the corresponding estimation method. </w:t>
      </w:r>
      <w:r w:rsidR="00353DA2" w:rsidRPr="00775F0B">
        <w:t xml:space="preserve">The following plot includes point estimates, in </w:t>
      </w:r>
      <w:r w:rsidR="00353DA2" w:rsidRPr="00775F0B">
        <w:rPr>
          <w:b/>
        </w:rPr>
        <w:t>black</w:t>
      </w:r>
      <w:r w:rsidR="00353DA2" w:rsidRPr="00775F0B">
        <w:t>, for the parameter itself, as well as standard errors derived from the asymptotic distributional assumptions of the estimation method.</w:t>
      </w:r>
      <w:r w:rsidR="00353DA2">
        <w:t xml:space="preserve"> </w:t>
      </w:r>
      <w:r w:rsidR="006C5DEF" w:rsidRPr="00775F0B">
        <w:t xml:space="preserve">The results of the simulation study are superimposed and shown in </w:t>
      </w:r>
      <w:r w:rsidR="006C5DEF" w:rsidRPr="00775F0B">
        <w:rPr>
          <w:b/>
          <w:color w:val="0000FF"/>
        </w:rPr>
        <w:t>blue</w:t>
      </w:r>
      <w:r w:rsidR="006C5DEF" w:rsidRPr="00775F0B">
        <w:rPr>
          <w:color w:val="0000FF"/>
        </w:rPr>
        <w:t>.</w:t>
      </w:r>
    </w:p>
    <w:p w:rsidR="00F44E13" w:rsidRPr="00775F0B" w:rsidRDefault="00152AFF" w:rsidP="00A13689">
      <w:pPr>
        <w:pStyle w:val="Heading3"/>
        <w:numPr>
          <w:ilvl w:val="0"/>
          <w:numId w:val="0"/>
        </w:numPr>
        <w:ind w:right="260"/>
        <w:jc w:val="center"/>
        <w:rPr>
          <w:i w:val="0"/>
          <w:iCs w:val="0"/>
        </w:rPr>
      </w:pPr>
      <w:r>
        <w:rPr>
          <w:i w:val="0"/>
          <w:noProof/>
        </w:rPr>
        <w:lastRenderedPageBreak/>
        <w:drawing>
          <wp:inline distT="0" distB="0" distL="0" distR="0">
            <wp:extent cx="3228975" cy="3228975"/>
            <wp:effectExtent l="19050" t="0" r="9525" b="0"/>
            <wp:docPr id="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srcRect/>
                    <a:stretch>
                      <a:fillRect/>
                    </a:stretch>
                  </pic:blipFill>
                  <pic:spPr bwMode="auto">
                    <a:xfrm>
                      <a:off x="0" y="0"/>
                      <a:ext cx="3228975" cy="3228975"/>
                    </a:xfrm>
                    <a:prstGeom prst="rect">
                      <a:avLst/>
                    </a:prstGeom>
                    <a:noFill/>
                    <a:ln w="9525">
                      <a:noFill/>
                      <a:miter lim="800000"/>
                      <a:headEnd/>
                      <a:tailEnd/>
                    </a:ln>
                  </pic:spPr>
                </pic:pic>
              </a:graphicData>
            </a:graphic>
          </wp:inline>
        </w:drawing>
      </w:r>
    </w:p>
    <w:p w:rsidR="002053B3" w:rsidRPr="00E4370E" w:rsidRDefault="002053B3" w:rsidP="00A13689">
      <w:pPr>
        <w:ind w:right="260"/>
        <w:jc w:val="center"/>
        <w:rPr>
          <w:b/>
          <w:sz w:val="16"/>
          <w:szCs w:val="16"/>
        </w:rPr>
      </w:pPr>
      <w:r w:rsidRPr="00E4370E">
        <w:rPr>
          <w:b/>
          <w:sz w:val="16"/>
          <w:szCs w:val="16"/>
        </w:rPr>
        <w:t>Figure</w:t>
      </w:r>
      <w:r w:rsidR="00E4370E" w:rsidRPr="00E4370E">
        <w:rPr>
          <w:b/>
          <w:sz w:val="16"/>
          <w:szCs w:val="16"/>
        </w:rPr>
        <w:t xml:space="preserve"> </w:t>
      </w:r>
      <w:r w:rsidR="00100313">
        <w:rPr>
          <w:b/>
          <w:sz w:val="16"/>
          <w:szCs w:val="16"/>
        </w:rPr>
        <w:t>3.</w:t>
      </w:r>
      <w:r w:rsidR="00E4370E" w:rsidRPr="00E4370E">
        <w:rPr>
          <w:b/>
          <w:sz w:val="16"/>
          <w:szCs w:val="16"/>
        </w:rPr>
        <w:t>4.5</w:t>
      </w:r>
      <w:r w:rsidRPr="00E4370E">
        <w:rPr>
          <w:b/>
          <w:sz w:val="16"/>
          <w:szCs w:val="16"/>
        </w:rPr>
        <w:t>. d-parameter estimates for AK, AL, AR.</w:t>
      </w:r>
    </w:p>
    <w:p w:rsidR="00353DA2" w:rsidRPr="00775F0B" w:rsidRDefault="00353DA2" w:rsidP="002053B3"/>
    <w:p w:rsidR="002053B3" w:rsidRPr="00775F0B" w:rsidRDefault="002053B3" w:rsidP="00025ED7">
      <w:pPr>
        <w:ind w:right="260"/>
        <w:jc w:val="both"/>
      </w:pPr>
      <w:r w:rsidRPr="00775F0B">
        <w:t>Additionally, included point estimates</w:t>
      </w:r>
      <w:r w:rsidR="00B56538">
        <w:t xml:space="preserve"> were included</w:t>
      </w:r>
      <w:r w:rsidRPr="00775F0B">
        <w:t xml:space="preserve"> for the fractionally differenced series, anticipating that any degree of fractional integration should be “filtered-out” by taking a fractional difference, using the previous d parameter estimates.</w:t>
      </w:r>
    </w:p>
    <w:p w:rsidR="002053B3" w:rsidRDefault="00152AFF" w:rsidP="00E32B69">
      <w:pPr>
        <w:ind w:right="260"/>
      </w:pPr>
      <w:r>
        <w:rPr>
          <w:noProof/>
        </w:rPr>
        <w:drawing>
          <wp:inline distT="0" distB="0" distL="0" distR="0">
            <wp:extent cx="3238500" cy="3228975"/>
            <wp:effectExtent l="19050" t="0" r="0" b="0"/>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3238500" cy="3228975"/>
                    </a:xfrm>
                    <a:prstGeom prst="rect">
                      <a:avLst/>
                    </a:prstGeom>
                    <a:noFill/>
                    <a:ln w="9525">
                      <a:noFill/>
                      <a:miter lim="800000"/>
                      <a:headEnd/>
                      <a:tailEnd/>
                    </a:ln>
                  </pic:spPr>
                </pic:pic>
              </a:graphicData>
            </a:graphic>
          </wp:inline>
        </w:drawing>
      </w:r>
    </w:p>
    <w:p w:rsidR="002053B3" w:rsidRPr="00E4370E" w:rsidRDefault="002053B3" w:rsidP="00E32B69">
      <w:pPr>
        <w:ind w:right="260"/>
        <w:jc w:val="center"/>
        <w:rPr>
          <w:b/>
          <w:sz w:val="16"/>
          <w:szCs w:val="16"/>
        </w:rPr>
      </w:pPr>
      <w:r w:rsidRPr="00E4370E">
        <w:rPr>
          <w:b/>
          <w:sz w:val="16"/>
          <w:szCs w:val="16"/>
        </w:rPr>
        <w:t>Figure</w:t>
      </w:r>
      <w:r w:rsidR="00E4370E" w:rsidRPr="00E4370E">
        <w:rPr>
          <w:b/>
          <w:sz w:val="16"/>
          <w:szCs w:val="16"/>
        </w:rPr>
        <w:t xml:space="preserve"> </w:t>
      </w:r>
      <w:r w:rsidR="00100313">
        <w:rPr>
          <w:b/>
          <w:sz w:val="16"/>
          <w:szCs w:val="16"/>
        </w:rPr>
        <w:t>3.</w:t>
      </w:r>
      <w:r w:rsidR="00E4370E" w:rsidRPr="00E4370E">
        <w:rPr>
          <w:b/>
          <w:sz w:val="16"/>
          <w:szCs w:val="16"/>
        </w:rPr>
        <w:t>4.6</w:t>
      </w:r>
      <w:r w:rsidRPr="00E4370E">
        <w:rPr>
          <w:b/>
          <w:sz w:val="16"/>
          <w:szCs w:val="16"/>
        </w:rPr>
        <w:t>. D-parameter estimate for fractionally differenced series.</w:t>
      </w:r>
    </w:p>
    <w:p w:rsidR="002053B3" w:rsidRDefault="002053B3" w:rsidP="002053B3"/>
    <w:p w:rsidR="002053B3" w:rsidRDefault="00B56538" w:rsidP="00025ED7">
      <w:pPr>
        <w:ind w:right="260"/>
        <w:jc w:val="both"/>
      </w:pPr>
      <w:r>
        <w:t>Here,</w:t>
      </w:r>
      <w:r w:rsidR="002053B3">
        <w:t xml:space="preserve"> “D” </w:t>
      </w:r>
      <w:r>
        <w:t>denotes</w:t>
      </w:r>
      <w:r w:rsidR="002053B3">
        <w:t xml:space="preserve"> the fractional difference parameter after fractionally differencing each univariate series with the corresponding estimate of d. As </w:t>
      </w:r>
      <w:r>
        <w:t>expected</w:t>
      </w:r>
      <w:r w:rsidR="002053B3">
        <w:t xml:space="preserve">, all D’s are close to zero. </w:t>
      </w:r>
    </w:p>
    <w:p w:rsidR="002053B3" w:rsidRDefault="002053B3" w:rsidP="00025ED7">
      <w:pPr>
        <w:ind w:right="260"/>
        <w:jc w:val="both"/>
      </w:pPr>
    </w:p>
    <w:p w:rsidR="002053B3" w:rsidRDefault="00B56538" w:rsidP="00025ED7">
      <w:pPr>
        <w:ind w:right="260"/>
        <w:jc w:val="both"/>
      </w:pPr>
      <w:r>
        <w:t>It is noteworthy</w:t>
      </w:r>
      <w:r w:rsidR="002053B3">
        <w:t xml:space="preserve">, however, that in the case of the most stationary estimate, the Whittle estimate of AK, taking a fractional difference also produces a D=0. Thus, this method </w:t>
      </w:r>
      <w:r w:rsidR="002053B3">
        <w:lastRenderedPageBreak/>
        <w:t xml:space="preserve">of inferring fractional integration vs. unit root or some other type of integration, and may not be sufficient to estimate a suitable estimate for d as well. </w:t>
      </w:r>
    </w:p>
    <w:p w:rsidR="00025ED7" w:rsidRDefault="00025ED7" w:rsidP="00025ED7"/>
    <w:p w:rsidR="00025ED7" w:rsidRDefault="00025ED7" w:rsidP="00E32B69">
      <w:pPr>
        <w:pStyle w:val="Heading1"/>
        <w:ind w:right="260"/>
      </w:pPr>
      <w:r>
        <w:t>Conclusion</w:t>
      </w:r>
    </w:p>
    <w:p w:rsidR="00025ED7" w:rsidRPr="00025ED7" w:rsidRDefault="00025ED7" w:rsidP="00025ED7"/>
    <w:p w:rsidR="00025ED7" w:rsidRDefault="00025ED7" w:rsidP="00025ED7">
      <w:pPr>
        <w:ind w:right="260"/>
        <w:jc w:val="both"/>
      </w:pPr>
      <w:r>
        <w:t xml:space="preserve">The majority of the states’ simple return series were determined to be stationary based on Augmented Dickey-Fuller and Phillips-Perron test results.  Furthermore, the simple returns do not follow a Gaussian distribution and a Box Cox transformation is ineffective in making the return series normal.  Some of the exhibited non-normality may be a result of ARCH effects; however, this may be remedied by GARCH modeling, which will be further investigated.  Simulation shows that the density of the GPH-estimated fractional differencing parameter d appears to be </w:t>
      </w:r>
      <w:r w:rsidRPr="00F66360">
        <w:t>light-tailed and symmetric about its true value.  Future work will include</w:t>
      </w:r>
      <w:r>
        <w:t xml:space="preserve"> analysis into the method of inferring this fractional differencing parameter.</w:t>
      </w:r>
    </w:p>
    <w:p w:rsidR="00025ED7" w:rsidRPr="00025ED7" w:rsidRDefault="00025ED7" w:rsidP="00025ED7"/>
    <w:p w:rsidR="00025ED7" w:rsidRDefault="00025ED7" w:rsidP="00025ED7"/>
    <w:p w:rsidR="002053B3" w:rsidRDefault="002053B3" w:rsidP="002053B3">
      <w:pPr>
        <w:ind w:firstLine="360"/>
      </w:pPr>
    </w:p>
    <w:p w:rsidR="00025ED7" w:rsidRDefault="00025ED7" w:rsidP="002053B3">
      <w:pPr>
        <w:ind w:firstLine="360"/>
      </w:pPr>
    </w:p>
    <w:p w:rsidR="00025ED7" w:rsidRDefault="00025ED7" w:rsidP="002053B3">
      <w:pPr>
        <w:ind w:firstLine="360"/>
      </w:pPr>
    </w:p>
    <w:p w:rsidR="00025ED7" w:rsidRDefault="00025ED7" w:rsidP="002053B3">
      <w:pPr>
        <w:ind w:firstLine="360"/>
      </w:pPr>
    </w:p>
    <w:p w:rsidR="00487E19" w:rsidRDefault="00487E19">
      <w:pPr>
        <w:pStyle w:val="ReferenceHead"/>
      </w:pPr>
      <w:r>
        <w:t>References</w:t>
      </w:r>
    </w:p>
    <w:sectPr w:rsidR="00487E19" w:rsidSect="006B757D">
      <w:headerReference w:type="default" r:id="rId31"/>
      <w:endnotePr>
        <w:numFmt w:val="decimal"/>
      </w:endnotePr>
      <w:pgSz w:w="12240" w:h="15840" w:code="1"/>
      <w:pgMar w:top="1008" w:right="720" w:bottom="1008" w:left="720" w:header="432" w:footer="432" w:gutter="0"/>
      <w:cols w:num="2" w:space="20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tim" w:date="2009-02-11T17:09:00Z" w:initials="t">
    <w:p w:rsidR="00D03399" w:rsidRDefault="00D03399">
      <w:pPr>
        <w:pStyle w:val="CommentText"/>
      </w:pPr>
      <w:r>
        <w:rPr>
          <w:rStyle w:val="CommentReference"/>
        </w:rPr>
        <w:annotationRef/>
      </w:r>
      <w:r>
        <w:t xml:space="preserve">Everyone, </w:t>
      </w:r>
    </w:p>
    <w:p w:rsidR="00D03399" w:rsidRDefault="00D03399">
      <w:pPr>
        <w:pStyle w:val="CommentText"/>
      </w:pPr>
      <w:r>
        <w:t>This will follow, more or less, our general analysis outline, so it gives a snapshot view of our exact procedure</w:t>
      </w:r>
    </w:p>
  </w:comment>
  <w:comment w:id="2" w:author="Vikas Garg" w:date="2009-02-13T12:28:00Z" w:initials="VG">
    <w:p w:rsidR="00D03399" w:rsidRDefault="00D03399" w:rsidP="00DF0C0D">
      <w:pPr>
        <w:pStyle w:val="CommentText"/>
      </w:pPr>
      <w:r>
        <w:rPr>
          <w:rStyle w:val="CommentReference"/>
        </w:rPr>
        <w:annotationRef/>
      </w:r>
      <w:r>
        <w:t>Vikas added</w:t>
      </w:r>
    </w:p>
  </w:comment>
  <w:comment w:id="3" w:author="tim" w:date="2009-02-11T17:10:00Z" w:initials="t">
    <w:p w:rsidR="00D03399" w:rsidRDefault="00D03399">
      <w:pPr>
        <w:pStyle w:val="CommentText"/>
      </w:pPr>
      <w:r>
        <w:rPr>
          <w:rStyle w:val="CommentReference"/>
        </w:rPr>
        <w:annotationRef/>
      </w:r>
      <w:r>
        <w:t>Shirley</w:t>
      </w:r>
    </w:p>
  </w:comment>
  <w:comment w:id="4" w:author="tim" w:date="2009-02-11T17:11:00Z" w:initials="t">
    <w:p w:rsidR="00D03399" w:rsidRDefault="00D03399">
      <w:pPr>
        <w:pStyle w:val="CommentText"/>
      </w:pPr>
      <w:r>
        <w:rPr>
          <w:rStyle w:val="CommentReference"/>
        </w:rPr>
        <w:annotationRef/>
      </w:r>
      <w:r>
        <w:t>WES</w:t>
      </w:r>
    </w:p>
  </w:comment>
  <w:comment w:id="5" w:author="tim" w:date="2009-02-11T17:11:00Z" w:initials="t">
    <w:p w:rsidR="00D03399" w:rsidRDefault="00D03399">
      <w:pPr>
        <w:pStyle w:val="CommentText"/>
      </w:pPr>
      <w:r>
        <w:rPr>
          <w:rStyle w:val="CommentReference"/>
        </w:rPr>
        <w:annotationRef/>
      </w:r>
      <w:r>
        <w:t>YASIN</w:t>
      </w:r>
    </w:p>
  </w:comment>
  <w:comment w:id="6" w:author="tim" w:date="2009-02-13T12:29:00Z" w:initials="t">
    <w:p w:rsidR="00D03399" w:rsidRDefault="00D03399" w:rsidP="00DF0C0D">
      <w:pPr>
        <w:pStyle w:val="CommentText"/>
      </w:pPr>
      <w:r>
        <w:rPr>
          <w:rStyle w:val="CommentReference"/>
        </w:rPr>
        <w:annotationRef/>
      </w:r>
      <w:r>
        <w:t>VIKAS</w:t>
      </w:r>
    </w:p>
  </w:comment>
  <w:comment w:id="7" w:author="Vikas Garg" w:date="2009-02-13T12:29:00Z" w:initials="VG">
    <w:p w:rsidR="00D03399" w:rsidRDefault="00D03399" w:rsidP="00DF0C0D">
      <w:pPr>
        <w:pStyle w:val="CommentText"/>
      </w:pPr>
      <w:r>
        <w:rPr>
          <w:rStyle w:val="CommentReference"/>
        </w:rPr>
        <w:annotationRef/>
      </w:r>
      <w:r>
        <w:t>Vikas added</w:t>
      </w:r>
    </w:p>
  </w:comment>
  <w:comment w:id="8" w:author="tim" w:date="2009-02-13T12:29:00Z" w:initials="t">
    <w:p w:rsidR="00D03399" w:rsidRDefault="00D03399" w:rsidP="00DF0C0D">
      <w:pPr>
        <w:pStyle w:val="CommentText"/>
      </w:pPr>
      <w:r>
        <w:rPr>
          <w:rStyle w:val="CommentReference"/>
        </w:rPr>
        <w:annotationRef/>
      </w:r>
      <w:r>
        <w:t>Estimation, as in, what estimation method is used, tradeoffs, and MODEL ASSUMPTIONS</w:t>
      </w:r>
    </w:p>
  </w:comment>
  <w:comment w:id="9" w:author="tim" w:date="2009-02-11T17:12:00Z" w:initials="t">
    <w:p w:rsidR="00D03399" w:rsidRDefault="00D03399" w:rsidP="00440F34">
      <w:pPr>
        <w:pStyle w:val="CommentText"/>
      </w:pPr>
      <w:r>
        <w:rPr>
          <w:rStyle w:val="CommentReference"/>
        </w:rPr>
        <w:annotationRef/>
      </w:r>
      <w:r>
        <w:t>Estimation, as in, what estimation method is used, tradeoffs, and MODEL ASSUMPTIONS</w:t>
      </w:r>
    </w:p>
  </w:comment>
  <w:comment w:id="10" w:author="tim" w:date="2009-02-11T17:12:00Z" w:initials="t">
    <w:p w:rsidR="00D03399" w:rsidRDefault="00D03399" w:rsidP="00440F34">
      <w:pPr>
        <w:pStyle w:val="CommentText"/>
      </w:pPr>
      <w:r>
        <w:rPr>
          <w:rStyle w:val="CommentReference"/>
        </w:rPr>
        <w:annotationRef/>
      </w:r>
      <w:r>
        <w:t>Tim for par parameters</w:t>
      </w:r>
    </w:p>
  </w:comment>
  <w:comment w:id="11" w:author="Vikas Garg" w:date="2009-02-13T12:41:00Z" w:initials="VG">
    <w:p w:rsidR="00D03399" w:rsidRDefault="00D03399" w:rsidP="000576F9">
      <w:pPr>
        <w:pStyle w:val="CommentText"/>
      </w:pPr>
      <w:r>
        <w:rPr>
          <w:rStyle w:val="CommentReference"/>
        </w:rPr>
        <w:annotationRef/>
      </w:r>
      <w:r>
        <w:t>Vikas added</w:t>
      </w:r>
    </w:p>
  </w:comment>
  <w:comment w:id="12" w:author="tim" w:date="2009-02-11T17:22:00Z" w:initials="t">
    <w:p w:rsidR="00D03399" w:rsidRDefault="00D03399" w:rsidP="00F44E13">
      <w:pPr>
        <w:pStyle w:val="CommentText"/>
      </w:pPr>
      <w:r>
        <w:rPr>
          <w:rStyle w:val="CommentReference"/>
        </w:rPr>
        <w:annotationRef/>
      </w:r>
      <w:r>
        <w:t xml:space="preserve">Everyone, </w:t>
      </w:r>
    </w:p>
    <w:p w:rsidR="00D03399" w:rsidRDefault="00D03399" w:rsidP="00F44E13">
      <w:pPr>
        <w:pStyle w:val="CommentText"/>
      </w:pPr>
      <w:r>
        <w:t>This will follow, more or less, our general analysis outline, so it gives a snapshot view of our exact procedure</w:t>
      </w:r>
    </w:p>
  </w:comment>
  <w:comment w:id="13" w:author="tim" w:date="2009-02-11T17:22:00Z" w:initials="t">
    <w:p w:rsidR="00D03399" w:rsidRDefault="00D03399" w:rsidP="00F44E13">
      <w:pPr>
        <w:pStyle w:val="CommentText"/>
      </w:pPr>
      <w:r>
        <w:rPr>
          <w:rStyle w:val="CommentReference"/>
        </w:rPr>
        <w:annotationRef/>
      </w:r>
      <w:r>
        <w:t>Shirley</w:t>
      </w:r>
    </w:p>
  </w:comment>
  <w:comment w:id="14" w:author="tim" w:date="2009-02-11T17:22:00Z" w:initials="t">
    <w:p w:rsidR="00D03399" w:rsidRDefault="00D03399" w:rsidP="00F44E13">
      <w:pPr>
        <w:pStyle w:val="CommentText"/>
      </w:pPr>
      <w:r>
        <w:rPr>
          <w:rStyle w:val="CommentReference"/>
        </w:rPr>
        <w:annotationRef/>
      </w:r>
      <w:r>
        <w:t>WES</w:t>
      </w:r>
    </w:p>
  </w:comment>
  <w:comment w:id="15" w:author="tim" w:date="2009-02-11T17:22:00Z" w:initials="t">
    <w:p w:rsidR="00D03399" w:rsidRDefault="00D03399" w:rsidP="00F44E13">
      <w:pPr>
        <w:pStyle w:val="CommentText"/>
      </w:pPr>
      <w:r>
        <w:rPr>
          <w:rStyle w:val="CommentReference"/>
        </w:rPr>
        <w:annotationRef/>
      </w:r>
      <w:r>
        <w:t>YASIN</w:t>
      </w:r>
    </w:p>
  </w:comment>
  <w:comment w:id="16" w:author="tim" w:date="2009-02-11T17:22:00Z" w:initials="t">
    <w:p w:rsidR="00D03399" w:rsidRDefault="00D03399" w:rsidP="00F44E13">
      <w:pPr>
        <w:pStyle w:val="CommentText"/>
      </w:pPr>
      <w:r>
        <w:rPr>
          <w:rStyle w:val="CommentReference"/>
        </w:rPr>
        <w:annotationRef/>
      </w:r>
      <w:r>
        <w:t>VIKAS</w:t>
      </w:r>
    </w:p>
  </w:comment>
  <w:comment w:id="17" w:author="tim" w:date="2009-02-11T17:22:00Z" w:initials="t">
    <w:p w:rsidR="00D03399" w:rsidRDefault="00D03399" w:rsidP="00F44E13">
      <w:pPr>
        <w:pStyle w:val="CommentText"/>
      </w:pPr>
      <w:r>
        <w:rPr>
          <w:rStyle w:val="CommentReference"/>
        </w:rPr>
        <w:annotationRef/>
      </w:r>
      <w:r>
        <w:t>Estimation, as in, what estimation method is used, tradeoffs, and MODEL ASSUMPTIONS</w:t>
      </w:r>
    </w:p>
  </w:comment>
  <w:comment w:id="18" w:author="tim" w:date="2009-02-11T17:22:00Z" w:initials="t">
    <w:p w:rsidR="00D03399" w:rsidRDefault="00D03399" w:rsidP="00F44E13">
      <w:pPr>
        <w:pStyle w:val="CommentText"/>
      </w:pPr>
      <w:r>
        <w:rPr>
          <w:rStyle w:val="CommentReference"/>
        </w:rPr>
        <w:annotationRef/>
      </w:r>
      <w:r>
        <w:t>Tim for par parameters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665" w:rsidRDefault="00A11665">
      <w:r>
        <w:separator/>
      </w:r>
    </w:p>
  </w:endnote>
  <w:endnote w:type="continuationSeparator" w:id="1">
    <w:p w:rsidR="00A11665" w:rsidRDefault="00A11665">
      <w:r>
        <w:continuationSeparator/>
      </w:r>
    </w:p>
  </w:endnote>
  <w:endnote w:id="2">
    <w:p w:rsidR="00D03399" w:rsidRPr="00996148" w:rsidRDefault="00D03399" w:rsidP="00025ED7">
      <w:pPr>
        <w:pStyle w:val="EndnoteText"/>
        <w:ind w:right="260"/>
      </w:pPr>
      <w:r>
        <w:rPr>
          <w:rStyle w:val="EndnoteReference"/>
        </w:rPr>
        <w:endnoteRef/>
      </w:r>
      <w:r>
        <w:rPr>
          <w:sz w:val="16"/>
          <w:szCs w:val="16"/>
        </w:rPr>
        <w:t xml:space="preserve"> Beran, Jan. </w:t>
      </w:r>
      <w:r w:rsidRPr="00996148">
        <w:rPr>
          <w:i/>
          <w:sz w:val="16"/>
          <w:szCs w:val="16"/>
        </w:rPr>
        <w:t>Statistics for Long Memory Processes.</w:t>
      </w:r>
      <w:r>
        <w:rPr>
          <w:sz w:val="16"/>
          <w:szCs w:val="16"/>
        </w:rPr>
        <w:t xml:space="preserve"> p.144.</w:t>
      </w:r>
    </w:p>
  </w:endnote>
  <w:endnote w:id="3">
    <w:p w:rsidR="00D03399" w:rsidRDefault="00D03399" w:rsidP="00025ED7">
      <w:pPr>
        <w:pStyle w:val="EndnoteText"/>
        <w:ind w:right="260"/>
      </w:pPr>
      <w:r>
        <w:rPr>
          <w:rStyle w:val="EndnoteReference"/>
        </w:rPr>
        <w:endnoteRef/>
      </w:r>
      <w:r>
        <w:t xml:space="preserve"> </w:t>
      </w:r>
      <w:r w:rsidRPr="009E3122">
        <w:rPr>
          <w:sz w:val="16"/>
          <w:szCs w:val="16"/>
        </w:rPr>
        <w:t>Dolando, J. “A Fractional Dickey Fuller Test for Unit Roots.”</w:t>
      </w:r>
    </w:p>
  </w:endnote>
  <w:endnote w:id="4">
    <w:p w:rsidR="00D03399" w:rsidRDefault="00D03399" w:rsidP="00025ED7">
      <w:pPr>
        <w:pStyle w:val="EndnoteText"/>
        <w:ind w:right="260"/>
        <w:rPr>
          <w:sz w:val="16"/>
          <w:szCs w:val="16"/>
        </w:rPr>
      </w:pPr>
      <w:r>
        <w:rPr>
          <w:rStyle w:val="EndnoteReference"/>
        </w:rPr>
        <w:endnoteRef/>
      </w:r>
      <w:r>
        <w:t xml:space="preserve"> </w:t>
      </w:r>
      <w:r w:rsidRPr="009E3122">
        <w:rPr>
          <w:sz w:val="16"/>
          <w:szCs w:val="16"/>
        </w:rPr>
        <w:t>Sephton, P. “Critical Values for the Augmented Factional Dickey Fuller Test”.</w:t>
      </w:r>
    </w:p>
    <w:p w:rsidR="00D03399" w:rsidRDefault="00D03399" w:rsidP="00025ED7">
      <w:pPr>
        <w:pStyle w:val="EndnoteText"/>
        <w:ind w:right="260"/>
        <w:rPr>
          <w:sz w:val="16"/>
          <w:szCs w:val="16"/>
        </w:rPr>
      </w:pPr>
      <w:r>
        <w:rPr>
          <w:rStyle w:val="EndnoteReference"/>
        </w:rPr>
        <w:t>4</w:t>
      </w:r>
      <w:r>
        <w:t xml:space="preserve"> </w:t>
      </w:r>
      <w:r w:rsidRPr="00D72AC5">
        <w:rPr>
          <w:sz w:val="16"/>
          <w:szCs w:val="16"/>
        </w:rPr>
        <w:t>G.N. Fouskitakis and S.D.Fassois.</w:t>
      </w:r>
      <w:r>
        <w:rPr>
          <w:sz w:val="16"/>
          <w:szCs w:val="16"/>
        </w:rPr>
        <w:t xml:space="preserve"> </w:t>
      </w:r>
      <w:r w:rsidRPr="00D72AC5">
        <w:rPr>
          <w:sz w:val="16"/>
          <w:szCs w:val="16"/>
        </w:rPr>
        <w:t>“A Pseudo Linear Method for Fractionally Integrated Arma (ARFIMA) Model Estimation.”</w:t>
      </w:r>
    </w:p>
    <w:p w:rsidR="00D03399" w:rsidRDefault="00D03399" w:rsidP="00025ED7">
      <w:pPr>
        <w:pStyle w:val="EndnoteText"/>
        <w:ind w:right="260"/>
        <w:rPr>
          <w:sz w:val="16"/>
          <w:szCs w:val="16"/>
        </w:rPr>
      </w:pPr>
      <w:r>
        <w:rPr>
          <w:vertAlign w:val="superscript"/>
        </w:rPr>
        <w:t>5</w:t>
      </w:r>
      <w:r>
        <w:t xml:space="preserve"> </w:t>
      </w:r>
      <w:r w:rsidRPr="00D72AC5">
        <w:rPr>
          <w:sz w:val="16"/>
          <w:szCs w:val="16"/>
        </w:rPr>
        <w:t>Jeffrey S. Pai, Nalini Ravishanker.</w:t>
      </w:r>
      <w:r>
        <w:rPr>
          <w:sz w:val="16"/>
          <w:szCs w:val="16"/>
        </w:rPr>
        <w:t xml:space="preserve"> </w:t>
      </w:r>
      <w:r w:rsidRPr="00D72AC5">
        <w:rPr>
          <w:sz w:val="16"/>
          <w:szCs w:val="16"/>
        </w:rPr>
        <w:t>“A Pseudo Linear Method for Fractionally Integrated Arma (ARFIMA) Model Estimation.”</w:t>
      </w:r>
    </w:p>
    <w:p w:rsidR="00D03399" w:rsidRDefault="00D03399" w:rsidP="00025ED7">
      <w:pPr>
        <w:pStyle w:val="EndnoteText"/>
        <w:ind w:right="260"/>
        <w:rPr>
          <w:sz w:val="16"/>
          <w:szCs w:val="16"/>
        </w:rPr>
      </w:pPr>
      <w:r w:rsidRPr="001D0249">
        <w:rPr>
          <w:sz w:val="16"/>
          <w:szCs w:val="16"/>
        </w:rPr>
        <w:t xml:space="preserve">6 Zazli Chik Pusat Asasi Sains, </w:t>
      </w:r>
      <w:r>
        <w:rPr>
          <w:sz w:val="16"/>
          <w:szCs w:val="16"/>
        </w:rPr>
        <w:t>“Performance of Order Selection Criteria for Short Time Series”</w:t>
      </w:r>
    </w:p>
    <w:p w:rsidR="00D03399" w:rsidRDefault="00D03399" w:rsidP="00025ED7">
      <w:pPr>
        <w:pStyle w:val="EndnoteText"/>
        <w:ind w:right="260"/>
        <w:rPr>
          <w:sz w:val="16"/>
          <w:szCs w:val="16"/>
        </w:rPr>
      </w:pPr>
      <w:r w:rsidRPr="001D0249">
        <w:rPr>
          <w:sz w:val="16"/>
          <w:szCs w:val="16"/>
        </w:rPr>
        <w:t xml:space="preserve">7 Yuhong Yang, </w:t>
      </w:r>
      <w:r>
        <w:rPr>
          <w:sz w:val="16"/>
          <w:szCs w:val="16"/>
        </w:rPr>
        <w:t>“Can the Strengths of AIC and BIC Be Shared”</w:t>
      </w:r>
    </w:p>
    <w:p w:rsidR="00D03399" w:rsidRPr="001D0249" w:rsidRDefault="00D03399">
      <w:pPr>
        <w:pStyle w:val="EndnoteText"/>
        <w:rPr>
          <w:sz w:val="16"/>
          <w:szCs w:val="16"/>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665" w:rsidRDefault="00A11665"/>
  </w:footnote>
  <w:footnote w:type="continuationSeparator" w:id="1">
    <w:p w:rsidR="00A11665" w:rsidRDefault="00A11665">
      <w:r>
        <w:continuationSeparator/>
      </w:r>
    </w:p>
  </w:footnote>
  <w:footnote w:id="2">
    <w:p w:rsidR="00D03399" w:rsidRDefault="00D03399">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399" w:rsidRDefault="00D03399">
    <w:pPr>
      <w:framePr w:wrap="auto" w:vAnchor="text" w:hAnchor="margin" w:xAlign="right" w:y="1"/>
    </w:pPr>
    <w:fldSimple w:instr="PAGE  ">
      <w:r w:rsidR="00152AFF">
        <w:rPr>
          <w:noProof/>
        </w:rPr>
        <w:t>2</w:t>
      </w:r>
    </w:fldSimple>
  </w:p>
  <w:p w:rsidR="00D03399" w:rsidRDefault="00D03399" w:rsidP="00EC0879">
    <w:pPr>
      <w:ind w:right="360"/>
      <w:jc w:val="right"/>
    </w:pPr>
    <w:r>
      <w:t>Garg, Khan, Lu, Roberts, Tang, Tillu</w:t>
    </w:r>
  </w:p>
  <w:p w:rsidR="00D03399" w:rsidRDefault="00D03399">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35A1EC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84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76435D8"/>
    <w:multiLevelType w:val="hybridMultilevel"/>
    <w:tmpl w:val="C470A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D122C6"/>
    <w:multiLevelType w:val="hybridMultilevel"/>
    <w:tmpl w:val="66A40BB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4F7E540D"/>
    <w:multiLevelType w:val="hybridMultilevel"/>
    <w:tmpl w:val="4A669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3"/>
  </w:num>
  <w:num w:numId="14">
    <w:abstractNumId w:val="12"/>
  </w:num>
  <w:num w:numId="15">
    <w:abstractNumId w:val="10"/>
  </w:num>
  <w:num w:numId="16">
    <w:abstractNumId w:val="14"/>
  </w:num>
  <w:num w:numId="17">
    <w:abstractNumId w:val="5"/>
  </w:num>
  <w:num w:numId="18">
    <w:abstractNumId w:val="4"/>
  </w:num>
  <w:num w:numId="19">
    <w:abstractNumId w:val="13"/>
  </w:num>
  <w:num w:numId="20">
    <w:abstractNumId w:val="8"/>
  </w:num>
  <w:num w:numId="21">
    <w:abstractNumId w:val="1"/>
  </w:num>
  <w:num w:numId="22">
    <w:abstractNumId w:val="2"/>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numFmt w:val="decimal"/>
    <w:endnote w:id="0"/>
    <w:endnote w:id="1"/>
  </w:endnotePr>
  <w:compat/>
  <w:rsids>
    <w:rsidRoot w:val="00EC0879"/>
    <w:rsid w:val="000048A5"/>
    <w:rsid w:val="00005457"/>
    <w:rsid w:val="00007561"/>
    <w:rsid w:val="00010084"/>
    <w:rsid w:val="00015084"/>
    <w:rsid w:val="00023A86"/>
    <w:rsid w:val="00025ED7"/>
    <w:rsid w:val="000264EB"/>
    <w:rsid w:val="000413AA"/>
    <w:rsid w:val="000576F9"/>
    <w:rsid w:val="00067547"/>
    <w:rsid w:val="00070F1C"/>
    <w:rsid w:val="00081599"/>
    <w:rsid w:val="00094222"/>
    <w:rsid w:val="00097A68"/>
    <w:rsid w:val="000B1BA6"/>
    <w:rsid w:val="000C64B0"/>
    <w:rsid w:val="000D2B12"/>
    <w:rsid w:val="000E5702"/>
    <w:rsid w:val="00100313"/>
    <w:rsid w:val="00111439"/>
    <w:rsid w:val="001131A9"/>
    <w:rsid w:val="001401F0"/>
    <w:rsid w:val="00146776"/>
    <w:rsid w:val="00152AFF"/>
    <w:rsid w:val="0017016B"/>
    <w:rsid w:val="001A28C8"/>
    <w:rsid w:val="001A597E"/>
    <w:rsid w:val="001D0249"/>
    <w:rsid w:val="001E6593"/>
    <w:rsid w:val="002053B3"/>
    <w:rsid w:val="00206F2C"/>
    <w:rsid w:val="00226714"/>
    <w:rsid w:val="00230CD4"/>
    <w:rsid w:val="00241811"/>
    <w:rsid w:val="00252D7A"/>
    <w:rsid w:val="00252D86"/>
    <w:rsid w:val="002563CD"/>
    <w:rsid w:val="00274C03"/>
    <w:rsid w:val="00287A5B"/>
    <w:rsid w:val="00322F31"/>
    <w:rsid w:val="00334185"/>
    <w:rsid w:val="0034513C"/>
    <w:rsid w:val="00353DA2"/>
    <w:rsid w:val="00375D64"/>
    <w:rsid w:val="003766A3"/>
    <w:rsid w:val="00380592"/>
    <w:rsid w:val="003A530D"/>
    <w:rsid w:val="003B7261"/>
    <w:rsid w:val="003C2C7D"/>
    <w:rsid w:val="003E0BE0"/>
    <w:rsid w:val="003E7BFF"/>
    <w:rsid w:val="003F41A9"/>
    <w:rsid w:val="003F4A46"/>
    <w:rsid w:val="00401283"/>
    <w:rsid w:val="004075FE"/>
    <w:rsid w:val="00420C93"/>
    <w:rsid w:val="00437810"/>
    <w:rsid w:val="004378DE"/>
    <w:rsid w:val="00440F34"/>
    <w:rsid w:val="00447070"/>
    <w:rsid w:val="004630BC"/>
    <w:rsid w:val="00472F35"/>
    <w:rsid w:val="00484CBC"/>
    <w:rsid w:val="00487E19"/>
    <w:rsid w:val="004A5C08"/>
    <w:rsid w:val="004C4014"/>
    <w:rsid w:val="00504093"/>
    <w:rsid w:val="0050474F"/>
    <w:rsid w:val="0051187C"/>
    <w:rsid w:val="00521F31"/>
    <w:rsid w:val="00524977"/>
    <w:rsid w:val="00556E28"/>
    <w:rsid w:val="00570249"/>
    <w:rsid w:val="005849D0"/>
    <w:rsid w:val="005979D3"/>
    <w:rsid w:val="00601D28"/>
    <w:rsid w:val="00623CFB"/>
    <w:rsid w:val="006573DB"/>
    <w:rsid w:val="006979C2"/>
    <w:rsid w:val="006B0661"/>
    <w:rsid w:val="006B0D68"/>
    <w:rsid w:val="006B757D"/>
    <w:rsid w:val="006C5DEF"/>
    <w:rsid w:val="006F1184"/>
    <w:rsid w:val="006F442E"/>
    <w:rsid w:val="007145AA"/>
    <w:rsid w:val="00740F31"/>
    <w:rsid w:val="00756B7B"/>
    <w:rsid w:val="007654FE"/>
    <w:rsid w:val="00775F0B"/>
    <w:rsid w:val="00782E30"/>
    <w:rsid w:val="007D76EF"/>
    <w:rsid w:val="00802AAC"/>
    <w:rsid w:val="0080446B"/>
    <w:rsid w:val="00805353"/>
    <w:rsid w:val="00805A18"/>
    <w:rsid w:val="008408E3"/>
    <w:rsid w:val="008427BF"/>
    <w:rsid w:val="00854DFA"/>
    <w:rsid w:val="008676C0"/>
    <w:rsid w:val="00871E92"/>
    <w:rsid w:val="00881964"/>
    <w:rsid w:val="00891147"/>
    <w:rsid w:val="00891C07"/>
    <w:rsid w:val="008A69F9"/>
    <w:rsid w:val="008C1F47"/>
    <w:rsid w:val="008D2CC1"/>
    <w:rsid w:val="008F3F41"/>
    <w:rsid w:val="008F4984"/>
    <w:rsid w:val="008F7770"/>
    <w:rsid w:val="00944D51"/>
    <w:rsid w:val="00951B0D"/>
    <w:rsid w:val="00956881"/>
    <w:rsid w:val="00960EE3"/>
    <w:rsid w:val="00965DB5"/>
    <w:rsid w:val="00980F15"/>
    <w:rsid w:val="009868B7"/>
    <w:rsid w:val="00996148"/>
    <w:rsid w:val="009C6085"/>
    <w:rsid w:val="009D4A9E"/>
    <w:rsid w:val="009D76F4"/>
    <w:rsid w:val="009E0893"/>
    <w:rsid w:val="009E3122"/>
    <w:rsid w:val="009E6A06"/>
    <w:rsid w:val="009F1669"/>
    <w:rsid w:val="009F348A"/>
    <w:rsid w:val="00A0769F"/>
    <w:rsid w:val="00A11665"/>
    <w:rsid w:val="00A126D1"/>
    <w:rsid w:val="00A128F0"/>
    <w:rsid w:val="00A13689"/>
    <w:rsid w:val="00A1497F"/>
    <w:rsid w:val="00A24E35"/>
    <w:rsid w:val="00A3489F"/>
    <w:rsid w:val="00A34954"/>
    <w:rsid w:val="00A62D9B"/>
    <w:rsid w:val="00A73F2D"/>
    <w:rsid w:val="00A76EFC"/>
    <w:rsid w:val="00AE63B2"/>
    <w:rsid w:val="00B10639"/>
    <w:rsid w:val="00B144D2"/>
    <w:rsid w:val="00B15D61"/>
    <w:rsid w:val="00B32763"/>
    <w:rsid w:val="00B37BD3"/>
    <w:rsid w:val="00B42DDA"/>
    <w:rsid w:val="00B56538"/>
    <w:rsid w:val="00B655AA"/>
    <w:rsid w:val="00B76772"/>
    <w:rsid w:val="00B905E6"/>
    <w:rsid w:val="00B9276F"/>
    <w:rsid w:val="00B9661C"/>
    <w:rsid w:val="00BC5F0C"/>
    <w:rsid w:val="00BD4807"/>
    <w:rsid w:val="00BF3766"/>
    <w:rsid w:val="00BF554B"/>
    <w:rsid w:val="00C20E3B"/>
    <w:rsid w:val="00C21233"/>
    <w:rsid w:val="00C4211A"/>
    <w:rsid w:val="00C7742D"/>
    <w:rsid w:val="00C80BDA"/>
    <w:rsid w:val="00CB6415"/>
    <w:rsid w:val="00CF49AB"/>
    <w:rsid w:val="00CF50CB"/>
    <w:rsid w:val="00D02BD4"/>
    <w:rsid w:val="00D03399"/>
    <w:rsid w:val="00D35F91"/>
    <w:rsid w:val="00D435DD"/>
    <w:rsid w:val="00D52520"/>
    <w:rsid w:val="00D53218"/>
    <w:rsid w:val="00D82748"/>
    <w:rsid w:val="00D972CA"/>
    <w:rsid w:val="00DA2BF2"/>
    <w:rsid w:val="00DA69BD"/>
    <w:rsid w:val="00DC5D6C"/>
    <w:rsid w:val="00DF0C0D"/>
    <w:rsid w:val="00DF0DE8"/>
    <w:rsid w:val="00DF77DC"/>
    <w:rsid w:val="00E20334"/>
    <w:rsid w:val="00E32B69"/>
    <w:rsid w:val="00E342CA"/>
    <w:rsid w:val="00E4370E"/>
    <w:rsid w:val="00E618E6"/>
    <w:rsid w:val="00E63E75"/>
    <w:rsid w:val="00E979F5"/>
    <w:rsid w:val="00EA72C9"/>
    <w:rsid w:val="00EB1B72"/>
    <w:rsid w:val="00EC0879"/>
    <w:rsid w:val="00EC4CA2"/>
    <w:rsid w:val="00EC52CA"/>
    <w:rsid w:val="00ED450C"/>
    <w:rsid w:val="00F05925"/>
    <w:rsid w:val="00F14F3A"/>
    <w:rsid w:val="00F1640D"/>
    <w:rsid w:val="00F207A7"/>
    <w:rsid w:val="00F44E13"/>
    <w:rsid w:val="00F52F56"/>
    <w:rsid w:val="00F61727"/>
    <w:rsid w:val="00F66360"/>
    <w:rsid w:val="00F74406"/>
    <w:rsid w:val="00FA07A9"/>
    <w:rsid w:val="00FC4648"/>
    <w:rsid w:val="00FC47EF"/>
    <w:rsid w:val="00FD2329"/>
    <w:rsid w:val="00FD3B3B"/>
    <w:rsid w:val="00FE1167"/>
    <w:rsid w:val="00FF61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6146">
      <o:colormru v:ext="edit" colors="#06f"/>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F91"/>
    <w:pPr>
      <w:autoSpaceDE w:val="0"/>
      <w:autoSpaceDN w:val="0"/>
    </w:pPr>
  </w:style>
  <w:style w:type="paragraph" w:styleId="Heading1">
    <w:name w:val="heading 1"/>
    <w:basedOn w:val="Normal"/>
    <w:next w:val="Normal"/>
    <w:qFormat/>
    <w:rsid w:val="009E6A06"/>
    <w:pPr>
      <w:keepNext/>
      <w:numPr>
        <w:numId w:val="1"/>
      </w:numPr>
      <w:spacing w:before="240" w:after="80"/>
      <w:jc w:val="center"/>
      <w:outlineLvl w:val="0"/>
    </w:pPr>
    <w:rPr>
      <w:smallCaps/>
      <w:kern w:val="28"/>
    </w:rPr>
  </w:style>
  <w:style w:type="paragraph" w:styleId="Heading2">
    <w:name w:val="heading 2"/>
    <w:basedOn w:val="Normal"/>
    <w:next w:val="Normal"/>
    <w:qFormat/>
    <w:rsid w:val="009E6A06"/>
    <w:pPr>
      <w:keepNext/>
      <w:numPr>
        <w:ilvl w:val="1"/>
        <w:numId w:val="1"/>
      </w:numPr>
      <w:spacing w:before="120" w:after="60"/>
      <w:outlineLvl w:val="1"/>
    </w:pPr>
    <w:rPr>
      <w:i/>
      <w:iCs/>
    </w:rPr>
  </w:style>
  <w:style w:type="paragraph" w:styleId="Heading3">
    <w:name w:val="heading 3"/>
    <w:basedOn w:val="Normal"/>
    <w:next w:val="Normal"/>
    <w:qFormat/>
    <w:rsid w:val="009E6A06"/>
    <w:pPr>
      <w:keepNext/>
      <w:numPr>
        <w:ilvl w:val="2"/>
        <w:numId w:val="1"/>
      </w:numPr>
      <w:outlineLvl w:val="2"/>
    </w:pPr>
    <w:rPr>
      <w:i/>
      <w:iCs/>
    </w:rPr>
  </w:style>
  <w:style w:type="paragraph" w:styleId="Heading4">
    <w:name w:val="heading 4"/>
    <w:basedOn w:val="Normal"/>
    <w:next w:val="Normal"/>
    <w:qFormat/>
    <w:rsid w:val="009E6A06"/>
    <w:pPr>
      <w:keepNext/>
      <w:numPr>
        <w:ilvl w:val="3"/>
        <w:numId w:val="1"/>
      </w:numPr>
      <w:spacing w:before="240" w:after="60"/>
      <w:outlineLvl w:val="3"/>
    </w:pPr>
    <w:rPr>
      <w:i/>
      <w:iCs/>
      <w:sz w:val="18"/>
      <w:szCs w:val="18"/>
    </w:rPr>
  </w:style>
  <w:style w:type="paragraph" w:styleId="Heading5">
    <w:name w:val="heading 5"/>
    <w:basedOn w:val="Normal"/>
    <w:next w:val="Normal"/>
    <w:qFormat/>
    <w:rsid w:val="009E6A06"/>
    <w:pPr>
      <w:numPr>
        <w:ilvl w:val="4"/>
        <w:numId w:val="1"/>
      </w:numPr>
      <w:spacing w:before="240" w:after="60"/>
      <w:outlineLvl w:val="4"/>
    </w:pPr>
    <w:rPr>
      <w:sz w:val="18"/>
      <w:szCs w:val="18"/>
    </w:rPr>
  </w:style>
  <w:style w:type="paragraph" w:styleId="Heading6">
    <w:name w:val="heading 6"/>
    <w:basedOn w:val="Normal"/>
    <w:next w:val="Normal"/>
    <w:qFormat/>
    <w:rsid w:val="009E6A06"/>
    <w:pPr>
      <w:numPr>
        <w:ilvl w:val="5"/>
        <w:numId w:val="1"/>
      </w:numPr>
      <w:spacing w:before="240" w:after="60"/>
      <w:outlineLvl w:val="5"/>
    </w:pPr>
    <w:rPr>
      <w:i/>
      <w:iCs/>
      <w:sz w:val="16"/>
      <w:szCs w:val="16"/>
    </w:rPr>
  </w:style>
  <w:style w:type="paragraph" w:styleId="Heading7">
    <w:name w:val="heading 7"/>
    <w:basedOn w:val="Normal"/>
    <w:next w:val="Normal"/>
    <w:qFormat/>
    <w:rsid w:val="009E6A06"/>
    <w:pPr>
      <w:numPr>
        <w:ilvl w:val="6"/>
        <w:numId w:val="1"/>
      </w:numPr>
      <w:spacing w:before="240" w:after="60"/>
      <w:outlineLvl w:val="6"/>
    </w:pPr>
    <w:rPr>
      <w:sz w:val="16"/>
      <w:szCs w:val="16"/>
    </w:rPr>
  </w:style>
  <w:style w:type="paragraph" w:styleId="Heading8">
    <w:name w:val="heading 8"/>
    <w:basedOn w:val="Normal"/>
    <w:next w:val="Normal"/>
    <w:qFormat/>
    <w:rsid w:val="009E6A06"/>
    <w:pPr>
      <w:numPr>
        <w:ilvl w:val="7"/>
        <w:numId w:val="1"/>
      </w:numPr>
      <w:spacing w:before="240" w:after="60"/>
      <w:outlineLvl w:val="7"/>
    </w:pPr>
    <w:rPr>
      <w:i/>
      <w:iCs/>
      <w:sz w:val="16"/>
      <w:szCs w:val="16"/>
    </w:rPr>
  </w:style>
  <w:style w:type="paragraph" w:styleId="Heading9">
    <w:name w:val="heading 9"/>
    <w:basedOn w:val="Normal"/>
    <w:next w:val="Normal"/>
    <w:qFormat/>
    <w:rsid w:val="009E6A0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E6A06"/>
    <w:pPr>
      <w:spacing w:before="20"/>
      <w:ind w:firstLine="202"/>
      <w:jc w:val="both"/>
    </w:pPr>
    <w:rPr>
      <w:b/>
      <w:bCs/>
      <w:sz w:val="18"/>
      <w:szCs w:val="18"/>
    </w:rPr>
  </w:style>
  <w:style w:type="paragraph" w:customStyle="1" w:styleId="Authors">
    <w:name w:val="Authors"/>
    <w:basedOn w:val="Normal"/>
    <w:next w:val="Normal"/>
    <w:rsid w:val="009E6A0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9E6A06"/>
    <w:rPr>
      <w:rFonts w:ascii="Times New Roman" w:hAnsi="Times New Roman" w:cs="Times New Roman"/>
      <w:i/>
      <w:iCs/>
      <w:sz w:val="22"/>
      <w:szCs w:val="22"/>
    </w:rPr>
  </w:style>
  <w:style w:type="paragraph" w:styleId="Title">
    <w:name w:val="Title"/>
    <w:basedOn w:val="Normal"/>
    <w:next w:val="Normal"/>
    <w:qFormat/>
    <w:rsid w:val="009E6A0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9E6A06"/>
    <w:pPr>
      <w:ind w:firstLine="202"/>
      <w:jc w:val="both"/>
    </w:pPr>
    <w:rPr>
      <w:sz w:val="16"/>
      <w:szCs w:val="16"/>
    </w:rPr>
  </w:style>
  <w:style w:type="paragraph" w:customStyle="1" w:styleId="References">
    <w:name w:val="References"/>
    <w:basedOn w:val="Normal"/>
    <w:rsid w:val="009E6A06"/>
    <w:pPr>
      <w:numPr>
        <w:numId w:val="12"/>
      </w:numPr>
      <w:jc w:val="both"/>
    </w:pPr>
    <w:rPr>
      <w:sz w:val="16"/>
      <w:szCs w:val="16"/>
    </w:rPr>
  </w:style>
  <w:style w:type="paragraph" w:customStyle="1" w:styleId="IndexTerms">
    <w:name w:val="IndexTerms"/>
    <w:basedOn w:val="Normal"/>
    <w:next w:val="Normal"/>
    <w:rsid w:val="009E6A06"/>
    <w:pPr>
      <w:ind w:firstLine="202"/>
      <w:jc w:val="both"/>
    </w:pPr>
    <w:rPr>
      <w:b/>
      <w:bCs/>
      <w:sz w:val="18"/>
      <w:szCs w:val="18"/>
    </w:rPr>
  </w:style>
  <w:style w:type="character" w:styleId="FootnoteReference">
    <w:name w:val="footnote reference"/>
    <w:basedOn w:val="DefaultParagraphFont"/>
    <w:semiHidden/>
    <w:rsid w:val="009E6A06"/>
    <w:rPr>
      <w:vertAlign w:val="superscript"/>
    </w:rPr>
  </w:style>
  <w:style w:type="paragraph" w:styleId="Footer">
    <w:name w:val="footer"/>
    <w:basedOn w:val="Normal"/>
    <w:semiHidden/>
    <w:rsid w:val="009E6A06"/>
    <w:pPr>
      <w:tabs>
        <w:tab w:val="center" w:pos="4320"/>
        <w:tab w:val="right" w:pos="8640"/>
      </w:tabs>
    </w:pPr>
  </w:style>
  <w:style w:type="paragraph" w:customStyle="1" w:styleId="Text">
    <w:name w:val="Text"/>
    <w:basedOn w:val="Normal"/>
    <w:rsid w:val="009E6A06"/>
    <w:pPr>
      <w:widowControl w:val="0"/>
      <w:spacing w:line="252" w:lineRule="auto"/>
      <w:ind w:firstLine="202"/>
      <w:jc w:val="both"/>
    </w:pPr>
  </w:style>
  <w:style w:type="paragraph" w:customStyle="1" w:styleId="FigureCaption">
    <w:name w:val="Figure Caption"/>
    <w:basedOn w:val="Normal"/>
    <w:rsid w:val="009E6A06"/>
    <w:pPr>
      <w:jc w:val="both"/>
    </w:pPr>
    <w:rPr>
      <w:sz w:val="16"/>
      <w:szCs w:val="16"/>
    </w:rPr>
  </w:style>
  <w:style w:type="paragraph" w:customStyle="1" w:styleId="TableTitle">
    <w:name w:val="Table Title"/>
    <w:basedOn w:val="Normal"/>
    <w:rsid w:val="009E6A06"/>
    <w:pPr>
      <w:jc w:val="center"/>
    </w:pPr>
    <w:rPr>
      <w:smallCaps/>
      <w:sz w:val="16"/>
      <w:szCs w:val="16"/>
    </w:rPr>
  </w:style>
  <w:style w:type="paragraph" w:customStyle="1" w:styleId="ReferenceHead">
    <w:name w:val="Reference Head"/>
    <w:basedOn w:val="Heading1"/>
    <w:rsid w:val="009E6A06"/>
    <w:pPr>
      <w:numPr>
        <w:numId w:val="0"/>
      </w:numPr>
    </w:pPr>
  </w:style>
  <w:style w:type="paragraph" w:styleId="Header">
    <w:name w:val="header"/>
    <w:basedOn w:val="Normal"/>
    <w:semiHidden/>
    <w:rsid w:val="009E6A06"/>
    <w:pPr>
      <w:tabs>
        <w:tab w:val="center" w:pos="4320"/>
        <w:tab w:val="right" w:pos="8640"/>
      </w:tabs>
    </w:pPr>
  </w:style>
  <w:style w:type="paragraph" w:customStyle="1" w:styleId="Equation">
    <w:name w:val="Equation"/>
    <w:basedOn w:val="Normal"/>
    <w:next w:val="Normal"/>
    <w:rsid w:val="009E6A06"/>
    <w:pPr>
      <w:widowControl w:val="0"/>
      <w:tabs>
        <w:tab w:val="right" w:pos="5040"/>
      </w:tabs>
      <w:spacing w:line="252" w:lineRule="auto"/>
      <w:jc w:val="both"/>
    </w:pPr>
  </w:style>
  <w:style w:type="character" w:styleId="Hyperlink">
    <w:name w:val="Hyperlink"/>
    <w:basedOn w:val="DefaultParagraphFont"/>
    <w:semiHidden/>
    <w:rsid w:val="009E6A06"/>
    <w:rPr>
      <w:color w:val="0000FF"/>
      <w:u w:val="single"/>
    </w:rPr>
  </w:style>
  <w:style w:type="character" w:styleId="FollowedHyperlink">
    <w:name w:val="FollowedHyperlink"/>
    <w:basedOn w:val="DefaultParagraphFont"/>
    <w:semiHidden/>
    <w:rsid w:val="009E6A06"/>
    <w:rPr>
      <w:color w:val="800080"/>
      <w:u w:val="single"/>
    </w:rPr>
  </w:style>
  <w:style w:type="paragraph" w:styleId="BodyTextIndent">
    <w:name w:val="Body Text Indent"/>
    <w:basedOn w:val="Normal"/>
    <w:semiHidden/>
    <w:rsid w:val="009E6A06"/>
    <w:pPr>
      <w:ind w:left="630" w:hanging="630"/>
    </w:pPr>
    <w:rPr>
      <w:szCs w:val="24"/>
    </w:rPr>
  </w:style>
  <w:style w:type="table" w:styleId="TableGrid">
    <w:name w:val="Table Grid"/>
    <w:basedOn w:val="TableNormal"/>
    <w:uiPriority w:val="59"/>
    <w:rsid w:val="009F166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C4014"/>
    <w:rPr>
      <w:sz w:val="16"/>
      <w:szCs w:val="16"/>
    </w:rPr>
  </w:style>
  <w:style w:type="paragraph" w:styleId="CommentText">
    <w:name w:val="annotation text"/>
    <w:basedOn w:val="Normal"/>
    <w:link w:val="CommentTextChar"/>
    <w:uiPriority w:val="99"/>
    <w:semiHidden/>
    <w:unhideWhenUsed/>
    <w:rsid w:val="004C4014"/>
  </w:style>
  <w:style w:type="character" w:customStyle="1" w:styleId="CommentTextChar">
    <w:name w:val="Comment Text Char"/>
    <w:basedOn w:val="DefaultParagraphFont"/>
    <w:link w:val="CommentText"/>
    <w:uiPriority w:val="99"/>
    <w:semiHidden/>
    <w:rsid w:val="004C4014"/>
  </w:style>
  <w:style w:type="paragraph" w:styleId="CommentSubject">
    <w:name w:val="annotation subject"/>
    <w:basedOn w:val="CommentText"/>
    <w:next w:val="CommentText"/>
    <w:link w:val="CommentSubjectChar"/>
    <w:uiPriority w:val="99"/>
    <w:semiHidden/>
    <w:unhideWhenUsed/>
    <w:rsid w:val="004C4014"/>
    <w:rPr>
      <w:b/>
      <w:bCs/>
    </w:rPr>
  </w:style>
  <w:style w:type="character" w:customStyle="1" w:styleId="CommentSubjectChar">
    <w:name w:val="Comment Subject Char"/>
    <w:basedOn w:val="CommentTextChar"/>
    <w:link w:val="CommentSubject"/>
    <w:uiPriority w:val="99"/>
    <w:semiHidden/>
    <w:rsid w:val="004C4014"/>
    <w:rPr>
      <w:b/>
      <w:bCs/>
    </w:rPr>
  </w:style>
  <w:style w:type="paragraph" w:styleId="BalloonText">
    <w:name w:val="Balloon Text"/>
    <w:basedOn w:val="Normal"/>
    <w:link w:val="BalloonTextChar"/>
    <w:uiPriority w:val="99"/>
    <w:semiHidden/>
    <w:unhideWhenUsed/>
    <w:rsid w:val="004C4014"/>
    <w:rPr>
      <w:rFonts w:ascii="Tahoma" w:hAnsi="Tahoma" w:cs="Tahoma"/>
      <w:sz w:val="16"/>
      <w:szCs w:val="16"/>
    </w:rPr>
  </w:style>
  <w:style w:type="character" w:customStyle="1" w:styleId="BalloonTextChar">
    <w:name w:val="Balloon Text Char"/>
    <w:basedOn w:val="DefaultParagraphFont"/>
    <w:link w:val="BalloonText"/>
    <w:uiPriority w:val="99"/>
    <w:semiHidden/>
    <w:rsid w:val="004C4014"/>
    <w:rPr>
      <w:rFonts w:ascii="Tahoma" w:hAnsi="Tahoma" w:cs="Tahoma"/>
      <w:sz w:val="16"/>
      <w:szCs w:val="16"/>
    </w:rPr>
  </w:style>
  <w:style w:type="paragraph" w:styleId="DocumentMap">
    <w:name w:val="Document Map"/>
    <w:basedOn w:val="Normal"/>
    <w:link w:val="DocumentMapChar"/>
    <w:uiPriority w:val="99"/>
    <w:semiHidden/>
    <w:unhideWhenUsed/>
    <w:rsid w:val="003B7261"/>
    <w:rPr>
      <w:rFonts w:ascii="Tahoma" w:hAnsi="Tahoma" w:cs="Tahoma"/>
      <w:sz w:val="16"/>
      <w:szCs w:val="16"/>
    </w:rPr>
  </w:style>
  <w:style w:type="character" w:customStyle="1" w:styleId="DocumentMapChar">
    <w:name w:val="Document Map Char"/>
    <w:basedOn w:val="DefaultParagraphFont"/>
    <w:link w:val="DocumentMap"/>
    <w:uiPriority w:val="99"/>
    <w:semiHidden/>
    <w:rsid w:val="003B7261"/>
    <w:rPr>
      <w:rFonts w:ascii="Tahoma" w:hAnsi="Tahoma" w:cs="Tahoma"/>
      <w:sz w:val="16"/>
      <w:szCs w:val="16"/>
    </w:rPr>
  </w:style>
  <w:style w:type="paragraph" w:styleId="EndnoteText">
    <w:name w:val="endnote text"/>
    <w:basedOn w:val="Normal"/>
    <w:link w:val="EndnoteTextChar"/>
    <w:uiPriority w:val="99"/>
    <w:semiHidden/>
    <w:unhideWhenUsed/>
    <w:rsid w:val="00996148"/>
  </w:style>
  <w:style w:type="character" w:customStyle="1" w:styleId="EndnoteTextChar">
    <w:name w:val="Endnote Text Char"/>
    <w:basedOn w:val="DefaultParagraphFont"/>
    <w:link w:val="EndnoteText"/>
    <w:uiPriority w:val="99"/>
    <w:semiHidden/>
    <w:rsid w:val="00996148"/>
  </w:style>
  <w:style w:type="character" w:styleId="EndnoteReference">
    <w:name w:val="endnote reference"/>
    <w:basedOn w:val="DefaultParagraphFont"/>
    <w:uiPriority w:val="99"/>
    <w:semiHidden/>
    <w:unhideWhenUsed/>
    <w:rsid w:val="00996148"/>
    <w:rPr>
      <w:vertAlign w:val="superscript"/>
    </w:rPr>
  </w:style>
  <w:style w:type="character" w:styleId="PlaceholderText">
    <w:name w:val="Placeholder Text"/>
    <w:basedOn w:val="DefaultParagraphFont"/>
    <w:uiPriority w:val="99"/>
    <w:semiHidden/>
    <w:rsid w:val="00252D86"/>
    <w:rPr>
      <w:color w:val="808080"/>
    </w:rPr>
  </w:style>
  <w:style w:type="paragraph" w:styleId="ListParagraph">
    <w:name w:val="List Paragraph"/>
    <w:basedOn w:val="Normal"/>
    <w:uiPriority w:val="34"/>
    <w:qFormat/>
    <w:rsid w:val="00252D86"/>
    <w:pPr>
      <w:ind w:left="720"/>
      <w:contextualSpacing/>
    </w:pPr>
  </w:style>
</w:styles>
</file>

<file path=word/webSettings.xml><?xml version="1.0" encoding="utf-8"?>
<w:webSettings xmlns:r="http://schemas.openxmlformats.org/officeDocument/2006/relationships" xmlns:w="http://schemas.openxmlformats.org/wordprocessingml/2006/main">
  <w:divs>
    <w:div w:id="202239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Microsoft_Office_Excel_97-2003_Worksheet1.xls"/><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oleObject" Target="embeddings/Microsoft_Office_Excel_97-2003_Worksheet2.xls"/><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Microsoft_Office_Excel_97-2003_Worksheet4.xls"/><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oleObject" Target="embeddings/Microsoft_Office_Excel_97-2003_Worksheet5.xls"/><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oleObject" Target="embeddings/Microsoft_Office_Excel_97-2003_Worksheet3.xls"/><Relationship Id="rId27" Type="http://schemas.openxmlformats.org/officeDocument/2006/relationships/image" Target="media/image14.emf"/><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Vikas Garg</cp:lastModifiedBy>
  <cp:revision>2</cp:revision>
  <cp:lastPrinted>2009-02-13T16:59:00Z</cp:lastPrinted>
  <dcterms:created xsi:type="dcterms:W3CDTF">2009-02-26T02:36:00Z</dcterms:created>
  <dcterms:modified xsi:type="dcterms:W3CDTF">2009-02-26T02:36:00Z</dcterms:modified>
</cp:coreProperties>
</file>