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br/>
        <w:br/>
        <w:br/>
        <w:t>DP-LightGCN：基于层级自适应预算分配的</w:t>
        <w:br/>
        <w:t>差分隐私LightGCN推荐模型</w:t>
      </w:r>
    </w:p>
    <w:p>
      <w:pPr>
        <w:jc w:val="center"/>
      </w:pPr>
      <w:r>
        <w:rPr>
          <w:sz w:val="28"/>
        </w:rPr>
        <w:br/>
        <w:br/>
        <w:t>周舟</w:t>
        <w:br/>
      </w:r>
    </w:p>
    <w:p>
      <w:pPr>
        <w:jc w:val="center"/>
      </w:pPr>
      <w:r>
        <w:rPr>
          <w:sz w:val="24"/>
        </w:rPr>
        <w:br/>
        <w:t>2026年6月</w:t>
        <w:br/>
        <w:br/>
        <w:br/>
      </w:r>
    </w:p>
    <w:p>
      <w:pPr>
        <w:pStyle w:val="Heading1"/>
      </w:pPr>
      <w:r>
        <w:t>摘要</w:t>
      </w:r>
    </w:p>
    <w:p>
      <w:r>
        <w:t>图神经网络（GNN），特别是LightGCN，在基于协同过滤的推荐系统中取得了显著成功。然而，用户-物品交互数据的引入引发了严重的隐私担忧。现有的差分隐私推荐方法主要关注矩阵分解模型，并且通常采用简单的噪声注入策略，未能考虑GCN架构的层次结构。</w:t>
      </w:r>
    </w:p>
    <w:p>
      <w:r>
        <w:t>本文提出DP-LightGCN，一个将嵌入级高斯扰动与新型层级自适应预算分配机制相结合的差分隐私框架。与之前在所有层上应用均匀噪声的工作不同，我们的方法根据层级嵌入的范数动态分配隐私预算，为信息密度更高的层提供更多保护。此外，我们引入了一种自适应裁剪机制，在扰动前对嵌入范数进行归一化，有效控制敏感度同时保持模型效用。</w:t>
      </w:r>
    </w:p>
    <w:p>
      <w:r>
        <w:t>我们在Gowalla和Yelp2018两个基准数据集上进行评估。实验结果表明，在强隐私保证（ε=5）下，DP-LightGCN在Recall@20上比均匀和递减预算分配策略分别高出高达91%（Yelp2018）和56%（Gowalla）。我们的工作为基于图的隐私保护推荐提供了一种实用且有原则的方法。</w:t>
      </w:r>
    </w:p>
    <w:p>
      <w:r>
        <w:rPr>
          <w:b/>
        </w:rPr>
        <w:t>关键词：</w:t>
      </w:r>
      <w:r>
        <w:t>差分隐私；LightGCN；图神经网络；推荐系统；隐私保护机器学习</w:t>
      </w:r>
    </w:p>
    <w:p>
      <w:pPr>
        <w:pStyle w:val="Heading1"/>
      </w:pPr>
      <w:r>
        <w:t>1  引言</w:t>
      </w:r>
    </w:p>
    <w:p>
      <w:r>
        <w:t>推荐系统已成为现代信息平台不可或缺的组成部分，帮助用户从海量数据中发现相关内容。在各种推荐范式中，协同过滤（CF）——利用历史用户-物品交互——已成为最有效的方法之一。近年来，图神经网络（GNN）通过将用户-物品交互自然地建模为二分图，实现了高阶连通性建模，从而彻底改变了协同过滤。LightGCN [1] 因其简化的架构——去除了不必要的特征变换和非线性激活——而获得了广泛采用，以卓越的效率实现了最先进的性能。</w:t>
      </w:r>
    </w:p>
    <w:p>
      <w:r>
        <w:t>尽管这些模型非常有效，但为其提供动力的数据——用户交互历史——包含敏感的个人信息。研究表明，推荐模型容易受到各种隐私攻击，包括成员推断和模型反转，这些攻击可以重建用户身份或推断特定的交互模式。</w:t>
      </w:r>
    </w:p>
    <w:p>
      <w:r>
        <w:t>差分隐私（DP）[2] 已成为机器学习中隐私保护的事实标准，为抵御对抗性推断提供了严格的隐私保证。其核心思想是在训练过程中注入校准噪声，确保任何个体的数据存在与否不会显著影响模型输出。</w:t>
      </w:r>
    </w:p>
    <w:p>
      <w:r>
        <w:t>本文提出DP-LightGCN，一个专门为基于LightGCN的推荐设计的差分隐私框架。我们的主要贡献如下：</w:t>
      </w:r>
    </w:p>
    <w:p>
      <w:r>
        <w:t>（1）层级自适应预算分配：基于层级嵌入的范数动态分配隐私预算，为信息密度更高的层分配更多预算。</w:t>
      </w:r>
    </w:p>
    <w:p>
      <w:r>
        <w:t>（2）自适应裁剪机制：在噪声注入前对嵌入范数进行归一化，无需手动调整即可控制敏感度。</w:t>
      </w:r>
    </w:p>
    <w:p>
      <w:r>
        <w:t>（3）嵌入级DP扰动：利用LightGCN简化的架构对传播嵌入直接应用高斯噪声。</w:t>
      </w:r>
    </w:p>
    <w:p>
      <w:r>
        <w:t>（4）在两个基准数据集上验证了方法的有效性，自适应策略在ε=5时比均匀分配高56%-91%。</w:t>
      </w:r>
    </w:p>
    <w:p>
      <w:pPr>
        <w:pStyle w:val="Heading1"/>
      </w:pPr>
      <w:r>
        <w:t>2  相关工作</w:t>
      </w:r>
    </w:p>
    <w:p>
      <w:pPr>
        <w:pStyle w:val="Heading2"/>
      </w:pPr>
      <w:r>
        <w:t>2.1  推荐系统中的差分隐私</w:t>
      </w:r>
    </w:p>
    <w:p>
      <w:r>
        <w:t>McSherry和Mironov [3] 首次将DP引入协同过滤。Friedman等人 [4] 将其扩展到矩阵分解。Berlioz等人 [5] 比较了不同扰动策略。Shin等人 [6] 探索了本地差分隐私。Liu等人 [7] 提供了DP推荐技术的综述。</w:t>
      </w:r>
    </w:p>
    <w:p>
      <w:pPr>
        <w:pStyle w:val="Heading2"/>
      </w:pPr>
      <w:r>
        <w:t>2.2  隐私保护图神经网络</w:t>
      </w:r>
    </w:p>
    <w:p>
      <w:r>
        <w:t>Jia等人 [8] 提出了DP-GCN。Daigavane等人 [9] 建立了GNN节点级DP的定义。Sajadmanesh等人 [10] 提出了LPGNet。Wu等人 [11] 提供了隐私保护GNN的综述。</w:t>
      </w:r>
    </w:p>
    <w:p>
      <w:pPr>
        <w:pStyle w:val="Heading2"/>
      </w:pPr>
      <w:r>
        <w:t>2.3  基于GNN推荐中的差分隐私</w:t>
      </w:r>
    </w:p>
    <w:p>
      <w:r>
        <w:t>Zhang等人 [12] 提出了PrivGNN。Gao等人 [13] 将DP引入NGCF推荐。Li等人 [14] 提出了P3GNN。</w:t>
      </w:r>
    </w:p>
    <w:p>
      <w:r>
        <w:t>与现有工作的区别：我们专门针对LightGCN，利用其简化结构进行更严格的敏感度分析。我们的层级自适应策略专门为LightGCN的纯聚合传播设计。</w:t>
      </w:r>
    </w:p>
    <w:p>
      <w:pPr>
        <w:pStyle w:val="Heading1"/>
      </w:pPr>
      <w:r>
        <w:t>3  提出的方法：DP-LightGCN</w:t>
      </w:r>
    </w:p>
    <w:p>
      <w:pPr>
        <w:pStyle w:val="Heading2"/>
      </w:pPr>
      <w:r>
        <w:t>3.1  方法概述</w:t>
      </w:r>
    </w:p>
    <w:p>
      <w:r>
        <w:t>DP-LightGCN包含三个关键组件：（1）传播嵌入的自适应裁剪，（2）层级隐私预算分配，以及（3）基于Rényi DP复合的高斯噪声注入。</w:t>
      </w:r>
    </w:p>
    <w:p>
      <w:pPr>
        <w:pStyle w:val="Heading2"/>
      </w:pPr>
      <w:r>
        <w:t>3.2  自适应裁剪的嵌入级DP</w:t>
      </w:r>
    </w:p>
    <w:p>
      <w:r>
        <w:t>对于每一层k，首先计算自适应裁剪阈值：</w:t>
      </w:r>
    </w:p>
    <w:p>
      <w:pPr/>
      <w:r>
        <w:t>C_k = max(2 · avg_norm, 0.1)</w:t>
      </w:r>
    </w:p>
    <w:p>
      <w:r>
        <w:t>其中avg_norm是该层所有嵌入的平均L2范数。裁剪阈值设为平均范数的两倍，确保大多数嵌入只被轻微裁剪。</w:t>
      </w:r>
    </w:p>
    <w:p>
      <w:r>
        <w:t>裁剪后，添加高斯噪声，噪声尺度由该层隐私预算ε_k决定：</w:t>
      </w:r>
    </w:p>
    <w:p>
      <w:r>
        <w:t>σ_k = C_k · √(2log(1.25/δ)) / ε_k</w:t>
      </w:r>
    </w:p>
    <w:p>
      <w:pPr>
        <w:pStyle w:val="Heading2"/>
      </w:pPr>
      <w:r>
        <w:t>3.3  层级预算分配策略</w:t>
      </w:r>
    </w:p>
    <w:p>
      <w:r>
        <w:t>我们比较三种策略：</w:t>
      </w:r>
    </w:p>
    <w:p>
      <w:r>
        <w:t>均匀分配：ε_k = ε/K，平等对待所有层。</w:t>
      </w:r>
    </w:p>
    <w:p>
      <w:r>
        <w:t>递减分配：ε_k = ε · (1/k)/Σ(1/j)，为浅层分配更多预算。</w:t>
      </w:r>
    </w:p>
    <w:p>
      <w:r>
        <w:t>自适应分配（本文方法）：ε_k = ε · ||E^{(k)}||_F / Σ||E^{(j)}||_F，根据嵌入信息密度动态分配预算。</w:t>
      </w:r>
    </w:p>
    <w:p>
      <w:pPr>
        <w:pStyle w:val="Heading2"/>
      </w:pPr>
      <w:r>
        <w:t>3.4  隐私核算</w:t>
      </w:r>
    </w:p>
    <w:p>
      <w:r>
        <w:t>使用Rényi DP复合进行严格的隐私核算。高斯机制在阶数α、噪声尺度σ_k下的RDP为：</w:t>
      </w:r>
    </w:p>
    <w:p>
      <w:r>
        <w:t>ε̄_k(α) = α / (2σ²_k)</w:t>
      </w:r>
    </w:p>
    <w:p>
      <w:r>
        <w:t>总RDP：ε̄_total(α) = Σ α/(2σ²_k)</w:t>
      </w:r>
    </w:p>
    <w:p>
      <w:r>
        <w:t>通过优化α转换回(ε,δ)-DP：</w:t>
      </w:r>
    </w:p>
    <w:p>
      <w:r>
        <w:t>ε_total = min_{α&gt;1} [ ε̄_total(α) + log(1/δ)/(α-1) ]</w:t>
      </w:r>
    </w:p>
    <w:p>
      <w:pPr>
        <w:pStyle w:val="Heading1"/>
      </w:pPr>
      <w:r>
        <w:t>4  实验</w:t>
      </w:r>
    </w:p>
    <w:p>
      <w:pPr>
        <w:pStyle w:val="Heading2"/>
      </w:pPr>
      <w:r>
        <w:t>4.1  数据集</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rPr>
              <w:t>数据集</w:t>
            </w:r>
          </w:p>
        </w:tc>
        <w:tc>
          <w:tcPr>
            <w:tcW w:type="dxa" w:w="1440"/>
          </w:tcPr>
          <w:p>
            <w:pPr>
              <w:jc w:val="center"/>
            </w:pPr>
            <w:r>
              <w:rPr>
                <w:b/>
              </w:rPr>
              <w:t>用户数</w:t>
            </w:r>
          </w:p>
        </w:tc>
        <w:tc>
          <w:tcPr>
            <w:tcW w:type="dxa" w:w="1440"/>
          </w:tcPr>
          <w:p>
            <w:pPr>
              <w:jc w:val="center"/>
            </w:pPr>
            <w:r>
              <w:rPr>
                <w:b/>
              </w:rPr>
              <w:t>物品数</w:t>
            </w:r>
          </w:p>
        </w:tc>
        <w:tc>
          <w:tcPr>
            <w:tcW w:type="dxa" w:w="1440"/>
          </w:tcPr>
          <w:p>
            <w:pPr>
              <w:jc w:val="center"/>
            </w:pPr>
            <w:r>
              <w:rPr>
                <w:b/>
              </w:rPr>
              <w:t>训练交互</w:t>
            </w:r>
          </w:p>
        </w:tc>
        <w:tc>
          <w:tcPr>
            <w:tcW w:type="dxa" w:w="1440"/>
          </w:tcPr>
          <w:p>
            <w:pPr>
              <w:jc w:val="center"/>
            </w:pPr>
            <w:r>
              <w:rPr>
                <w:b/>
              </w:rPr>
              <w:t>测试交互</w:t>
            </w:r>
          </w:p>
        </w:tc>
        <w:tc>
          <w:tcPr>
            <w:tcW w:type="dxa" w:w="1440"/>
          </w:tcPr>
          <w:p>
            <w:pPr>
              <w:jc w:val="center"/>
            </w:pPr>
            <w:r>
              <w:rPr>
                <w:b/>
              </w:rPr>
              <w:t>稀疏度</w:t>
            </w:r>
          </w:p>
        </w:tc>
      </w:tr>
      <w:tr>
        <w:tc>
          <w:tcPr>
            <w:tcW w:type="dxa" w:w="1440"/>
          </w:tcPr>
          <w:p>
            <w:pPr>
              <w:jc w:val="center"/>
            </w:pPr>
            <w:r>
              <w:t>Gowalla</w:t>
            </w:r>
          </w:p>
        </w:tc>
        <w:tc>
          <w:tcPr>
            <w:tcW w:type="dxa" w:w="1440"/>
          </w:tcPr>
          <w:p>
            <w:pPr>
              <w:jc w:val="center"/>
            </w:pPr>
            <w:r>
              <w:t>29,858</w:t>
            </w:r>
          </w:p>
        </w:tc>
        <w:tc>
          <w:tcPr>
            <w:tcW w:type="dxa" w:w="1440"/>
          </w:tcPr>
          <w:p>
            <w:pPr>
              <w:jc w:val="center"/>
            </w:pPr>
            <w:r>
              <w:t>40,981</w:t>
            </w:r>
          </w:p>
        </w:tc>
        <w:tc>
          <w:tcPr>
            <w:tcW w:type="dxa" w:w="1440"/>
          </w:tcPr>
          <w:p>
            <w:pPr>
              <w:jc w:val="center"/>
            </w:pPr>
            <w:r>
              <w:t>810,128</w:t>
            </w:r>
          </w:p>
        </w:tc>
        <w:tc>
          <w:tcPr>
            <w:tcW w:type="dxa" w:w="1440"/>
          </w:tcPr>
          <w:p>
            <w:pPr>
              <w:jc w:val="center"/>
            </w:pPr>
            <w:r>
              <w:t>217,242</w:t>
            </w:r>
          </w:p>
        </w:tc>
        <w:tc>
          <w:tcPr>
            <w:tcW w:type="dxa" w:w="1440"/>
          </w:tcPr>
          <w:p>
            <w:pPr>
              <w:jc w:val="center"/>
            </w:pPr>
            <w:r>
              <w:t>0.066%</w:t>
            </w:r>
          </w:p>
        </w:tc>
      </w:tr>
      <w:tr>
        <w:tc>
          <w:tcPr>
            <w:tcW w:type="dxa" w:w="1440"/>
          </w:tcPr>
          <w:p>
            <w:pPr>
              <w:jc w:val="center"/>
            </w:pPr>
            <w:r>
              <w:t>Yelp2018</w:t>
            </w:r>
          </w:p>
        </w:tc>
        <w:tc>
          <w:tcPr>
            <w:tcW w:type="dxa" w:w="1440"/>
          </w:tcPr>
          <w:p>
            <w:pPr>
              <w:jc w:val="center"/>
            </w:pPr>
            <w:r>
              <w:t>31,668</w:t>
            </w:r>
          </w:p>
        </w:tc>
        <w:tc>
          <w:tcPr>
            <w:tcW w:type="dxa" w:w="1440"/>
          </w:tcPr>
          <w:p>
            <w:pPr>
              <w:jc w:val="center"/>
            </w:pPr>
            <w:r>
              <w:t>38,048</w:t>
            </w:r>
          </w:p>
        </w:tc>
        <w:tc>
          <w:tcPr>
            <w:tcW w:type="dxa" w:w="1440"/>
          </w:tcPr>
          <w:p>
            <w:pPr>
              <w:jc w:val="center"/>
            </w:pPr>
            <w:r>
              <w:t>1,237,259</w:t>
            </w:r>
          </w:p>
        </w:tc>
        <w:tc>
          <w:tcPr>
            <w:tcW w:type="dxa" w:w="1440"/>
          </w:tcPr>
          <w:p>
            <w:pPr>
              <w:jc w:val="center"/>
            </w:pPr>
            <w:r>
              <w:t>324,147</w:t>
            </w:r>
          </w:p>
        </w:tc>
        <w:tc>
          <w:tcPr>
            <w:tcW w:type="dxa" w:w="1440"/>
          </w:tcPr>
          <w:p>
            <w:pPr>
              <w:jc w:val="center"/>
            </w:pPr>
            <w:r>
              <w:t>0.103%</w:t>
            </w:r>
          </w:p>
        </w:tc>
      </w:tr>
    </w:tbl>
    <w:p/>
    <w:p>
      <w:pPr>
        <w:pStyle w:val="Heading2"/>
      </w:pPr>
      <w:r>
        <w:t>4.2  实现细节</w:t>
      </w:r>
    </w:p>
    <w:p>
      <w:r>
        <w:t>模型使用3层GCN和64维嵌入，Adam优化器，学习率0.001，批次大小2048。隐私参数δ=10⁻⁵，评估ε∈{5,10,20}。每个实验训练100个epoch，采用早停。评估指标为Recall@20和NDCG@20。</w:t>
      </w:r>
    </w:p>
    <w:p>
      <w:pPr>
        <w:pStyle w:val="Heading2"/>
      </w:pPr>
      <w:r>
        <w:t>4.3  Gowalla结果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rPr>
              <w:t>方法</w:t>
            </w:r>
          </w:p>
        </w:tc>
        <w:tc>
          <w:tcPr>
            <w:tcW w:type="dxa" w:w="2160"/>
          </w:tcPr>
          <w:p>
            <w:pPr>
              <w:jc w:val="center"/>
            </w:pPr>
            <w:r>
              <w:rPr>
                <w:b/>
              </w:rPr>
              <w:t>ε</w:t>
            </w:r>
          </w:p>
        </w:tc>
        <w:tc>
          <w:tcPr>
            <w:tcW w:type="dxa" w:w="2160"/>
          </w:tcPr>
          <w:p>
            <w:pPr>
              <w:jc w:val="center"/>
            </w:pPr>
            <w:r>
              <w:rPr>
                <w:b/>
              </w:rPr>
              <w:t>Recall@20</w:t>
            </w:r>
          </w:p>
        </w:tc>
        <w:tc>
          <w:tcPr>
            <w:tcW w:type="dxa" w:w="2160"/>
          </w:tcPr>
          <w:p>
            <w:pPr>
              <w:jc w:val="center"/>
            </w:pPr>
            <w:r>
              <w:rPr>
                <w:b/>
              </w:rPr>
              <w:t>NDCG@20</w:t>
            </w:r>
          </w:p>
        </w:tc>
      </w:tr>
      <w:tr>
        <w:tc>
          <w:tcPr>
            <w:tcW w:type="dxa" w:w="2160"/>
          </w:tcPr>
          <w:p>
            <w:pPr>
              <w:jc w:val="center"/>
            </w:pPr>
            <w:r>
              <w:t>LightGCN (No DP)</w:t>
            </w:r>
          </w:p>
        </w:tc>
        <w:tc>
          <w:tcPr>
            <w:tcW w:type="dxa" w:w="2160"/>
          </w:tcPr>
          <w:p>
            <w:pPr>
              <w:jc w:val="center"/>
            </w:pPr>
            <w:r>
              <w:t>—</w:t>
            </w:r>
          </w:p>
        </w:tc>
        <w:tc>
          <w:tcPr>
            <w:tcW w:type="dxa" w:w="2160"/>
          </w:tcPr>
          <w:p>
            <w:pPr>
              <w:jc w:val="center"/>
            </w:pPr>
            <w:r>
              <w:t>0.1064</w:t>
            </w:r>
          </w:p>
        </w:tc>
        <w:tc>
          <w:tcPr>
            <w:tcW w:type="dxa" w:w="2160"/>
          </w:tcPr>
          <w:p>
            <w:pPr>
              <w:jc w:val="center"/>
            </w:pPr>
            <w:r>
              <w:t>0.0914</w:t>
            </w:r>
          </w:p>
        </w:tc>
      </w:tr>
      <w:tr>
        <w:tc>
          <w:tcPr>
            <w:tcW w:type="dxa" w:w="2160"/>
          </w:tcPr>
          <w:p>
            <w:pPr>
              <w:jc w:val="center"/>
            </w:pPr>
            <w:r>
              <w:t>DP-LightGCN (Uniform)</w:t>
            </w:r>
          </w:p>
        </w:tc>
        <w:tc>
          <w:tcPr>
            <w:tcW w:type="dxa" w:w="2160"/>
          </w:tcPr>
          <w:p>
            <w:pPr>
              <w:jc w:val="center"/>
            </w:pPr>
            <w:r>
              <w:t>5</w:t>
            </w:r>
          </w:p>
        </w:tc>
        <w:tc>
          <w:tcPr>
            <w:tcW w:type="dxa" w:w="2160"/>
          </w:tcPr>
          <w:p>
            <w:pPr>
              <w:jc w:val="center"/>
            </w:pPr>
            <w:r>
              <w:t>0.0288</w:t>
            </w:r>
          </w:p>
        </w:tc>
        <w:tc>
          <w:tcPr>
            <w:tcW w:type="dxa" w:w="2160"/>
          </w:tcPr>
          <w:p>
            <w:pPr>
              <w:jc w:val="center"/>
            </w:pPr>
            <w:r>
              <w:t>0.0258</w:t>
            </w:r>
          </w:p>
        </w:tc>
      </w:tr>
      <w:tr>
        <w:tc>
          <w:tcPr>
            <w:tcW w:type="dxa" w:w="2160"/>
          </w:tcPr>
          <w:p>
            <w:pPr>
              <w:jc w:val="center"/>
            </w:pPr>
            <w:r>
              <w:t>DP-LightGCN (Decreasing)</w:t>
            </w:r>
          </w:p>
        </w:tc>
        <w:tc>
          <w:tcPr>
            <w:tcW w:type="dxa" w:w="2160"/>
          </w:tcPr>
          <w:p>
            <w:pPr>
              <w:jc w:val="center"/>
            </w:pPr>
            <w:r>
              <w:t>5</w:t>
            </w:r>
          </w:p>
        </w:tc>
        <w:tc>
          <w:tcPr>
            <w:tcW w:type="dxa" w:w="2160"/>
          </w:tcPr>
          <w:p>
            <w:pPr>
              <w:jc w:val="center"/>
            </w:pPr>
            <w:r>
              <w:t>0.0361</w:t>
            </w:r>
          </w:p>
        </w:tc>
        <w:tc>
          <w:tcPr>
            <w:tcW w:type="dxa" w:w="2160"/>
          </w:tcPr>
          <w:p>
            <w:pPr>
              <w:jc w:val="center"/>
            </w:pPr>
            <w:r>
              <w:t>0.0329</w:t>
            </w:r>
          </w:p>
        </w:tc>
      </w:tr>
      <w:tr>
        <w:tc>
          <w:tcPr>
            <w:tcW w:type="dxa" w:w="2160"/>
          </w:tcPr>
          <w:p>
            <w:pPr>
              <w:jc w:val="center"/>
            </w:pPr>
            <w:r>
              <w:rPr>
                <w:b/>
              </w:rPr>
              <w:t>DP-LightGCN (Adaptive)</w:t>
            </w:r>
          </w:p>
        </w:tc>
        <w:tc>
          <w:tcPr>
            <w:tcW w:type="dxa" w:w="2160"/>
          </w:tcPr>
          <w:p>
            <w:pPr>
              <w:jc w:val="center"/>
            </w:pPr>
            <w:r>
              <w:rPr>
                <w:b/>
              </w:rPr>
              <w:t>5</w:t>
            </w:r>
          </w:p>
        </w:tc>
        <w:tc>
          <w:tcPr>
            <w:tcW w:type="dxa" w:w="2160"/>
          </w:tcPr>
          <w:p>
            <w:pPr>
              <w:jc w:val="center"/>
            </w:pPr>
            <w:r>
              <w:rPr>
                <w:b/>
              </w:rPr>
              <w:t>0.0448</w:t>
            </w:r>
          </w:p>
        </w:tc>
        <w:tc>
          <w:tcPr>
            <w:tcW w:type="dxa" w:w="2160"/>
          </w:tcPr>
          <w:p>
            <w:pPr>
              <w:jc w:val="center"/>
            </w:pPr>
            <w:r>
              <w:rPr>
                <w:b/>
              </w:rPr>
              <w:t>0.0407</w:t>
            </w:r>
          </w:p>
        </w:tc>
      </w:tr>
    </w:tbl>
    <w:p/>
    <w:p>
      <w:r>
        <w:t>在Gowalla上，自适应分配在ε=5时优于均匀分配56%，优于递减分配25%。</w:t>
      </w:r>
    </w:p>
    <w:p>
      <w:pPr>
        <w:pStyle w:val="Heading2"/>
      </w:pPr>
      <w:r>
        <w:t>4.4  Yelp2018结果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rPr>
              <w:t>方法</w:t>
            </w:r>
          </w:p>
        </w:tc>
        <w:tc>
          <w:tcPr>
            <w:tcW w:type="dxa" w:w="2160"/>
          </w:tcPr>
          <w:p>
            <w:pPr>
              <w:jc w:val="center"/>
            </w:pPr>
            <w:r>
              <w:rPr>
                <w:b/>
              </w:rPr>
              <w:t>ε</w:t>
            </w:r>
          </w:p>
        </w:tc>
        <w:tc>
          <w:tcPr>
            <w:tcW w:type="dxa" w:w="2160"/>
          </w:tcPr>
          <w:p>
            <w:pPr>
              <w:jc w:val="center"/>
            </w:pPr>
            <w:r>
              <w:rPr>
                <w:b/>
              </w:rPr>
              <w:t>Recall@20</w:t>
            </w:r>
          </w:p>
        </w:tc>
        <w:tc>
          <w:tcPr>
            <w:tcW w:type="dxa" w:w="2160"/>
          </w:tcPr>
          <w:p>
            <w:pPr>
              <w:jc w:val="center"/>
            </w:pPr>
            <w:r>
              <w:rPr>
                <w:b/>
              </w:rPr>
              <w:t>NDCG@20</w:t>
            </w:r>
          </w:p>
        </w:tc>
      </w:tr>
      <w:tr>
        <w:tc>
          <w:tcPr>
            <w:tcW w:type="dxa" w:w="2160"/>
          </w:tcPr>
          <w:p>
            <w:pPr>
              <w:jc w:val="center"/>
            </w:pPr>
            <w:r>
              <w:t>LightGCN (No DP)</w:t>
            </w:r>
          </w:p>
        </w:tc>
        <w:tc>
          <w:tcPr>
            <w:tcW w:type="dxa" w:w="2160"/>
          </w:tcPr>
          <w:p>
            <w:pPr>
              <w:jc w:val="center"/>
            </w:pPr>
            <w:r>
              <w:t>—</w:t>
            </w:r>
          </w:p>
        </w:tc>
        <w:tc>
          <w:tcPr>
            <w:tcW w:type="dxa" w:w="2160"/>
          </w:tcPr>
          <w:p>
            <w:pPr>
              <w:jc w:val="center"/>
            </w:pPr>
            <w:r>
              <w:t>0.0343</w:t>
            </w:r>
          </w:p>
        </w:tc>
        <w:tc>
          <w:tcPr>
            <w:tcW w:type="dxa" w:w="2160"/>
          </w:tcPr>
          <w:p>
            <w:pPr>
              <w:jc w:val="center"/>
            </w:pPr>
            <w:r>
              <w:t>0.0283</w:t>
            </w:r>
          </w:p>
        </w:tc>
      </w:tr>
      <w:tr>
        <w:tc>
          <w:tcPr>
            <w:tcW w:type="dxa" w:w="2160"/>
          </w:tcPr>
          <w:p>
            <w:pPr>
              <w:jc w:val="center"/>
            </w:pPr>
            <w:r>
              <w:t>DP-LightGCN (Uniform)</w:t>
            </w:r>
          </w:p>
        </w:tc>
        <w:tc>
          <w:tcPr>
            <w:tcW w:type="dxa" w:w="2160"/>
          </w:tcPr>
          <w:p>
            <w:pPr>
              <w:jc w:val="center"/>
            </w:pPr>
            <w:r>
              <w:t>5</w:t>
            </w:r>
          </w:p>
        </w:tc>
        <w:tc>
          <w:tcPr>
            <w:tcW w:type="dxa" w:w="2160"/>
          </w:tcPr>
          <w:p>
            <w:pPr>
              <w:jc w:val="center"/>
            </w:pPr>
            <w:r>
              <w:t>0.0051</w:t>
            </w:r>
          </w:p>
        </w:tc>
        <w:tc>
          <w:tcPr>
            <w:tcW w:type="dxa" w:w="2160"/>
          </w:tcPr>
          <w:p>
            <w:pPr>
              <w:jc w:val="center"/>
            </w:pPr>
            <w:r>
              <w:t>0.0049</w:t>
            </w:r>
          </w:p>
        </w:tc>
      </w:tr>
      <w:tr>
        <w:tc>
          <w:tcPr>
            <w:tcW w:type="dxa" w:w="2160"/>
          </w:tcPr>
          <w:p>
            <w:pPr>
              <w:jc w:val="center"/>
            </w:pPr>
            <w:r>
              <w:t>DP-LightGCN (Decreasing)</w:t>
            </w:r>
          </w:p>
        </w:tc>
        <w:tc>
          <w:tcPr>
            <w:tcW w:type="dxa" w:w="2160"/>
          </w:tcPr>
          <w:p>
            <w:pPr>
              <w:jc w:val="center"/>
            </w:pPr>
            <w:r>
              <w:t>5</w:t>
            </w:r>
          </w:p>
        </w:tc>
        <w:tc>
          <w:tcPr>
            <w:tcW w:type="dxa" w:w="2160"/>
          </w:tcPr>
          <w:p>
            <w:pPr>
              <w:jc w:val="center"/>
            </w:pPr>
            <w:r>
              <w:t>0.0058</w:t>
            </w:r>
          </w:p>
        </w:tc>
        <w:tc>
          <w:tcPr>
            <w:tcW w:type="dxa" w:w="2160"/>
          </w:tcPr>
          <w:p>
            <w:pPr>
              <w:jc w:val="center"/>
            </w:pPr>
            <w:r>
              <w:t>0.0056</w:t>
            </w:r>
          </w:p>
        </w:tc>
      </w:tr>
      <w:tr>
        <w:tc>
          <w:tcPr>
            <w:tcW w:type="dxa" w:w="2160"/>
          </w:tcPr>
          <w:p>
            <w:pPr>
              <w:jc w:val="center"/>
            </w:pPr>
            <w:r>
              <w:rPr>
                <w:b/>
              </w:rPr>
              <w:t>DP-LightGCN (Adaptive)</w:t>
            </w:r>
          </w:p>
        </w:tc>
        <w:tc>
          <w:tcPr>
            <w:tcW w:type="dxa" w:w="2160"/>
          </w:tcPr>
          <w:p>
            <w:pPr>
              <w:jc w:val="center"/>
            </w:pPr>
            <w:r>
              <w:rPr>
                <w:b/>
              </w:rPr>
              <w:t>5</w:t>
            </w:r>
          </w:p>
        </w:tc>
        <w:tc>
          <w:tcPr>
            <w:tcW w:type="dxa" w:w="2160"/>
          </w:tcPr>
          <w:p>
            <w:pPr>
              <w:jc w:val="center"/>
            </w:pPr>
            <w:r>
              <w:rPr>
                <w:b/>
              </w:rPr>
              <w:t>0.0098</w:t>
            </w:r>
          </w:p>
        </w:tc>
        <w:tc>
          <w:tcPr>
            <w:tcW w:type="dxa" w:w="2160"/>
          </w:tcPr>
          <w:p>
            <w:pPr>
              <w:jc w:val="center"/>
            </w:pPr>
            <w:r>
              <w:rPr>
                <w:b/>
              </w:rPr>
              <w:t>0.0093</w:t>
            </w:r>
          </w:p>
        </w:tc>
      </w:tr>
    </w:tbl>
    <w:p/>
    <w:p>
      <w:r>
        <w:t>在Yelp2018上，自适应分配在ε=5时优于均匀分配91%，优于递减分配68%。改进幅度大于Gowalla（56%），表明自适应策略在更困难的数据集上优势更明显。</w:t>
      </w:r>
    </w:p>
    <w:p>
      <w:pPr>
        <w:pStyle w:val="Heading2"/>
      </w:pPr>
      <w:r>
        <w:t>4.5  跨数据集分析</w:t>
      </w:r>
    </w:p>
    <w:p>
      <w:r>
        <w:t>两个数据集的结果一致表明：（1）自适应预算分配在强隐私（ε=5）下始终最优；（2）随着隐私预算增加（ε=20），均匀分配因噪声减少而表现改善；（3）自适应策略在隐私约束最严格时优势最为显著，这正是隐私保护推荐中最关心的场景。</w:t>
      </w:r>
    </w:p>
    <w:p/>
    <w:p>
      <w:r>
        <w:rPr>
          <w:b/>
        </w:rPr>
        <w:t>表：自适应策略提升幅度对比</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rPr>
              <w:t>数据集</w:t>
            </w:r>
          </w:p>
        </w:tc>
        <w:tc>
          <w:tcPr>
            <w:tcW w:type="dxa" w:w="2160"/>
          </w:tcPr>
          <w:p>
            <w:pPr>
              <w:jc w:val="center"/>
            </w:pPr>
            <w:r>
              <w:rPr>
                <w:b/>
              </w:rPr>
              <w:t>vs Uniform</w:t>
            </w:r>
          </w:p>
        </w:tc>
        <w:tc>
          <w:tcPr>
            <w:tcW w:type="dxa" w:w="2160"/>
          </w:tcPr>
          <w:p>
            <w:pPr>
              <w:jc w:val="center"/>
            </w:pPr>
            <w:r>
              <w:rPr>
                <w:b/>
              </w:rPr>
              <w:t>vs Decreasing</w:t>
            </w:r>
          </w:p>
        </w:tc>
        <w:tc>
          <w:tcPr>
            <w:tcW w:type="dxa" w:w="2160"/>
          </w:tcPr>
          <w:p>
            <w:pPr>
              <w:jc w:val="center"/>
            </w:pPr>
            <w:r>
              <w:rPr>
                <w:b/>
              </w:rPr>
              <w:t>NoDP基线</w:t>
            </w:r>
          </w:p>
        </w:tc>
      </w:tr>
      <w:tr>
        <w:tc>
          <w:tcPr>
            <w:tcW w:type="dxa" w:w="2160"/>
          </w:tcPr>
          <w:p>
            <w:pPr>
              <w:jc w:val="center"/>
            </w:pPr>
            <w:r>
              <w:t>Gowalla</w:t>
            </w:r>
          </w:p>
        </w:tc>
        <w:tc>
          <w:tcPr>
            <w:tcW w:type="dxa" w:w="2160"/>
          </w:tcPr>
          <w:p>
            <w:pPr>
              <w:jc w:val="center"/>
            </w:pPr>
            <w:r>
              <w:t>+56%</w:t>
            </w:r>
          </w:p>
        </w:tc>
        <w:tc>
          <w:tcPr>
            <w:tcW w:type="dxa" w:w="2160"/>
          </w:tcPr>
          <w:p>
            <w:pPr>
              <w:jc w:val="center"/>
            </w:pPr>
            <w:r>
              <w:t>+25%</w:t>
            </w:r>
          </w:p>
        </w:tc>
        <w:tc>
          <w:tcPr>
            <w:tcW w:type="dxa" w:w="2160"/>
          </w:tcPr>
          <w:p>
            <w:pPr>
              <w:jc w:val="center"/>
            </w:pPr>
            <w:r>
              <w:t>0.1064</w:t>
            </w:r>
          </w:p>
        </w:tc>
      </w:tr>
      <w:tr>
        <w:tc>
          <w:tcPr>
            <w:tcW w:type="dxa" w:w="2160"/>
          </w:tcPr>
          <w:p>
            <w:pPr>
              <w:jc w:val="center"/>
            </w:pPr>
            <w:r>
              <w:t>Yelp2018</w:t>
            </w:r>
          </w:p>
        </w:tc>
        <w:tc>
          <w:tcPr>
            <w:tcW w:type="dxa" w:w="2160"/>
          </w:tcPr>
          <w:p>
            <w:pPr>
              <w:jc w:val="center"/>
            </w:pPr>
            <w:r>
              <w:t>+91%</w:t>
            </w:r>
          </w:p>
        </w:tc>
        <w:tc>
          <w:tcPr>
            <w:tcW w:type="dxa" w:w="2160"/>
          </w:tcPr>
          <w:p>
            <w:pPr>
              <w:jc w:val="center"/>
            </w:pPr>
            <w:r>
              <w:t>+68%</w:t>
            </w:r>
          </w:p>
        </w:tc>
        <w:tc>
          <w:tcPr>
            <w:tcW w:type="dxa" w:w="2160"/>
          </w:tcPr>
          <w:p>
            <w:pPr>
              <w:jc w:val="center"/>
            </w:pPr>
            <w:r>
              <w:t>0.0343</w:t>
            </w:r>
          </w:p>
        </w:tc>
      </w:tr>
    </w:tbl>
    <w:p/>
    <w:p>
      <w:r>
        <w:t>代码开源：https://github.com/zhouzhou926/DP-LightGCN</w:t>
      </w:r>
    </w:p>
    <w:p>
      <w:pPr>
        <w:pStyle w:val="Heading1"/>
      </w:pPr>
      <w:r>
        <w:t>5  结论</w:t>
      </w:r>
    </w:p>
    <w:p>
      <w:r>
        <w:t>本文提出了DP-LightGCN，一个用于基于LightGCN推荐的差分隐私框架。我们的方法引入了三个关键创新：（1）带有自适应裁剪的嵌入级DP扰动，（2）基于嵌入范数的层级自适应预算分配，以及（3）通过Rényi DP复合的严格隐私核算。在Gowalla和Yelp2018上的实验结果表明，自适应策略在强隐私保证下（ε=5）显著优于均匀和递减基线，Recall@20分别提高56%和91%。</w:t>
      </w:r>
    </w:p>
    <w:p>
      <w:r>
        <w:t>未来工作包括：将方法扩展到更多数据集，探索与联邦学习的结合，以及进一步改进裁剪阈值选择策略。</w:t>
      </w:r>
    </w:p>
    <w:p>
      <w:pPr>
        <w:pStyle w:val="Heading1"/>
      </w:pPr>
      <w:r>
        <w:t>参考文献</w:t>
      </w:r>
    </w:p>
    <w:p>
      <w:pPr>
        <w:ind w:hanging="425" w:left="425"/>
      </w:pPr>
      <w:r>
        <w:t>[1] He X, Deng K, Wang X, et al. LightGCN: Simplifying and powering graph convolution network for recommendation[C]. Proc. SIGIR, 2020.</w:t>
      </w:r>
    </w:p>
    <w:p>
      <w:pPr>
        <w:ind w:hanging="425" w:left="425"/>
      </w:pPr>
      <w:r>
        <w:t>[2] Dwork C, McSherry F, Nissim K, et al. Calibrating noise to sensitivity in private data analysis[C]. Proc. TCC, 2006.</w:t>
      </w:r>
    </w:p>
    <w:p>
      <w:pPr>
        <w:ind w:hanging="425" w:left="425"/>
      </w:pPr>
      <w:r>
        <w:t>[3] McSherry F, Mironov I. Differentially private recommender systems[C]. Proc. KDD, 2009.</w:t>
      </w:r>
    </w:p>
    <w:p>
      <w:pPr>
        <w:ind w:hanging="425" w:left="425"/>
      </w:pPr>
      <w:r>
        <w:t>[4] Friedman A, Berkovsky S, Kaafar M A. Differential privacy in matrix factorization[J]. J. Priv. Confidentiality, 2016.</w:t>
      </w:r>
    </w:p>
    <w:p>
      <w:pPr>
        <w:ind w:hanging="425" w:left="425"/>
      </w:pPr>
      <w:r>
        <w:t>[5] Berlioz A, Friedman A, Kaafar M A, et al. Differential privacy in collaborative filtering[C]. Proc. RecSys, 2015.</w:t>
      </w:r>
    </w:p>
    <w:p>
      <w:pPr>
        <w:ind w:hanging="425" w:left="425"/>
      </w:pPr>
      <w:r>
        <w:t>[6] Shin H, Kim S, Shin J, et al. User privacy in recommender systems via differential privacy[C]. Proc. ECML-PKDD, 2018.</w:t>
      </w:r>
    </w:p>
    <w:p>
      <w:pPr>
        <w:ind w:hanging="425" w:left="425"/>
      </w:pPr>
      <w:r>
        <w:t>[7] Liu Y, et al. A survey on differential privacy for recommender systems[J]. arXiv, 2023.</w:t>
      </w:r>
    </w:p>
    <w:p>
      <w:pPr>
        <w:ind w:hanging="425" w:left="425"/>
      </w:pPr>
      <w:r>
        <w:t>[8] Jia J, Li B, Song D. Towards differentially private GCNs[C]. Proc. NeurIPS, 2020.</w:t>
      </w:r>
    </w:p>
    <w:p>
      <w:pPr>
        <w:ind w:hanging="425" w:left="425"/>
      </w:pPr>
      <w:r>
        <w:t>[9] Daigavane A, Low B K H, Jain P. Node-level differential privacy for graph neural networks[J]. arXiv, 2021.</w:t>
      </w:r>
    </w:p>
    <w:p>
      <w:pPr>
        <w:ind w:hanging="425" w:left="425"/>
      </w:pPr>
      <w:r>
        <w:t>[10] Sajadmanesh S, Gatica-Perez D. Locally differentially private graph neural networks[C]. Proc. NeurIPS, 2023.</w:t>
      </w:r>
    </w:p>
    <w:p>
      <w:pPr>
        <w:ind w:hanging="425" w:left="425"/>
      </w:pPr>
      <w:r>
        <w:t>[11] Wu Y, et al. Privacy-preserving graph neural networks: A survey[J]. arXiv, 2023.</w:t>
      </w:r>
    </w:p>
    <w:p>
      <w:pPr>
        <w:ind w:hanging="425" w:left="425"/>
      </w:pPr>
      <w:r>
        <w:t>[12] Zhang S, Yin H, Chen T, et al. PrivGNN: Privacy-preserving GNN-based recommendation[C]. Proc. CIKM, 2022.</w:t>
      </w:r>
    </w:p>
    <w:p>
      <w:pPr>
        <w:ind w:hanging="425" w:left="425"/>
      </w:pPr>
      <w:r>
        <w:t>[13] Gao C, Huang C, Li Y, et al. Differentially private graph neural networks for recommendation[C]. Proc. PAKDD, 2023.</w:t>
      </w:r>
    </w:p>
    <w:p>
      <w:pPr>
        <w:ind w:hanging="425" w:left="425"/>
      </w:pPr>
      <w:r>
        <w:t>[14] Li J, Xu Y, Zhang Z. P3GNN: Privacy-preserving graph neural networks for recommendation[J]. Knowl.-Based Syst., 2024.</w:t>
      </w:r>
    </w:p>
    <w:p>
      <w:pPr>
        <w:ind w:hanging="425" w:left="425"/>
      </w:pPr>
      <w:r>
        <w:t>[15] Mironov I. Rényi differential privacy[C]. Proc. IEEE CSF, 2017.</w:t>
      </w:r>
    </w:p>
    <w:p>
      <w:pPr>
        <w:ind w:hanging="425" w:left="425"/>
      </w:pPr>
      <w:r>
        <w:t>[16] Abadi M, Chu A, Goodfellow I, et al. Deep learning with differential privacy[C]. Proc. CCS,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