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br/>
        <w:br/>
        <w:br/>
        <w:t>DP-LightGCN：基于层级自适应预算分配的</w:t>
        <w:br/>
        <w:t>差分隐私LightGCN推荐模型</w:t>
      </w:r>
    </w:p>
    <w:p>
      <w:pPr>
        <w:jc w:val="center"/>
      </w:pPr>
      <w:r>
        <w:rPr>
          <w:sz w:val="28"/>
        </w:rPr>
        <w:br/>
        <w:br/>
        <w:t>周舟</w:t>
        <w:br/>
      </w:r>
    </w:p>
    <w:p>
      <w:pPr>
        <w:jc w:val="center"/>
      </w:pPr>
      <w:r>
        <w:rPr>
          <w:sz w:val="24"/>
        </w:rPr>
        <w:br/>
        <w:t>2026年6月</w:t>
        <w:br/>
        <w:br/>
        <w:br/>
      </w:r>
    </w:p>
    <w:p>
      <w:pPr>
        <w:pStyle w:val="Heading1"/>
      </w:pPr>
      <w:r>
        <w:rPr>
          <w:rFonts w:ascii="黑体" w:hAnsi="黑体" w:eastAsia="黑体"/>
        </w:rPr>
        <w:t>摘要</w:t>
      </w:r>
    </w:p>
    <w:p>
      <w:r>
        <w:t>图神经网络（GNN），特别是LightGCN，在基于协同过滤的推荐系统中取得了显著成功。本文提出DP-LightGCN，一个将嵌入级高斯扰动与层级自适应预算分配机制相结合的差分隐私框架。在Gowalla、Yelp2018和Amazon-Book三个基准数据集上的实验结果表明，在强隐私保证（ε=5）下，自适应策略在Recall@20上比均匀分配分别高出56%、91%和98%。</w:t>
      </w:r>
    </w:p>
    <w:p>
      <w:r>
        <w:rPr>
          <w:b/>
        </w:rPr>
        <w:t>关键词：</w:t>
      </w:r>
      <w:r>
        <w:t>差分隐私；LightGCN；图神经网络；推荐系统；隐私保护</w:t>
      </w:r>
    </w:p>
    <w:p>
      <w:pPr>
        <w:pStyle w:val="Heading1"/>
      </w:pPr>
      <w:r>
        <w:rPr>
          <w:rFonts w:ascii="黑体" w:hAnsi="黑体" w:eastAsia="黑体"/>
        </w:rPr>
        <w:t>1  引言</w:t>
      </w:r>
    </w:p>
    <w:p>
      <w:r>
        <w:t>推荐系统已成为现代信息平台不可或缺的组成部分。LightGCN [1] 因其简化架构实现了最先进的性能。然而，用户交互数据包含敏感的个人信息，容易受到隐私攻击。差分隐私（DP）[2] 为隐私保护提供了严格的理论保证。</w:t>
      </w:r>
    </w:p>
    <w:p>
      <w:r>
        <w:t>本文的主要贡献如下：</w:t>
      </w:r>
    </w:p>
    <w:p>
      <w:r>
        <w:t>（1）层级自适应预算分配：基于嵌入范数动态分配隐私预算。</w:t>
      </w:r>
    </w:p>
    <w:p>
      <w:r>
        <w:t>（2）自适应裁剪机制：无需手动调整即可控制敏感度。</w:t>
      </w:r>
    </w:p>
    <w:p>
      <w:r>
        <w:t>（3）嵌入级DP扰动：对传播嵌入应用高斯噪声。</w:t>
      </w:r>
    </w:p>
    <w:p>
      <w:r>
        <w:t>（4）在三个基准数据集上验证了方法的有效性，自适应策略在ε=5时比均匀分配高56%-98%。</w:t>
      </w:r>
    </w:p>
    <w:p>
      <w:pPr>
        <w:pStyle w:val="Heading1"/>
      </w:pPr>
      <w:r>
        <w:rPr>
          <w:rFonts w:ascii="黑体" w:hAnsi="黑体" w:eastAsia="黑体"/>
        </w:rPr>
        <w:t>2  相关工作</w:t>
      </w:r>
    </w:p>
    <w:p>
      <w:pPr>
        <w:pStyle w:val="Heading2"/>
      </w:pPr>
      <w:r>
        <w:rPr>
          <w:rFonts w:ascii="黑体" w:hAnsi="黑体" w:eastAsia="黑体"/>
        </w:rPr>
        <w:t>2.1  推荐系统中的差分隐私</w:t>
      </w:r>
    </w:p>
    <w:p>
      <w:r>
        <w:t>McSherry和Mironov [3] 首次将DP引入推荐。Friedman等人 [4] 扩展到矩阵分解。Berlioz等人 [5] 比较了扰动策略。</w:t>
      </w:r>
    </w:p>
    <w:p>
      <w:pPr>
        <w:pStyle w:val="Heading2"/>
      </w:pPr>
      <w:r>
        <w:rPr>
          <w:rFonts w:ascii="黑体" w:hAnsi="黑体" w:eastAsia="黑体"/>
        </w:rPr>
        <w:t>2.2  隐私保护图神经网络</w:t>
      </w:r>
    </w:p>
    <w:p>
      <w:r>
        <w:t>Jia等人 [6] 提出了DP-GCN。Sajadmanesh等人 [7] 提出了LPGNet。</w:t>
      </w:r>
    </w:p>
    <w:p>
      <w:pPr>
        <w:pStyle w:val="Heading2"/>
      </w:pPr>
      <w:r>
        <w:rPr>
          <w:rFonts w:ascii="黑体" w:hAnsi="黑体" w:eastAsia="黑体"/>
        </w:rPr>
        <w:t>2.3  基于GNN推荐中的差分隐私</w:t>
      </w:r>
    </w:p>
    <w:p>
      <w:r>
        <w:t>Zhang等人 [8] 提出了PrivGNN。Gao等人 [9] 和Li等人 [10] 分别将DP引入NGCF和通用GCN推荐。</w:t>
      </w:r>
    </w:p>
    <w:p>
      <w:pPr>
        <w:pStyle w:val="Heading1"/>
      </w:pPr>
      <w:r>
        <w:rPr>
          <w:rFonts w:ascii="黑体" w:hAnsi="黑体" w:eastAsia="黑体"/>
        </w:rPr>
        <w:t>3  提出的方法：DP-LightGCN</w:t>
      </w:r>
    </w:p>
    <w:p>
      <w:pPr>
        <w:pStyle w:val="Heading2"/>
      </w:pPr>
      <w:r>
        <w:rPr>
          <w:rFonts w:ascii="黑体" w:hAnsi="黑体" w:eastAsia="黑体"/>
        </w:rPr>
        <w:t>3.1  方法概述</w:t>
      </w:r>
    </w:p>
    <w:p>
      <w:r>
        <w:t>DP-LightGCN包含：自适应裁剪、层级预算分配、RDP复合隐私核算。</w:t>
      </w:r>
    </w:p>
    <w:p>
      <w:pPr>
        <w:pStyle w:val="Heading2"/>
      </w:pPr>
      <w:r>
        <w:rPr>
          <w:rFonts w:ascii="黑体" w:hAnsi="黑体" w:eastAsia="黑体"/>
        </w:rPr>
        <w:t>3.2  自适应裁剪</w:t>
      </w:r>
    </w:p>
    <w:p>
      <w:r>
        <w:t>裁剪阈值：C_k = max(2 · avg_norm, 0.1)，噪声尺度：σ_k = C_k · √(2log(1.25/δ)) / ε_k</w:t>
      </w:r>
    </w:p>
    <w:p>
      <w:pPr>
        <w:pStyle w:val="Heading2"/>
      </w:pPr>
      <w:r>
        <w:rPr>
          <w:rFonts w:ascii="黑体" w:hAnsi="黑体" w:eastAsia="黑体"/>
        </w:rPr>
        <w:t>3.3  预算分配策略</w:t>
      </w:r>
    </w:p>
    <w:p>
      <w:r>
        <w:t>均匀分配：ε_k = ε/K</w:t>
      </w:r>
    </w:p>
    <w:p>
      <w:r>
        <w:t>递减分配：ε_k = ε · (1/k)/Σ(1/j)</w:t>
      </w:r>
    </w:p>
    <w:p>
      <w:r>
        <w:t>自适应分配：ε_k = ε · ||E^{(k)}||_F / Σ||E^{(j)}||_F（本文方法）</w:t>
      </w:r>
    </w:p>
    <w:p>
      <w:pPr>
        <w:pStyle w:val="Heading2"/>
      </w:pPr>
      <w:r>
        <w:rPr>
          <w:rFonts w:ascii="黑体" w:hAnsi="黑体" w:eastAsia="黑体"/>
        </w:rPr>
        <w:t>3.4  隐私核算</w:t>
      </w:r>
    </w:p>
    <w:p>
      <w:r>
        <w:t>使用Rényi DP复合。各层RDP：ε̄_k(α) = α/(2σ²_k)，总RDP累加后转换回(ε,δ)-DP。</w:t>
      </w:r>
    </w:p>
    <w:p>
      <w:pPr>
        <w:pStyle w:val="Heading1"/>
      </w:pPr>
      <w:r>
        <w:rPr>
          <w:rFonts w:ascii="黑体" w:hAnsi="黑体" w:eastAsia="黑体"/>
        </w:rPr>
        <w:t>4  实验</w:t>
      </w:r>
    </w:p>
    <w:p>
      <w:pPr>
        <w:pStyle w:val="Heading2"/>
      </w:pPr>
      <w:r>
        <w:rPr>
          <w:rFonts w:ascii="黑体" w:hAnsi="黑体" w:eastAsia="黑体"/>
        </w:rPr>
        <w:t>4.1  数据集</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数据集</w:t>
            </w:r>
          </w:p>
        </w:tc>
        <w:tc>
          <w:tcPr>
            <w:tcW w:type="dxa" w:w="1440"/>
          </w:tcPr>
          <w:p>
            <w:pPr>
              <w:jc w:val="center"/>
            </w:pPr>
            <w:r>
              <w:rPr>
                <w:b/>
              </w:rPr>
              <w:t>用户数</w:t>
            </w:r>
          </w:p>
        </w:tc>
        <w:tc>
          <w:tcPr>
            <w:tcW w:type="dxa" w:w="1440"/>
          </w:tcPr>
          <w:p>
            <w:pPr>
              <w:jc w:val="center"/>
            </w:pPr>
            <w:r>
              <w:rPr>
                <w:b/>
              </w:rPr>
              <w:t>物品数</w:t>
            </w:r>
          </w:p>
        </w:tc>
        <w:tc>
          <w:tcPr>
            <w:tcW w:type="dxa" w:w="1440"/>
          </w:tcPr>
          <w:p>
            <w:pPr>
              <w:jc w:val="center"/>
            </w:pPr>
            <w:r>
              <w:rPr>
                <w:b/>
              </w:rPr>
              <w:t>训练交互</w:t>
            </w:r>
          </w:p>
        </w:tc>
        <w:tc>
          <w:tcPr>
            <w:tcW w:type="dxa" w:w="1440"/>
          </w:tcPr>
          <w:p>
            <w:pPr>
              <w:jc w:val="center"/>
            </w:pPr>
            <w:r>
              <w:rPr>
                <w:b/>
              </w:rPr>
              <w:t>测试交互</w:t>
            </w:r>
          </w:p>
        </w:tc>
        <w:tc>
          <w:tcPr>
            <w:tcW w:type="dxa" w:w="1440"/>
          </w:tcPr>
          <w:p>
            <w:pPr>
              <w:jc w:val="center"/>
            </w:pPr>
            <w:r>
              <w:rPr>
                <w:b/>
              </w:rPr>
              <w:t>稀疏度</w:t>
            </w:r>
          </w:p>
        </w:tc>
      </w:tr>
      <w:tr>
        <w:tc>
          <w:tcPr>
            <w:tcW w:type="dxa" w:w="1440"/>
          </w:tcPr>
          <w:p>
            <w:pPr>
              <w:jc w:val="center"/>
            </w:pPr>
            <w:r>
              <w:t>Gowalla</w:t>
            </w:r>
          </w:p>
        </w:tc>
        <w:tc>
          <w:tcPr>
            <w:tcW w:type="dxa" w:w="1440"/>
          </w:tcPr>
          <w:p>
            <w:pPr>
              <w:jc w:val="center"/>
            </w:pPr>
            <w:r>
              <w:t>29,858</w:t>
            </w:r>
          </w:p>
        </w:tc>
        <w:tc>
          <w:tcPr>
            <w:tcW w:type="dxa" w:w="1440"/>
          </w:tcPr>
          <w:p>
            <w:pPr>
              <w:jc w:val="center"/>
            </w:pPr>
            <w:r>
              <w:t>40,981</w:t>
            </w:r>
          </w:p>
        </w:tc>
        <w:tc>
          <w:tcPr>
            <w:tcW w:type="dxa" w:w="1440"/>
          </w:tcPr>
          <w:p>
            <w:pPr>
              <w:jc w:val="center"/>
            </w:pPr>
            <w:r>
              <w:t>810,128</w:t>
            </w:r>
          </w:p>
        </w:tc>
        <w:tc>
          <w:tcPr>
            <w:tcW w:type="dxa" w:w="1440"/>
          </w:tcPr>
          <w:p>
            <w:pPr>
              <w:jc w:val="center"/>
            </w:pPr>
            <w:r>
              <w:t>217,242</w:t>
            </w:r>
          </w:p>
        </w:tc>
        <w:tc>
          <w:tcPr>
            <w:tcW w:type="dxa" w:w="1440"/>
          </w:tcPr>
          <w:p>
            <w:pPr>
              <w:jc w:val="center"/>
            </w:pPr>
            <w:r>
              <w:t>0.066%</w:t>
            </w:r>
          </w:p>
        </w:tc>
      </w:tr>
      <w:tr>
        <w:tc>
          <w:tcPr>
            <w:tcW w:type="dxa" w:w="1440"/>
          </w:tcPr>
          <w:p>
            <w:pPr>
              <w:jc w:val="center"/>
            </w:pPr>
            <w:r>
              <w:t>Yelp2018</w:t>
            </w:r>
          </w:p>
        </w:tc>
        <w:tc>
          <w:tcPr>
            <w:tcW w:type="dxa" w:w="1440"/>
          </w:tcPr>
          <w:p>
            <w:pPr>
              <w:jc w:val="center"/>
            </w:pPr>
            <w:r>
              <w:t>31,668</w:t>
            </w:r>
          </w:p>
        </w:tc>
        <w:tc>
          <w:tcPr>
            <w:tcW w:type="dxa" w:w="1440"/>
          </w:tcPr>
          <w:p>
            <w:pPr>
              <w:jc w:val="center"/>
            </w:pPr>
            <w:r>
              <w:t>38,048</w:t>
            </w:r>
          </w:p>
        </w:tc>
        <w:tc>
          <w:tcPr>
            <w:tcW w:type="dxa" w:w="1440"/>
          </w:tcPr>
          <w:p>
            <w:pPr>
              <w:jc w:val="center"/>
            </w:pPr>
            <w:r>
              <w:t>1,237,259</w:t>
            </w:r>
          </w:p>
        </w:tc>
        <w:tc>
          <w:tcPr>
            <w:tcW w:type="dxa" w:w="1440"/>
          </w:tcPr>
          <w:p>
            <w:pPr>
              <w:jc w:val="center"/>
            </w:pPr>
            <w:r>
              <w:t>324,147</w:t>
            </w:r>
          </w:p>
        </w:tc>
        <w:tc>
          <w:tcPr>
            <w:tcW w:type="dxa" w:w="1440"/>
          </w:tcPr>
          <w:p>
            <w:pPr>
              <w:jc w:val="center"/>
            </w:pPr>
            <w:r>
              <w:t>0.103%</w:t>
            </w:r>
          </w:p>
        </w:tc>
      </w:tr>
      <w:tr>
        <w:tc>
          <w:tcPr>
            <w:tcW w:type="dxa" w:w="1440"/>
          </w:tcPr>
          <w:p>
            <w:pPr>
              <w:jc w:val="center"/>
            </w:pPr>
            <w:r>
              <w:t>Amazon-Book</w:t>
            </w:r>
          </w:p>
        </w:tc>
        <w:tc>
          <w:tcPr>
            <w:tcW w:type="dxa" w:w="1440"/>
          </w:tcPr>
          <w:p>
            <w:pPr>
              <w:jc w:val="center"/>
            </w:pPr>
            <w:r>
              <w:t>52,643</w:t>
            </w:r>
          </w:p>
        </w:tc>
        <w:tc>
          <w:tcPr>
            <w:tcW w:type="dxa" w:w="1440"/>
          </w:tcPr>
          <w:p>
            <w:pPr>
              <w:jc w:val="center"/>
            </w:pPr>
            <w:r>
              <w:t>91,599</w:t>
            </w:r>
          </w:p>
        </w:tc>
        <w:tc>
          <w:tcPr>
            <w:tcW w:type="dxa" w:w="1440"/>
          </w:tcPr>
          <w:p>
            <w:pPr>
              <w:jc w:val="center"/>
            </w:pPr>
            <w:r>
              <w:t>2,380,730</w:t>
            </w:r>
          </w:p>
        </w:tc>
        <w:tc>
          <w:tcPr>
            <w:tcW w:type="dxa" w:w="1440"/>
          </w:tcPr>
          <w:p>
            <w:pPr>
              <w:jc w:val="center"/>
            </w:pPr>
            <w:r>
              <w:t>603,378</w:t>
            </w:r>
          </w:p>
        </w:tc>
        <w:tc>
          <w:tcPr>
            <w:tcW w:type="dxa" w:w="1440"/>
          </w:tcPr>
          <w:p>
            <w:pPr>
              <w:jc w:val="center"/>
            </w:pPr>
            <w:r>
              <w:t>0.049%</w:t>
            </w:r>
          </w:p>
        </w:tc>
      </w:tr>
    </w:tbl>
    <w:p/>
    <w:p>
      <w:r>
        <w:t>评估指标为Recall@20和NDCG@20。模型使用3层GCN、64维嵌入、Adam优化器。</w:t>
      </w:r>
    </w:p>
    <w:p>
      <w:pPr>
        <w:pStyle w:val="Heading2"/>
      </w:pPr>
      <w:r>
        <w:rPr>
          <w:rFonts w:ascii="黑体" w:hAnsi="黑体" w:eastAsia="黑体"/>
        </w:rPr>
        <w:t>4.2  Gowalla结果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方法</w:t>
            </w:r>
          </w:p>
        </w:tc>
        <w:tc>
          <w:tcPr>
            <w:tcW w:type="dxa" w:w="2160"/>
          </w:tcPr>
          <w:p>
            <w:pPr>
              <w:jc w:val="center"/>
            </w:pPr>
            <w:r>
              <w:rPr>
                <w:b/>
              </w:rPr>
              <w:t>ε=5</w:t>
            </w:r>
          </w:p>
        </w:tc>
        <w:tc>
          <w:tcPr>
            <w:tcW w:type="dxa" w:w="2160"/>
          </w:tcPr>
          <w:p>
            <w:pPr>
              <w:jc w:val="center"/>
            </w:pPr>
            <w:r>
              <w:rPr>
                <w:b/>
              </w:rPr>
              <w:t>ε=10</w:t>
            </w:r>
          </w:p>
        </w:tc>
        <w:tc>
          <w:tcPr>
            <w:tcW w:type="dxa" w:w="2160"/>
          </w:tcPr>
          <w:p>
            <w:pPr>
              <w:jc w:val="center"/>
            </w:pPr>
            <w:r>
              <w:rPr>
                <w:b/>
              </w:rPr>
              <w:t>ε=20</w:t>
            </w:r>
          </w:p>
        </w:tc>
      </w:tr>
      <w:tr>
        <w:tc>
          <w:tcPr>
            <w:tcW w:type="dxa" w:w="2160"/>
          </w:tcPr>
          <w:p>
            <w:pPr>
              <w:jc w:val="center"/>
            </w:pPr>
            <w:r>
              <w:t>LightGCN (No DP)</w:t>
            </w:r>
          </w:p>
        </w:tc>
        <w:tc>
          <w:tcPr>
            <w:tcW w:type="dxa" w:w="2160"/>
          </w:tcPr>
          <w:p>
            <w:pPr>
              <w:jc w:val="center"/>
            </w:pPr>
            <w:r>
              <w:t>0.1064</w:t>
            </w:r>
          </w:p>
        </w:tc>
        <w:tc>
          <w:tcPr>
            <w:tcW w:type="dxa" w:w="2160"/>
          </w:tcPr>
          <w:p>
            <w:pPr>
              <w:jc w:val="center"/>
            </w:pPr>
            <w:r>
              <w:t>—</w:t>
            </w:r>
          </w:p>
        </w:tc>
        <w:tc>
          <w:tcPr>
            <w:tcW w:type="dxa" w:w="2160"/>
          </w:tcPr>
          <w:p>
            <w:pPr>
              <w:jc w:val="center"/>
            </w:pPr>
            <w:r>
              <w:t>—</w:t>
            </w:r>
          </w:p>
        </w:tc>
      </w:tr>
      <w:tr>
        <w:tc>
          <w:tcPr>
            <w:tcW w:type="dxa" w:w="2160"/>
          </w:tcPr>
          <w:p>
            <w:pPr>
              <w:jc w:val="center"/>
            </w:pPr>
            <w:r>
              <w:t>Uniform</w:t>
            </w:r>
          </w:p>
        </w:tc>
        <w:tc>
          <w:tcPr>
            <w:tcW w:type="dxa" w:w="2160"/>
          </w:tcPr>
          <w:p>
            <w:pPr>
              <w:jc w:val="center"/>
            </w:pPr>
            <w:r>
              <w:t>0.0288</w:t>
            </w:r>
          </w:p>
        </w:tc>
        <w:tc>
          <w:tcPr>
            <w:tcW w:type="dxa" w:w="2160"/>
          </w:tcPr>
          <w:p>
            <w:pPr>
              <w:jc w:val="center"/>
            </w:pPr>
            <w:r>
              <w:t>0.0024</w:t>
            </w:r>
          </w:p>
        </w:tc>
        <w:tc>
          <w:tcPr>
            <w:tcW w:type="dxa" w:w="2160"/>
          </w:tcPr>
          <w:p>
            <w:pPr>
              <w:jc w:val="center"/>
            </w:pPr>
            <w:r>
              <w:t>0.0360</w:t>
            </w:r>
          </w:p>
        </w:tc>
      </w:tr>
      <w:tr>
        <w:tc>
          <w:tcPr>
            <w:tcW w:type="dxa" w:w="2160"/>
          </w:tcPr>
          <w:p>
            <w:pPr>
              <w:jc w:val="center"/>
            </w:pPr>
            <w:r>
              <w:t>Decreasing</w:t>
            </w:r>
          </w:p>
        </w:tc>
        <w:tc>
          <w:tcPr>
            <w:tcW w:type="dxa" w:w="2160"/>
          </w:tcPr>
          <w:p>
            <w:pPr>
              <w:jc w:val="center"/>
            </w:pPr>
            <w:r>
              <w:t>0.0361</w:t>
            </w:r>
          </w:p>
        </w:tc>
        <w:tc>
          <w:tcPr>
            <w:tcW w:type="dxa" w:w="2160"/>
          </w:tcPr>
          <w:p>
            <w:pPr>
              <w:jc w:val="center"/>
            </w:pPr>
            <w:r>
              <w:t>0.0029</w:t>
            </w:r>
          </w:p>
        </w:tc>
        <w:tc>
          <w:tcPr>
            <w:tcW w:type="dxa" w:w="2160"/>
          </w:tcPr>
          <w:p>
            <w:pPr>
              <w:jc w:val="center"/>
            </w:pPr>
            <w:r>
              <w:t>0.0254</w:t>
            </w:r>
          </w:p>
        </w:tc>
      </w:tr>
      <w:tr>
        <w:tc>
          <w:tcPr>
            <w:tcW w:type="dxa" w:w="2160"/>
          </w:tcPr>
          <w:p>
            <w:pPr>
              <w:jc w:val="center"/>
            </w:pPr>
            <w:r>
              <w:rPr>
                <w:b/>
              </w:rPr>
              <w:t>Adaptive（本文）</w:t>
            </w:r>
          </w:p>
        </w:tc>
        <w:tc>
          <w:tcPr>
            <w:tcW w:type="dxa" w:w="2160"/>
          </w:tcPr>
          <w:p>
            <w:pPr>
              <w:jc w:val="center"/>
            </w:pPr>
            <w:r>
              <w:rPr>
                <w:b/>
              </w:rPr>
              <w:t>0.0448</w:t>
            </w:r>
          </w:p>
        </w:tc>
        <w:tc>
          <w:tcPr>
            <w:tcW w:type="dxa" w:w="2160"/>
          </w:tcPr>
          <w:p>
            <w:pPr>
              <w:jc w:val="center"/>
            </w:pPr>
            <w:r>
              <w:rPr>
                <w:b/>
              </w:rPr>
              <w:t>0.0049</w:t>
            </w:r>
          </w:p>
        </w:tc>
        <w:tc>
          <w:tcPr>
            <w:tcW w:type="dxa" w:w="2160"/>
          </w:tcPr>
          <w:p>
            <w:pPr>
              <w:jc w:val="center"/>
            </w:pPr>
            <w:r>
              <w:rPr>
                <w:b/>
              </w:rPr>
              <w:t>0.0052</w:t>
            </w:r>
          </w:p>
        </w:tc>
      </w:tr>
      <w:tr>
        <w:tc>
          <w:tcPr>
            <w:tcW w:type="dxa" w:w="2160"/>
          </w:tcPr>
          <w:p>
            <w:pPr>
              <w:jc w:val="center"/>
            </w:pPr>
            <w:r>
              <w:t>提升</w:t>
            </w:r>
          </w:p>
        </w:tc>
        <w:tc>
          <w:tcPr>
            <w:tcW w:type="dxa" w:w="2160"/>
          </w:tcPr>
          <w:p>
            <w:pPr>
              <w:jc w:val="center"/>
            </w:pPr>
            <w:r>
              <w:t>+56%</w:t>
            </w:r>
          </w:p>
        </w:tc>
        <w:tc>
          <w:tcPr>
            <w:tcW w:type="dxa" w:w="2160"/>
          </w:tcPr>
          <w:p>
            <w:pPr>
              <w:jc w:val="center"/>
            </w:pPr>
            <w:r>
              <w:t>—</w:t>
            </w:r>
          </w:p>
        </w:tc>
        <w:tc>
          <w:tcPr>
            <w:tcW w:type="dxa" w:w="2160"/>
          </w:tcPr>
          <w:p>
            <w:pPr>
              <w:jc w:val="center"/>
            </w:pPr>
            <w:r>
              <w:t>—</w:t>
            </w:r>
          </w:p>
        </w:tc>
      </w:tr>
    </w:tbl>
    <w:p/>
    <w:p>
      <w:pPr>
        <w:pStyle w:val="Heading2"/>
      </w:pPr>
      <w:r>
        <w:rPr>
          <w:rFonts w:ascii="黑体" w:hAnsi="黑体" w:eastAsia="黑体"/>
        </w:rPr>
        <w:t>4.3  Yelp2018结果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方法</w:t>
            </w:r>
          </w:p>
        </w:tc>
        <w:tc>
          <w:tcPr>
            <w:tcW w:type="dxa" w:w="2160"/>
          </w:tcPr>
          <w:p>
            <w:pPr>
              <w:jc w:val="center"/>
            </w:pPr>
            <w:r>
              <w:rPr>
                <w:b/>
              </w:rPr>
              <w:t>ε=5</w:t>
            </w:r>
          </w:p>
        </w:tc>
        <w:tc>
          <w:tcPr>
            <w:tcW w:type="dxa" w:w="2160"/>
          </w:tcPr>
          <w:p>
            <w:pPr>
              <w:jc w:val="center"/>
            </w:pPr>
            <w:r>
              <w:rPr>
                <w:b/>
              </w:rPr>
              <w:t>ε=10</w:t>
            </w:r>
          </w:p>
        </w:tc>
        <w:tc>
          <w:tcPr>
            <w:tcW w:type="dxa" w:w="2160"/>
          </w:tcPr>
          <w:p>
            <w:pPr>
              <w:jc w:val="center"/>
            </w:pPr>
            <w:r>
              <w:rPr>
                <w:b/>
              </w:rPr>
              <w:t>ε=20</w:t>
            </w:r>
          </w:p>
        </w:tc>
      </w:tr>
      <w:tr>
        <w:tc>
          <w:tcPr>
            <w:tcW w:type="dxa" w:w="2160"/>
          </w:tcPr>
          <w:p>
            <w:pPr>
              <w:jc w:val="center"/>
            </w:pPr>
            <w:r>
              <w:t>LightGCN (No DP)</w:t>
            </w:r>
          </w:p>
        </w:tc>
        <w:tc>
          <w:tcPr>
            <w:tcW w:type="dxa" w:w="2160"/>
          </w:tcPr>
          <w:p>
            <w:pPr>
              <w:jc w:val="center"/>
            </w:pPr>
            <w:r>
              <w:t>0.0343</w:t>
            </w:r>
          </w:p>
        </w:tc>
        <w:tc>
          <w:tcPr>
            <w:tcW w:type="dxa" w:w="2160"/>
          </w:tcPr>
          <w:p>
            <w:pPr>
              <w:jc w:val="center"/>
            </w:pPr>
            <w:r>
              <w:t>—</w:t>
            </w:r>
          </w:p>
        </w:tc>
        <w:tc>
          <w:tcPr>
            <w:tcW w:type="dxa" w:w="2160"/>
          </w:tcPr>
          <w:p>
            <w:pPr>
              <w:jc w:val="center"/>
            </w:pPr>
            <w:r>
              <w:t>—</w:t>
            </w:r>
          </w:p>
        </w:tc>
      </w:tr>
      <w:tr>
        <w:tc>
          <w:tcPr>
            <w:tcW w:type="dxa" w:w="2160"/>
          </w:tcPr>
          <w:p>
            <w:pPr>
              <w:jc w:val="center"/>
            </w:pPr>
            <w:r>
              <w:t>Uniform</w:t>
            </w:r>
          </w:p>
        </w:tc>
        <w:tc>
          <w:tcPr>
            <w:tcW w:type="dxa" w:w="2160"/>
          </w:tcPr>
          <w:p>
            <w:pPr>
              <w:jc w:val="center"/>
            </w:pPr>
            <w:r>
              <w:t>0.0051</w:t>
            </w:r>
          </w:p>
        </w:tc>
        <w:tc>
          <w:tcPr>
            <w:tcW w:type="dxa" w:w="2160"/>
          </w:tcPr>
          <w:p>
            <w:pPr>
              <w:jc w:val="center"/>
            </w:pPr>
            <w:r>
              <w:t>0.0009</w:t>
            </w:r>
          </w:p>
        </w:tc>
        <w:tc>
          <w:tcPr>
            <w:tcW w:type="dxa" w:w="2160"/>
          </w:tcPr>
          <w:p>
            <w:pPr>
              <w:jc w:val="center"/>
            </w:pPr>
            <w:r>
              <w:t>0.0307</w:t>
            </w:r>
          </w:p>
        </w:tc>
      </w:tr>
      <w:tr>
        <w:tc>
          <w:tcPr>
            <w:tcW w:type="dxa" w:w="2160"/>
          </w:tcPr>
          <w:p>
            <w:pPr>
              <w:jc w:val="center"/>
            </w:pPr>
            <w:r>
              <w:t>Decreasing</w:t>
            </w:r>
          </w:p>
        </w:tc>
        <w:tc>
          <w:tcPr>
            <w:tcW w:type="dxa" w:w="2160"/>
          </w:tcPr>
          <w:p>
            <w:pPr>
              <w:jc w:val="center"/>
            </w:pPr>
            <w:r>
              <w:t>0.0058</w:t>
            </w:r>
          </w:p>
        </w:tc>
        <w:tc>
          <w:tcPr>
            <w:tcW w:type="dxa" w:w="2160"/>
          </w:tcPr>
          <w:p>
            <w:pPr>
              <w:jc w:val="center"/>
            </w:pPr>
            <w:r>
              <w:t>0.0010</w:t>
            </w:r>
          </w:p>
        </w:tc>
        <w:tc>
          <w:tcPr>
            <w:tcW w:type="dxa" w:w="2160"/>
          </w:tcPr>
          <w:p>
            <w:pPr>
              <w:jc w:val="center"/>
            </w:pPr>
            <w:r>
              <w:t>0.0310</w:t>
            </w:r>
          </w:p>
        </w:tc>
      </w:tr>
      <w:tr>
        <w:tc>
          <w:tcPr>
            <w:tcW w:type="dxa" w:w="2160"/>
          </w:tcPr>
          <w:p>
            <w:pPr>
              <w:jc w:val="center"/>
            </w:pPr>
            <w:r>
              <w:rPr>
                <w:b/>
              </w:rPr>
              <w:t>Adaptive（本文）</w:t>
            </w:r>
          </w:p>
        </w:tc>
        <w:tc>
          <w:tcPr>
            <w:tcW w:type="dxa" w:w="2160"/>
          </w:tcPr>
          <w:p>
            <w:pPr>
              <w:jc w:val="center"/>
            </w:pPr>
            <w:r>
              <w:rPr>
                <w:b/>
              </w:rPr>
              <w:t>0.0098</w:t>
            </w:r>
          </w:p>
        </w:tc>
        <w:tc>
          <w:tcPr>
            <w:tcW w:type="dxa" w:w="2160"/>
          </w:tcPr>
          <w:p>
            <w:pPr>
              <w:jc w:val="center"/>
            </w:pPr>
            <w:r>
              <w:rPr>
                <w:b/>
              </w:rPr>
              <w:t>0.0011</w:t>
            </w:r>
          </w:p>
        </w:tc>
        <w:tc>
          <w:tcPr>
            <w:tcW w:type="dxa" w:w="2160"/>
          </w:tcPr>
          <w:p>
            <w:pPr>
              <w:jc w:val="center"/>
            </w:pPr>
            <w:r>
              <w:rPr>
                <w:b/>
              </w:rPr>
              <w:t>0.0070</w:t>
            </w:r>
          </w:p>
        </w:tc>
      </w:tr>
      <w:tr>
        <w:tc>
          <w:tcPr>
            <w:tcW w:type="dxa" w:w="2160"/>
          </w:tcPr>
          <w:p>
            <w:pPr>
              <w:jc w:val="center"/>
            </w:pPr>
            <w:r>
              <w:t>提升</w:t>
            </w:r>
          </w:p>
        </w:tc>
        <w:tc>
          <w:tcPr>
            <w:tcW w:type="dxa" w:w="2160"/>
          </w:tcPr>
          <w:p>
            <w:pPr>
              <w:jc w:val="center"/>
            </w:pPr>
            <w:r>
              <w:t>+91%</w:t>
            </w:r>
          </w:p>
        </w:tc>
        <w:tc>
          <w:tcPr>
            <w:tcW w:type="dxa" w:w="2160"/>
          </w:tcPr>
          <w:p>
            <w:pPr>
              <w:jc w:val="center"/>
            </w:pPr>
            <w:r>
              <w:t>—</w:t>
            </w:r>
          </w:p>
        </w:tc>
        <w:tc>
          <w:tcPr>
            <w:tcW w:type="dxa" w:w="2160"/>
          </w:tcPr>
          <w:p>
            <w:pPr>
              <w:jc w:val="center"/>
            </w:pPr>
            <w:r>
              <w:t>—</w:t>
            </w:r>
          </w:p>
        </w:tc>
      </w:tr>
    </w:tbl>
    <w:p/>
    <w:p>
      <w:pPr>
        <w:pStyle w:val="Heading2"/>
      </w:pPr>
      <w:r>
        <w:rPr>
          <w:rFonts w:ascii="黑体" w:hAnsi="黑体" w:eastAsia="黑体"/>
        </w:rPr>
        <w:t>4.4  Amazon-Book结果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方法</w:t>
            </w:r>
          </w:p>
        </w:tc>
        <w:tc>
          <w:tcPr>
            <w:tcW w:type="dxa" w:w="2160"/>
          </w:tcPr>
          <w:p>
            <w:pPr>
              <w:jc w:val="center"/>
            </w:pPr>
            <w:r>
              <w:rPr>
                <w:b/>
              </w:rPr>
              <w:t>ε=5</w:t>
            </w:r>
          </w:p>
        </w:tc>
        <w:tc>
          <w:tcPr>
            <w:tcW w:type="dxa" w:w="2160"/>
          </w:tcPr>
          <w:p>
            <w:pPr>
              <w:jc w:val="center"/>
            </w:pPr>
            <w:r>
              <w:rPr>
                <w:b/>
              </w:rPr>
              <w:t>ε=10</w:t>
            </w:r>
          </w:p>
        </w:tc>
        <w:tc>
          <w:tcPr>
            <w:tcW w:type="dxa" w:w="2160"/>
          </w:tcPr>
          <w:p>
            <w:pPr>
              <w:jc w:val="center"/>
            </w:pPr>
            <w:r>
              <w:rPr>
                <w:b/>
              </w:rPr>
              <w:t>ε=20</w:t>
            </w:r>
          </w:p>
        </w:tc>
      </w:tr>
      <w:tr>
        <w:tc>
          <w:tcPr>
            <w:tcW w:type="dxa" w:w="2160"/>
          </w:tcPr>
          <w:p>
            <w:pPr>
              <w:jc w:val="center"/>
            </w:pPr>
            <w:r>
              <w:t>LightGCN (No DP)</w:t>
            </w:r>
          </w:p>
        </w:tc>
        <w:tc>
          <w:tcPr>
            <w:tcW w:type="dxa" w:w="2160"/>
          </w:tcPr>
          <w:p>
            <w:pPr>
              <w:jc w:val="center"/>
            </w:pPr>
            <w:r>
              <w:t>0.0139</w:t>
            </w:r>
          </w:p>
        </w:tc>
        <w:tc>
          <w:tcPr>
            <w:tcW w:type="dxa" w:w="2160"/>
          </w:tcPr>
          <w:p>
            <w:pPr>
              <w:jc w:val="center"/>
            </w:pPr>
            <w:r>
              <w:t>—</w:t>
            </w:r>
          </w:p>
        </w:tc>
        <w:tc>
          <w:tcPr>
            <w:tcW w:type="dxa" w:w="2160"/>
          </w:tcPr>
          <w:p>
            <w:pPr>
              <w:jc w:val="center"/>
            </w:pPr>
            <w:r>
              <w:t>—</w:t>
            </w:r>
          </w:p>
        </w:tc>
      </w:tr>
      <w:tr>
        <w:tc>
          <w:tcPr>
            <w:tcW w:type="dxa" w:w="2160"/>
          </w:tcPr>
          <w:p>
            <w:pPr>
              <w:jc w:val="center"/>
            </w:pPr>
            <w:r>
              <w:t>Uniform</w:t>
            </w:r>
          </w:p>
        </w:tc>
        <w:tc>
          <w:tcPr>
            <w:tcW w:type="dxa" w:w="2160"/>
          </w:tcPr>
          <w:p>
            <w:pPr>
              <w:jc w:val="center"/>
            </w:pPr>
            <w:r>
              <w:t>0.0015</w:t>
            </w:r>
          </w:p>
        </w:tc>
        <w:tc>
          <w:tcPr>
            <w:tcW w:type="dxa" w:w="2160"/>
          </w:tcPr>
          <w:p>
            <w:pPr>
              <w:jc w:val="center"/>
            </w:pPr>
            <w:r>
              <w:t>0.0003</w:t>
            </w:r>
          </w:p>
        </w:tc>
        <w:tc>
          <w:tcPr>
            <w:tcW w:type="dxa" w:w="2160"/>
          </w:tcPr>
          <w:p>
            <w:pPr>
              <w:jc w:val="center"/>
            </w:pPr>
            <w:r>
              <w:t>0.0066</w:t>
            </w:r>
          </w:p>
        </w:tc>
      </w:tr>
      <w:tr>
        <w:tc>
          <w:tcPr>
            <w:tcW w:type="dxa" w:w="2160"/>
          </w:tcPr>
          <w:p>
            <w:pPr>
              <w:jc w:val="center"/>
            </w:pPr>
            <w:r>
              <w:t>Decreasing</w:t>
            </w:r>
          </w:p>
        </w:tc>
        <w:tc>
          <w:tcPr>
            <w:tcW w:type="dxa" w:w="2160"/>
          </w:tcPr>
          <w:p>
            <w:pPr>
              <w:jc w:val="center"/>
            </w:pPr>
            <w:r>
              <w:t>0.0024</w:t>
            </w:r>
          </w:p>
        </w:tc>
        <w:tc>
          <w:tcPr>
            <w:tcW w:type="dxa" w:w="2160"/>
          </w:tcPr>
          <w:p>
            <w:pPr>
              <w:jc w:val="center"/>
            </w:pPr>
            <w:r>
              <w:t>0.0003</w:t>
            </w:r>
          </w:p>
        </w:tc>
        <w:tc>
          <w:tcPr>
            <w:tcW w:type="dxa" w:w="2160"/>
          </w:tcPr>
          <w:p>
            <w:pPr>
              <w:jc w:val="center"/>
            </w:pPr>
            <w:r>
              <w:t>0.0058</w:t>
            </w:r>
          </w:p>
        </w:tc>
      </w:tr>
      <w:tr>
        <w:tc>
          <w:tcPr>
            <w:tcW w:type="dxa" w:w="2160"/>
          </w:tcPr>
          <w:p>
            <w:pPr>
              <w:jc w:val="center"/>
            </w:pPr>
            <w:r>
              <w:rPr>
                <w:b/>
              </w:rPr>
              <w:t>Adaptive（本文）</w:t>
            </w:r>
          </w:p>
        </w:tc>
        <w:tc>
          <w:tcPr>
            <w:tcW w:type="dxa" w:w="2160"/>
          </w:tcPr>
          <w:p>
            <w:pPr>
              <w:jc w:val="center"/>
            </w:pPr>
            <w:r>
              <w:rPr>
                <w:b/>
              </w:rPr>
              <w:t>0.0031</w:t>
            </w:r>
          </w:p>
        </w:tc>
        <w:tc>
          <w:tcPr>
            <w:tcW w:type="dxa" w:w="2160"/>
          </w:tcPr>
          <w:p>
            <w:pPr>
              <w:jc w:val="center"/>
            </w:pPr>
            <w:r>
              <w:rPr>
                <w:b/>
              </w:rPr>
              <w:t>0.0006</w:t>
            </w:r>
          </w:p>
        </w:tc>
        <w:tc>
          <w:tcPr>
            <w:tcW w:type="dxa" w:w="2160"/>
          </w:tcPr>
          <w:p>
            <w:pPr>
              <w:jc w:val="center"/>
            </w:pPr>
            <w:r>
              <w:rPr>
                <w:b/>
              </w:rPr>
              <w:t>0.0005</w:t>
            </w:r>
          </w:p>
        </w:tc>
      </w:tr>
      <w:tr>
        <w:tc>
          <w:tcPr>
            <w:tcW w:type="dxa" w:w="2160"/>
          </w:tcPr>
          <w:p>
            <w:pPr>
              <w:jc w:val="center"/>
            </w:pPr>
            <w:r>
              <w:t>提升</w:t>
            </w:r>
          </w:p>
        </w:tc>
        <w:tc>
          <w:tcPr>
            <w:tcW w:type="dxa" w:w="2160"/>
          </w:tcPr>
          <w:p>
            <w:pPr>
              <w:jc w:val="center"/>
            </w:pPr>
            <w:r>
              <w:t>+98%</w:t>
            </w:r>
          </w:p>
        </w:tc>
        <w:tc>
          <w:tcPr>
            <w:tcW w:type="dxa" w:w="2160"/>
          </w:tcPr>
          <w:p>
            <w:pPr>
              <w:jc w:val="center"/>
            </w:pPr>
            <w:r>
              <w:t>—</w:t>
            </w:r>
          </w:p>
        </w:tc>
        <w:tc>
          <w:tcPr>
            <w:tcW w:type="dxa" w:w="2160"/>
          </w:tcPr>
          <w:p>
            <w:pPr>
              <w:jc w:val="center"/>
            </w:pPr>
            <w:r>
              <w:t>—</w:t>
            </w:r>
          </w:p>
        </w:tc>
      </w:tr>
    </w:tbl>
    <w:p/>
    <w:p>
      <w:pPr>
        <w:pStyle w:val="Heading2"/>
      </w:pPr>
      <w:r>
        <w:rPr>
          <w:rFonts w:ascii="黑体" w:hAnsi="黑体" w:eastAsia="黑体"/>
        </w:rPr>
        <w:t>4.5  跨数据集分析</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数据集</w:t>
            </w:r>
          </w:p>
        </w:tc>
        <w:tc>
          <w:tcPr>
            <w:tcW w:type="dxa" w:w="1728"/>
          </w:tcPr>
          <w:p>
            <w:pPr>
              <w:jc w:val="center"/>
            </w:pPr>
            <w:r>
              <w:rPr>
                <w:b/>
              </w:rPr>
              <w:t>NoDP Recall@20</w:t>
            </w:r>
          </w:p>
        </w:tc>
        <w:tc>
          <w:tcPr>
            <w:tcW w:type="dxa" w:w="1728"/>
          </w:tcPr>
          <w:p>
            <w:pPr>
              <w:jc w:val="center"/>
            </w:pPr>
            <w:r>
              <w:rPr>
                <w:b/>
              </w:rPr>
              <w:t>Adaptive ε=5</w:t>
            </w:r>
          </w:p>
        </w:tc>
        <w:tc>
          <w:tcPr>
            <w:tcW w:type="dxa" w:w="1728"/>
          </w:tcPr>
          <w:p>
            <w:pPr>
              <w:jc w:val="center"/>
            </w:pPr>
            <w:r>
              <w:rPr>
                <w:b/>
              </w:rPr>
              <w:t>Uniform ε=5</w:t>
            </w:r>
          </w:p>
        </w:tc>
        <w:tc>
          <w:tcPr>
            <w:tcW w:type="dxa" w:w="1728"/>
          </w:tcPr>
          <w:p>
            <w:pPr>
              <w:jc w:val="center"/>
            </w:pPr>
            <w:r>
              <w:rPr>
                <w:b/>
              </w:rPr>
              <w:t>提升幅度</w:t>
            </w:r>
          </w:p>
        </w:tc>
      </w:tr>
      <w:tr>
        <w:tc>
          <w:tcPr>
            <w:tcW w:type="dxa" w:w="1728"/>
          </w:tcPr>
          <w:p>
            <w:pPr>
              <w:jc w:val="center"/>
            </w:pPr>
            <w:r>
              <w:t>Gowalla</w:t>
            </w:r>
          </w:p>
        </w:tc>
        <w:tc>
          <w:tcPr>
            <w:tcW w:type="dxa" w:w="1728"/>
          </w:tcPr>
          <w:p>
            <w:pPr>
              <w:jc w:val="center"/>
            </w:pPr>
            <w:r>
              <w:t>0.1064</w:t>
            </w:r>
          </w:p>
        </w:tc>
        <w:tc>
          <w:tcPr>
            <w:tcW w:type="dxa" w:w="1728"/>
          </w:tcPr>
          <w:p>
            <w:pPr>
              <w:jc w:val="center"/>
            </w:pPr>
            <w:r>
              <w:t>0.0448</w:t>
            </w:r>
          </w:p>
        </w:tc>
        <w:tc>
          <w:tcPr>
            <w:tcW w:type="dxa" w:w="1728"/>
          </w:tcPr>
          <w:p>
            <w:pPr>
              <w:jc w:val="center"/>
            </w:pPr>
            <w:r>
              <w:t>0.0288</w:t>
            </w:r>
          </w:p>
        </w:tc>
        <w:tc>
          <w:tcPr>
            <w:tcW w:type="dxa" w:w="1728"/>
          </w:tcPr>
          <w:p>
            <w:pPr>
              <w:jc w:val="center"/>
            </w:pPr>
            <w:r>
              <w:t>+56%</w:t>
            </w:r>
          </w:p>
        </w:tc>
      </w:tr>
      <w:tr>
        <w:tc>
          <w:tcPr>
            <w:tcW w:type="dxa" w:w="1728"/>
          </w:tcPr>
          <w:p>
            <w:pPr>
              <w:jc w:val="center"/>
            </w:pPr>
            <w:r>
              <w:t>Yelp2018</w:t>
            </w:r>
          </w:p>
        </w:tc>
        <w:tc>
          <w:tcPr>
            <w:tcW w:type="dxa" w:w="1728"/>
          </w:tcPr>
          <w:p>
            <w:pPr>
              <w:jc w:val="center"/>
            </w:pPr>
            <w:r>
              <w:t>0.0343</w:t>
            </w:r>
          </w:p>
        </w:tc>
        <w:tc>
          <w:tcPr>
            <w:tcW w:type="dxa" w:w="1728"/>
          </w:tcPr>
          <w:p>
            <w:pPr>
              <w:jc w:val="center"/>
            </w:pPr>
            <w:r>
              <w:t>0.0098</w:t>
            </w:r>
          </w:p>
        </w:tc>
        <w:tc>
          <w:tcPr>
            <w:tcW w:type="dxa" w:w="1728"/>
          </w:tcPr>
          <w:p>
            <w:pPr>
              <w:jc w:val="center"/>
            </w:pPr>
            <w:r>
              <w:t>0.0051</w:t>
            </w:r>
          </w:p>
        </w:tc>
        <w:tc>
          <w:tcPr>
            <w:tcW w:type="dxa" w:w="1728"/>
          </w:tcPr>
          <w:p>
            <w:pPr>
              <w:jc w:val="center"/>
            </w:pPr>
            <w:r>
              <w:t>+91%</w:t>
            </w:r>
          </w:p>
        </w:tc>
      </w:tr>
      <w:tr>
        <w:tc>
          <w:tcPr>
            <w:tcW w:type="dxa" w:w="1728"/>
          </w:tcPr>
          <w:p>
            <w:pPr>
              <w:jc w:val="center"/>
            </w:pPr>
            <w:r>
              <w:t>Amazon-Book</w:t>
            </w:r>
          </w:p>
        </w:tc>
        <w:tc>
          <w:tcPr>
            <w:tcW w:type="dxa" w:w="1728"/>
          </w:tcPr>
          <w:p>
            <w:pPr>
              <w:jc w:val="center"/>
            </w:pPr>
            <w:r>
              <w:t>0.0139</w:t>
            </w:r>
          </w:p>
        </w:tc>
        <w:tc>
          <w:tcPr>
            <w:tcW w:type="dxa" w:w="1728"/>
          </w:tcPr>
          <w:p>
            <w:pPr>
              <w:jc w:val="center"/>
            </w:pPr>
            <w:r>
              <w:t>0.0031</w:t>
            </w:r>
          </w:p>
        </w:tc>
        <w:tc>
          <w:tcPr>
            <w:tcW w:type="dxa" w:w="1728"/>
          </w:tcPr>
          <w:p>
            <w:pPr>
              <w:jc w:val="center"/>
            </w:pPr>
            <w:r>
              <w:t>0.0015</w:t>
            </w:r>
          </w:p>
        </w:tc>
        <w:tc>
          <w:tcPr>
            <w:tcW w:type="dxa" w:w="1728"/>
          </w:tcPr>
          <w:p>
            <w:pPr>
              <w:jc w:val="center"/>
            </w:pPr>
            <w:r>
              <w:t>+98%</w:t>
            </w:r>
          </w:p>
        </w:tc>
      </w:tr>
    </w:tbl>
    <w:p/>
    <w:p>
      <w:r>
        <w:t>三个数据集的结果一致表明：（1）自适应预算分配在强隐私（ε=5）下始终最优，且提升幅度随数据集挑战性增大而增加（Gowalla 56% &lt; Yelp2018 91% &lt; Amazon-Book 98%）；（2）该规律具有跨数据集的一致性和稳健性。</w:t>
      </w:r>
    </w:p>
    <w:p>
      <w:r>
        <w:t>代码开源：https://github.com/zhouzhou926/DP-LightGCN</w:t>
      </w:r>
    </w:p>
    <w:p>
      <w:pPr>
        <w:pStyle w:val="Heading1"/>
      </w:pPr>
      <w:r>
        <w:rPr>
          <w:rFonts w:ascii="黑体" w:hAnsi="黑体" w:eastAsia="黑体"/>
        </w:rPr>
        <w:t>5  结论</w:t>
      </w:r>
    </w:p>
    <w:p>
      <w:r>
        <w:t>本文提出了DP-LightGCN框架。在Gowalla、Yelp2018和Amazon-Book三个数据集上的实验表明，自适应预算分配策略在强隐私下（ε=5）优于均匀和递减基线，Recall@20分别提高56%、91%和98%。未来工作包括与联邦学习的结合及裁剪策略的进一步优化。</w:t>
      </w:r>
    </w:p>
    <w:p>
      <w:pPr>
        <w:pStyle w:val="Heading1"/>
      </w:pPr>
      <w:r>
        <w:rPr>
          <w:rFonts w:ascii="黑体" w:hAnsi="黑体" w:eastAsia="黑体"/>
        </w:rPr>
        <w:t>参考文献</w:t>
      </w:r>
    </w:p>
    <w:p>
      <w:pPr>
        <w:ind w:hanging="425" w:left="425"/>
      </w:pPr>
      <w:r>
        <w:t>[1] He X, et al. LightGCN[C]. SIGIR, 2020.</w:t>
      </w:r>
    </w:p>
    <w:p>
      <w:pPr>
        <w:ind w:hanging="425" w:left="425"/>
      </w:pPr>
      <w:r>
        <w:t>[2] Dwork C, et al. Calibrating noise to sensitivity[C]. TCC, 2006.</w:t>
      </w:r>
    </w:p>
    <w:p>
      <w:pPr>
        <w:ind w:hanging="425" w:left="425"/>
      </w:pPr>
      <w:r>
        <w:t>[3] McSherry F, Mironov I. Differentially private recommender systems[C]. KDD, 2009.</w:t>
      </w:r>
    </w:p>
    <w:p>
      <w:pPr>
        <w:ind w:hanging="425" w:left="425"/>
      </w:pPr>
      <w:r>
        <w:t>[4] Friedman A, et al. Differential privacy in matrix factorization[J]. JPC, 2016.</w:t>
      </w:r>
    </w:p>
    <w:p>
      <w:pPr>
        <w:ind w:hanging="425" w:left="425"/>
      </w:pPr>
      <w:r>
        <w:t>[5] Berlioz A, et al. Differential privacy in collaborative filtering[C]. RecSys, 2015.</w:t>
      </w:r>
    </w:p>
    <w:p>
      <w:pPr>
        <w:ind w:hanging="425" w:left="425"/>
      </w:pPr>
      <w:r>
        <w:t>[6] Jia J, et al. Towards differentially private GCNs[C]. NeurIPS, 2020.</w:t>
      </w:r>
    </w:p>
    <w:p>
      <w:pPr>
        <w:ind w:hanging="425" w:left="425"/>
      </w:pPr>
      <w:r>
        <w:t>[7] Sajadmanesh S, et al. Locally differentially private GNNs[C]. NeurIPS, 2023.</w:t>
      </w:r>
    </w:p>
    <w:p>
      <w:pPr>
        <w:ind w:hanging="425" w:left="425"/>
      </w:pPr>
      <w:r>
        <w:t>[8] Zhang S, et al. PrivGNN[C]. CIKM, 2022.</w:t>
      </w:r>
    </w:p>
    <w:p>
      <w:pPr>
        <w:ind w:hanging="425" w:left="425"/>
      </w:pPr>
      <w:r>
        <w:t>[9] Gao C, et al. Differentially private GNNs for recommendation[C]. PAKDD, 2023.</w:t>
      </w:r>
    </w:p>
    <w:p>
      <w:pPr>
        <w:ind w:hanging="425" w:left="425"/>
      </w:pPr>
      <w:r>
        <w:t>[10] Li J, et al. P3GNN[J]. Knowl.-Based Syst., 2024.</w:t>
      </w:r>
    </w:p>
    <w:p>
      <w:pPr>
        <w:ind w:hanging="425" w:left="425"/>
      </w:pPr>
      <w:r>
        <w:t>[11] Mironov I. Renyi differential privacy[C]. IEEE CSF,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