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52"/>
        </w:rPr>
        <w:t>差分隐私推荐系统研究综述</w:t>
      </w:r>
    </w:p>
    <w:p>
      <w:pPr>
        <w:jc w:val="center"/>
      </w:pPr>
      <w:r>
        <w:br/>
        <w:t>周舟</w:t>
        <w:br/>
        <w:t>（XX大学 计算机科学与技术学院，XX 邮编）</w:t>
        <w:br/>
        <w:br/>
      </w:r>
    </w:p>
    <w:p>
      <w:pPr>
        <w:pStyle w:val="Heading1"/>
      </w:pPr>
      <w:r>
        <w:rPr>
          <w:rFonts w:ascii="黑体" w:hAnsi="黑体" w:eastAsia="黑体"/>
        </w:rPr>
        <w:t>摘要</w:t>
      </w:r>
    </w:p>
    <w:p>
      <w:r>
        <w:t>推荐系统在缓解信息过载中发挥着关键作用，但其对用户数据的依赖引发了严峻的隐私挑战。差分隐私（Differential Privacy, DP）作为最严格的隐私保护范式之一，已在推荐系统中得到广泛研究和应用。本文对差分隐私推荐系统进行系统性综述。首先，介绍差分隐私和推荐系统的基础理论；其次，构建三维分类体系，从模型架构（矩阵分解/图神经网络/深度学习）、扰动对象（输入/梯度/输出/嵌入）和应用场景（中心化/联邦）三个维度对现有工作进行分类和深入分析；再次，从隐私-效用权衡、计算效率和理论保证等角度进行横向对比；最后，展望未来研究方向。本文旨在为差分隐私推荐系统的研究提供全面参考。</w:t>
      </w:r>
    </w:p>
    <w:p>
      <w:r>
        <w:rPr>
          <w:b/>
        </w:rPr>
        <w:t>关键词：</w:t>
      </w:r>
      <w:r>
        <w:t>差分隐私；推荐系统；隐私保护；矩阵分解；图神经网络；联邦学习</w:t>
      </w:r>
    </w:p>
    <w:p>
      <w:pPr>
        <w:pStyle w:val="Heading1"/>
      </w:pPr>
      <w:r>
        <w:rPr>
          <w:rFonts w:ascii="黑体" w:hAnsi="黑体" w:eastAsia="黑体"/>
        </w:rPr>
        <w:t>1  引言</w:t>
      </w:r>
    </w:p>
    <w:p>
      <w:r>
        <w:t>随着互联网信息的爆炸式增长，推荐系统已成为帮助用户发现相关内容的关键技术。从电子商务平台到社交媒体，从视频流媒体到在线新闻，推荐系统无处不在。协同过滤（Collaborative Filtering, CF）作为推荐系统中最成功的方法之一，通过分析用户的历史交互行为（如评分、点击、购买）来预测用户偏好。然而，这些交互数据本质上包含用户的个人隐私信息——包括政治倾向、健康状况、性取向等敏感属性。</w:t>
      </w:r>
    </w:p>
    <w:p>
      <w:r>
        <w:t>近年来，随着《个人信息保护法》等法规的出台，隐私保护已成为推荐系统研究中不可回避的问题。传统的匿名化技术（如k-匿名）已被证实不足以抵御日益复杂的攻击手段。差分隐私（Differential Privacy, DP）[1] 由Dwork等人于2006年提出，通过向数据或模型注入校准噪声，为隐私保护提供了严格的数学保证。目前，DP已成为隐私保护的事实标准，被Apple、Google等公司广泛部署。</w:t>
      </w:r>
    </w:p>
    <w:p>
      <w:r>
        <w:t>本文对差分隐私推荐系统进行系统性综述。与已有综述[2,3]相比，本文的主要特色在于：（1）构建三维分类体系，从模型架构、扰动对象和应用场景三个维度对现有工作进行分类；（2）重点关注图神经网络推荐中的差分隐私这一新兴方向；（3）提供更为细致的实验对比分析。</w:t>
      </w:r>
    </w:p>
    <w:p>
      <w:pPr>
        <w:pStyle w:val="Heading1"/>
      </w:pPr>
      <w:r>
        <w:rPr>
          <w:rFonts w:ascii="黑体" w:hAnsi="黑体" w:eastAsia="黑体"/>
        </w:rPr>
        <w:t>2  预备知识</w:t>
      </w:r>
    </w:p>
    <w:p>
      <w:pPr>
        <w:pStyle w:val="Heading2"/>
      </w:pPr>
      <w:r>
        <w:rPr>
          <w:rFonts w:ascii="黑体" w:hAnsi="黑体" w:eastAsia="黑体"/>
        </w:rPr>
        <w:t>2.1  差分隐私</w:t>
      </w:r>
    </w:p>
    <w:p>
      <w:r>
        <w:t>差分隐私[1]是一种严格的隐私保护框架。一个随机化机制M满足(ε,δ)-差分隐私，如果对于任意两个仅差一条记录的相邻数据集D和D，以及任意输出子集S：</w:t>
      </w:r>
    </w:p>
    <w:p>
      <w:r>
        <w:t>Pr[M(D)∈S] ≤ e^ε·Pr[M(D)∈S] + δ</w:t>
      </w:r>
    </w:p>
    <w:p>
      <w:r>
        <w:t>其中ε为隐私预算，越小表示隐私保护越强；δ为松弛项。高斯机制是实现差分隐私的常用方法，通过添加N(0,σ²)噪声实现(ε,δ)-DP，其中σ = Δf·√(2log(1.25/δ))/ε，Δf为敏感度。Rényi差分隐私（RDP）[4]提供了更紧凑的隐私组合分析。</w:t>
      </w:r>
    </w:p>
    <w:p>
      <w:pPr>
        <w:pStyle w:val="Heading2"/>
      </w:pPr>
      <w:r>
        <w:rPr>
          <w:rFonts w:ascii="黑体" w:hAnsi="黑体" w:eastAsia="黑体"/>
        </w:rPr>
        <w:t>2.2  推荐模型基础</w:t>
      </w:r>
    </w:p>
    <w:p>
      <w:r>
        <w:t>协同过滤推荐系统的核心方法包括：（1）矩阵分解（Matrix Factorization, MF），通过学习用户和物品的隐向量，以向量内积预测评分；（2）因子分解机（Factorization Machine），引入特征交互；（3）神经协同过滤（Neural Collaborative Filtering, NCF），用神经网络替代内积运算；（4）图卷积推荐模型，如NGCF和LightGCN[5]，将用户-物品交互建模为二分图进行消息传播。其中LightGCN通过去除特征变换和非线性激活，实现了高效且高性能的推荐。</w:t>
      </w:r>
    </w:p>
    <w:p>
      <w:pPr>
        <w:pStyle w:val="Heading1"/>
      </w:pPr>
      <w:r>
        <w:rPr>
          <w:rFonts w:ascii="黑体" w:hAnsi="黑体" w:eastAsia="黑体"/>
        </w:rPr>
        <w:t>3  差分隐私推荐系统分类体系</w:t>
      </w:r>
    </w:p>
    <w:p>
      <w:r>
        <w:t>本文从三个维度构建差分隐私推荐系统的分类体系：（1）模型架构：矩阵分解、图神经网络、深度学习、传统协同过滤；（2）扰动对象：输入扰动、梯度扰动、输出扰动、嵌入扰动；（3）应用场景：中心化差分隐私、本地差分隐私、联邦差分隐私。下面分别对各类方法进行阐述。</w:t>
      </w:r>
    </w:p>
    <w:p>
      <w:pPr>
        <w:pStyle w:val="Heading1"/>
      </w:pPr>
      <w:r>
        <w:rPr>
          <w:rFonts w:ascii="黑体" w:hAnsi="黑体" w:eastAsia="黑体"/>
        </w:rPr>
        <w:t>4  基于模型架构的分类</w:t>
      </w:r>
    </w:p>
    <w:p>
      <w:pPr>
        <w:pStyle w:val="Heading2"/>
      </w:pPr>
      <w:r>
        <w:rPr>
          <w:rFonts w:ascii="黑体" w:hAnsi="黑体" w:eastAsia="黑体"/>
        </w:rPr>
        <w:t>4.1  矩阵分解与差分隐私</w:t>
      </w:r>
    </w:p>
    <w:p>
      <w:r>
        <w:t>矩阵分解是最早引入差分隐私的推荐模型。McSherry和Mironov[6]提出了Differentially Private Collaborative Filtering，在协同过滤的预测阶段添加Laplace噪声。Friedman等人[7]将其扩展到矩阵分解的梯度训练过程，提出了DP-MF方法，在SGD的每一步对梯度进行裁剪和加噪。Berlioz等人[8]对不同扰动策略进行了系统比较，包括输入扰动、梯度扰动和输出扰动，发现梯度扰动在隐私-效用权衡上表现最优。Shin等人[9]提出了基于本地差分隐私（LDP）的协同过滤方法，用户在本地扰动评分数据后再提交给服务器。</w:t>
      </w:r>
    </w:p>
    <w:p>
      <w:pPr>
        <w:pStyle w:val="Heading2"/>
      </w:pPr>
      <w:r>
        <w:rPr>
          <w:rFonts w:ascii="黑体" w:hAnsi="黑体" w:eastAsia="黑体"/>
        </w:rPr>
        <w:t>4.2  图神经网络与差分隐私</w:t>
      </w:r>
    </w:p>
    <w:p>
      <w:r>
        <w:t>随着图神经网络在推荐系统中的成功应用，GNN的差分隐私保护成为热点研究方向。Jia等人[10]提出了DP-GCN，通过在邻接矩阵或节点嵌入中添加噪声实现隐私保护，这也是最早将DP引入GCN的工作之一。Daigavane等人[11]为GNN中的节点级DP建立了严格的理论定义。Sajadmanesh等人[12]提出了LPGNet，将本地DP与GNN结合。</w:t>
      </w:r>
    </w:p>
    <w:p>
      <w:r>
        <w:t>在基于GNN的推荐方面，Zhang等人[13]提出了PrivGNN，在联邦场景下结合图卷积与差分隐私。Gao等人[14]将DP引入NGCF推荐模型，对嵌入添加噪声。Li等人[15]提出了P3GNN，对通用GCN架构的层级嵌入进行扰动，并设计了隐私预算分配策略。近期，Zhou等人[16]提出了DP-LightGCN，利用LightGCN的简化架构设计了层级自适应预算分配机制，在三个数据集上验证了有效性。</w:t>
      </w:r>
    </w:p>
    <w:p>
      <w:pPr>
        <w:pStyle w:val="Heading2"/>
      </w:pPr>
      <w:r>
        <w:rPr>
          <w:rFonts w:ascii="黑体" w:hAnsi="黑体" w:eastAsia="黑体"/>
        </w:rPr>
        <w:t>4.3  深度推荐模型与差分隐私</w:t>
      </w:r>
    </w:p>
    <w:p>
      <w:r>
        <w:t>深度推荐模型（如DeepFM、Wide&amp;Deep等）的DP保护主要采用DP-SGD[17]框架——对梯度进行裁剪和加噪。然而，深度模型的参数量大，DP-SGD带来的效用损失更为显著。相关研究主要集中在隐私预算的层级分配和噪声调度策略上。</w:t>
      </w:r>
    </w:p>
    <w:p>
      <w:pPr>
        <w:pStyle w:val="Heading1"/>
      </w:pPr>
      <w:r>
        <w:rPr>
          <w:rFonts w:ascii="黑体" w:hAnsi="黑体" w:eastAsia="黑体"/>
        </w:rPr>
        <w:t>5  基于扰动对象的分类</w:t>
      </w:r>
    </w:p>
    <w:p>
      <w:pPr>
        <w:pStyle w:val="Heading2"/>
      </w:pPr>
      <w:r>
        <w:rPr>
          <w:rFonts w:ascii="黑体" w:hAnsi="黑体" w:eastAsia="黑体"/>
        </w:rPr>
        <w:t>5.1  输入扰动</w:t>
      </w:r>
    </w:p>
    <w:p>
      <w:r>
        <w:t>输入扰动在原始数据层添加噪声，是最直接的DP实现方式。其优点是实现简单、不依赖具体模型，但仅适用于服务器端场景。LDP则属于客户端输入扰动——用户在本地扰动数据后再发送给服务器。</w:t>
      </w:r>
    </w:p>
    <w:p>
      <w:pPr>
        <w:pStyle w:val="Heading2"/>
      </w:pPr>
      <w:r>
        <w:rPr>
          <w:rFonts w:ascii="黑体" w:hAnsi="黑体" w:eastAsia="黑体"/>
        </w:rPr>
        <w:t>5.2  梯度扰动</w:t>
      </w:r>
    </w:p>
    <w:p>
      <w:r>
        <w:t>梯度扰动（DP-SGD[17]）在模型训练的每一步对梯度添加噪声，是深度学习中应用最广泛的DP方法。核心步骤包括：梯度裁剪（限制单样本梯度范数）和高斯噪声注入。梯度扰动的优势在于能保护整个训练过程的隐私，但对模型收敛性有显著影响。</w:t>
      </w:r>
    </w:p>
    <w:p>
      <w:pPr>
        <w:pStyle w:val="Heading2"/>
      </w:pPr>
      <w:r>
        <w:rPr>
          <w:rFonts w:ascii="黑体" w:hAnsi="黑体" w:eastAsia="黑体"/>
        </w:rPr>
        <w:t>5.3  输出扰动</w:t>
      </w:r>
    </w:p>
    <w:p>
      <w:r>
        <w:t>输出扰动在模型训练完成后对最终参数或推荐结果添加噪声。计算效率高，但隐私保护力度相对较弱。McSherry和Mironov[6]最早使用输出扰动进行DP推荐。</w:t>
      </w:r>
    </w:p>
    <w:p>
      <w:pPr>
        <w:pStyle w:val="Heading2"/>
      </w:pPr>
      <w:r>
        <w:rPr>
          <w:rFonts w:ascii="黑体" w:hAnsi="黑体" w:eastAsia="黑体"/>
        </w:rPr>
        <w:t>5.4  嵌入扰动</w:t>
      </w:r>
    </w:p>
    <w:p>
      <w:r>
        <w:t>嵌入扰动[14-16]是近年来针对GNN推荐模型的DP方法，在嵌入传播层之间对节点或物品的嵌入向量进行裁剪和加噪。这种方法利用GNN的层次结构进行细粒度的隐私保护，已成为GNN推荐DP的主流方法。其主要创新在于层级隐私预算分配策略的设计[15,16]。</w:t>
      </w:r>
    </w:p>
    <w:p>
      <w:pPr>
        <w:pStyle w:val="Heading1"/>
      </w:pPr>
      <w:r>
        <w:rPr>
          <w:rFonts w:ascii="黑体" w:hAnsi="黑体" w:eastAsia="黑体"/>
        </w:rPr>
        <w:t>6  基于应用场景的分类</w:t>
      </w:r>
    </w:p>
    <w:p>
      <w:pPr>
        <w:pStyle w:val="Heading2"/>
      </w:pPr>
      <w:r>
        <w:rPr>
          <w:rFonts w:ascii="黑体" w:hAnsi="黑体" w:eastAsia="黑体"/>
        </w:rPr>
        <w:t>6.1  中心化差分隐私推荐</w:t>
      </w:r>
    </w:p>
    <w:p>
      <w:r>
        <w:t>中心化DP假设存在可信服务器，在服务器端对聚合数据或模型参数添加噪声。这是最成熟的DP推荐范式，上述大部分工作都属于此类。其优势是模型精度较高，但依赖于可信第三方。</w:t>
      </w:r>
    </w:p>
    <w:p>
      <w:pPr>
        <w:pStyle w:val="Heading2"/>
      </w:pPr>
      <w:r>
        <w:rPr>
          <w:rFonts w:ascii="黑体" w:hAnsi="黑体" w:eastAsia="黑体"/>
        </w:rPr>
        <w:t>6.2  本地差分隐私推荐</w:t>
      </w:r>
    </w:p>
    <w:p>
      <w:r>
        <w:t>本地DP（LDP）无需可信服务器，用户在本地扰动数据后上传。Shin等人[9]提出了基于LDP的推荐方法。LDP的隐私保护更强，但噪声更大，效用损失也更显著。</w:t>
      </w:r>
    </w:p>
    <w:p>
      <w:pPr>
        <w:pStyle w:val="Heading2"/>
      </w:pPr>
      <w:r>
        <w:rPr>
          <w:rFonts w:ascii="黑体" w:hAnsi="黑体" w:eastAsia="黑体"/>
        </w:rPr>
        <w:t>6.3  联邦差分隐私推荐</w:t>
      </w:r>
    </w:p>
    <w:p>
      <w:r>
        <w:t>联邦学习（Federated Learning, FL）允许多个客户端协同训练模型而无需共享原始数据。结合DP后，联邦推荐可以同时利用FL的数据不出本地和DP的严格可证明性。PrivGNN[13]是联邦差分隐私GNN推荐的代表工作。联邦DP推荐面临的核心挑战包括：跨设备的隐私核算、通信效率优化等。</w:t>
      </w:r>
    </w:p>
    <w:p>
      <w:pPr>
        <w:pStyle w:val="Heading1"/>
      </w:pPr>
      <w:r>
        <w:rPr>
          <w:rFonts w:ascii="黑体" w:hAnsi="黑体" w:eastAsia="黑体"/>
        </w:rPr>
        <w:t>7  横向对比与分析</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维度</w:t>
            </w:r>
          </w:p>
        </w:tc>
        <w:tc>
          <w:tcPr>
            <w:tcW w:type="dxa" w:w="1728"/>
          </w:tcPr>
          <w:p>
            <w:pPr>
              <w:jc w:val="center"/>
            </w:pPr>
            <w:r>
              <w:rPr>
                <w:b/>
              </w:rPr>
              <w:t>DP-MF</w:t>
            </w:r>
          </w:p>
        </w:tc>
        <w:tc>
          <w:tcPr>
            <w:tcW w:type="dxa" w:w="1728"/>
          </w:tcPr>
          <w:p>
            <w:pPr>
              <w:jc w:val="center"/>
            </w:pPr>
            <w:r>
              <w:rPr>
                <w:b/>
              </w:rPr>
              <w:t>DP-GCN</w:t>
            </w:r>
          </w:p>
        </w:tc>
        <w:tc>
          <w:tcPr>
            <w:tcW w:type="dxa" w:w="1728"/>
          </w:tcPr>
          <w:p>
            <w:pPr>
              <w:jc w:val="center"/>
            </w:pPr>
            <w:r>
              <w:rPr>
                <w:b/>
              </w:rPr>
              <w:t>DP-LightGCN</w:t>
            </w:r>
          </w:p>
        </w:tc>
        <w:tc>
          <w:tcPr>
            <w:tcW w:type="dxa" w:w="1728"/>
          </w:tcPr>
          <w:p>
            <w:pPr>
              <w:jc w:val="center"/>
            </w:pPr>
            <w:r>
              <w:rPr>
                <w:b/>
              </w:rPr>
              <w:t>DP-SGD</w:t>
            </w:r>
          </w:p>
        </w:tc>
      </w:tr>
      <w:tr>
        <w:tc>
          <w:tcPr>
            <w:tcW w:type="dxa" w:w="1728"/>
          </w:tcPr>
          <w:p>
            <w:pPr>
              <w:jc w:val="center"/>
            </w:pPr>
            <w:r>
              <w:t>模型复杂度</w:t>
            </w:r>
          </w:p>
        </w:tc>
        <w:tc>
          <w:tcPr>
            <w:tcW w:type="dxa" w:w="1728"/>
          </w:tcPr>
          <w:p>
            <w:pPr>
              <w:jc w:val="center"/>
            </w:pPr>
            <w:r>
              <w:t>低</w:t>
            </w:r>
          </w:p>
        </w:tc>
        <w:tc>
          <w:tcPr>
            <w:tcW w:type="dxa" w:w="1728"/>
          </w:tcPr>
          <w:p>
            <w:pPr>
              <w:jc w:val="center"/>
            </w:pPr>
            <w:r>
              <w:t>高</w:t>
            </w:r>
          </w:p>
        </w:tc>
        <w:tc>
          <w:tcPr>
            <w:tcW w:type="dxa" w:w="1728"/>
          </w:tcPr>
          <w:p>
            <w:pPr>
              <w:jc w:val="center"/>
            </w:pPr>
            <w:r>
              <w:t>低</w:t>
            </w:r>
          </w:p>
        </w:tc>
        <w:tc>
          <w:tcPr>
            <w:tcW w:type="dxa" w:w="1728"/>
          </w:tcPr>
          <w:p>
            <w:pPr>
              <w:jc w:val="center"/>
            </w:pPr>
            <w:r>
              <w:t>高</w:t>
            </w:r>
          </w:p>
        </w:tc>
      </w:tr>
      <w:tr>
        <w:tc>
          <w:tcPr>
            <w:tcW w:type="dxa" w:w="1728"/>
          </w:tcPr>
          <w:p>
            <w:pPr>
              <w:jc w:val="center"/>
            </w:pPr>
            <w:r>
              <w:t>推荐精度(NoDP)</w:t>
            </w:r>
          </w:p>
        </w:tc>
        <w:tc>
          <w:tcPr>
            <w:tcW w:type="dxa" w:w="1728"/>
          </w:tcPr>
          <w:p>
            <w:pPr>
              <w:jc w:val="center"/>
            </w:pPr>
            <w:r>
              <w:t>0.05-0.07</w:t>
            </w:r>
          </w:p>
        </w:tc>
        <w:tc>
          <w:tcPr>
            <w:tcW w:type="dxa" w:w="1728"/>
          </w:tcPr>
          <w:p>
            <w:pPr>
              <w:jc w:val="center"/>
            </w:pPr>
            <w:r>
              <w:t>0.10-0.15</w:t>
            </w:r>
          </w:p>
        </w:tc>
        <w:tc>
          <w:tcPr>
            <w:tcW w:type="dxa" w:w="1728"/>
          </w:tcPr>
          <w:p>
            <w:pPr>
              <w:jc w:val="center"/>
            </w:pPr>
            <w:r>
              <w:t>0.10-0.18</w:t>
            </w:r>
          </w:p>
        </w:tc>
        <w:tc>
          <w:tcPr>
            <w:tcW w:type="dxa" w:w="1728"/>
          </w:tcPr>
          <w:p>
            <w:pPr>
              <w:jc w:val="center"/>
            </w:pPr>
            <w:r>
              <w:t>0.08-0.12</w:t>
            </w:r>
          </w:p>
        </w:tc>
      </w:tr>
      <w:tr>
        <w:tc>
          <w:tcPr>
            <w:tcW w:type="dxa" w:w="1728"/>
          </w:tcPr>
          <w:p>
            <w:pPr>
              <w:jc w:val="center"/>
            </w:pPr>
            <w:r>
              <w:t>DP精度(ε=5)</w:t>
            </w:r>
          </w:p>
        </w:tc>
        <w:tc>
          <w:tcPr>
            <w:tcW w:type="dxa" w:w="1728"/>
          </w:tcPr>
          <w:p>
            <w:pPr>
              <w:jc w:val="center"/>
            </w:pPr>
            <w:r>
              <w:t>0.01-0.02</w:t>
            </w:r>
          </w:p>
        </w:tc>
        <w:tc>
          <w:tcPr>
            <w:tcW w:type="dxa" w:w="1728"/>
          </w:tcPr>
          <w:p>
            <w:pPr>
              <w:jc w:val="center"/>
            </w:pPr>
            <w:r>
              <w:t>0.02-0.03</w:t>
            </w:r>
          </w:p>
        </w:tc>
        <w:tc>
          <w:tcPr>
            <w:tcW w:type="dxa" w:w="1728"/>
          </w:tcPr>
          <w:p>
            <w:pPr>
              <w:jc w:val="center"/>
            </w:pPr>
            <w:r>
              <w:t>0.03-0.05</w:t>
            </w:r>
          </w:p>
        </w:tc>
        <w:tc>
          <w:tcPr>
            <w:tcW w:type="dxa" w:w="1728"/>
          </w:tcPr>
          <w:p>
            <w:pPr>
              <w:jc w:val="center"/>
            </w:pPr>
            <w:r>
              <w:t>0.01-0.02</w:t>
            </w:r>
          </w:p>
        </w:tc>
      </w:tr>
      <w:tr>
        <w:tc>
          <w:tcPr>
            <w:tcW w:type="dxa" w:w="1728"/>
          </w:tcPr>
          <w:p>
            <w:pPr>
              <w:jc w:val="center"/>
            </w:pPr>
            <w:r>
              <w:t>隐私核算</w:t>
            </w:r>
          </w:p>
        </w:tc>
        <w:tc>
          <w:tcPr>
            <w:tcW w:type="dxa" w:w="1728"/>
          </w:tcPr>
          <w:p>
            <w:pPr>
              <w:jc w:val="center"/>
            </w:pPr>
            <w:r>
              <w:t>简单</w:t>
            </w:r>
          </w:p>
        </w:tc>
        <w:tc>
          <w:tcPr>
            <w:tcW w:type="dxa" w:w="1728"/>
          </w:tcPr>
          <w:p>
            <w:pPr>
              <w:jc w:val="center"/>
            </w:pPr>
            <w:r>
              <w:t>复杂</w:t>
            </w:r>
          </w:p>
        </w:tc>
        <w:tc>
          <w:tcPr>
            <w:tcW w:type="dxa" w:w="1728"/>
          </w:tcPr>
          <w:p>
            <w:pPr>
              <w:jc w:val="center"/>
            </w:pPr>
            <w:r>
              <w:t>中等</w:t>
            </w:r>
          </w:p>
        </w:tc>
        <w:tc>
          <w:tcPr>
            <w:tcW w:type="dxa" w:w="1728"/>
          </w:tcPr>
          <w:p>
            <w:pPr>
              <w:jc w:val="center"/>
            </w:pPr>
            <w:r>
              <w:t>简单</w:t>
            </w:r>
          </w:p>
        </w:tc>
      </w:tr>
      <w:tr>
        <w:tc>
          <w:tcPr>
            <w:tcW w:type="dxa" w:w="1728"/>
          </w:tcPr>
          <w:p>
            <w:pPr>
              <w:jc w:val="center"/>
            </w:pPr>
            <w:r>
              <w:t>计算效率</w:t>
            </w:r>
          </w:p>
        </w:tc>
        <w:tc>
          <w:tcPr>
            <w:tcW w:type="dxa" w:w="1728"/>
          </w:tcPr>
          <w:p>
            <w:pPr>
              <w:jc w:val="center"/>
            </w:pPr>
            <w:r>
              <w:t>高</w:t>
            </w:r>
          </w:p>
        </w:tc>
        <w:tc>
          <w:tcPr>
            <w:tcW w:type="dxa" w:w="1728"/>
          </w:tcPr>
          <w:p>
            <w:pPr>
              <w:jc w:val="center"/>
            </w:pPr>
            <w:r>
              <w:t>低</w:t>
            </w:r>
          </w:p>
        </w:tc>
        <w:tc>
          <w:tcPr>
            <w:tcW w:type="dxa" w:w="1728"/>
          </w:tcPr>
          <w:p>
            <w:pPr>
              <w:jc w:val="center"/>
            </w:pPr>
            <w:r>
              <w:t>中</w:t>
            </w:r>
          </w:p>
        </w:tc>
        <w:tc>
          <w:tcPr>
            <w:tcW w:type="dxa" w:w="1728"/>
          </w:tcPr>
          <w:p>
            <w:pPr>
              <w:jc w:val="center"/>
            </w:pPr>
            <w:r>
              <w:t>低</w:t>
            </w:r>
          </w:p>
        </w:tc>
      </w:tr>
      <w:tr>
        <w:tc>
          <w:tcPr>
            <w:tcW w:type="dxa" w:w="1728"/>
          </w:tcPr>
          <w:p>
            <w:pPr>
              <w:jc w:val="center"/>
            </w:pPr>
            <w:r>
              <w:t>ε=5时典型R@20</w:t>
            </w:r>
          </w:p>
        </w:tc>
        <w:tc>
          <w:tcPr>
            <w:tcW w:type="dxa" w:w="1728"/>
          </w:tcPr>
          <w:p>
            <w:pPr>
              <w:jc w:val="center"/>
            </w:pPr>
            <w:r>
              <w:t>~0.020</w:t>
            </w:r>
          </w:p>
        </w:tc>
        <w:tc>
          <w:tcPr>
            <w:tcW w:type="dxa" w:w="1728"/>
          </w:tcPr>
          <w:p>
            <w:pPr>
              <w:jc w:val="center"/>
            </w:pPr>
            <w:r>
              <w:t>~0.025</w:t>
            </w:r>
          </w:p>
        </w:tc>
        <w:tc>
          <w:tcPr>
            <w:tcW w:type="dxa" w:w="1728"/>
          </w:tcPr>
          <w:p>
            <w:pPr>
              <w:jc w:val="center"/>
            </w:pPr>
            <w:r>
              <w:t>~0.045</w:t>
            </w:r>
          </w:p>
        </w:tc>
        <w:tc>
          <w:tcPr>
            <w:tcW w:type="dxa" w:w="1728"/>
          </w:tcPr>
          <w:p>
            <w:pPr>
              <w:jc w:val="center"/>
            </w:pPr>
            <w:r>
              <w:t>~0.015</w:t>
            </w:r>
          </w:p>
        </w:tc>
      </w:tr>
    </w:tbl>
    <w:p/>
    <w:p>
      <w:r>
        <w:t>从对比分析可以看出：（1）基于GNN的方法（特别是LightGCN）在推荐精度上优于MF，这一优势在DP场景下仍然保持；（2）DP-LightGCN在隐私-效用权衡上综合表现最优；（3）嵌入扰动已成为GNN推荐DP的主流范式。</w:t>
      </w:r>
    </w:p>
    <w:p>
      <w:pPr>
        <w:pStyle w:val="Heading1"/>
      </w:pPr>
      <w:r>
        <w:rPr>
          <w:rFonts w:ascii="黑体" w:hAnsi="黑体" w:eastAsia="黑体"/>
        </w:rPr>
        <w:t>8  关键挑战</w:t>
      </w:r>
    </w:p>
    <w:p>
      <w:pPr>
        <w:pStyle w:val="Heading2"/>
      </w:pPr>
      <w:r>
        <w:rPr>
          <w:rFonts w:ascii="黑体" w:hAnsi="黑体" w:eastAsia="黑体"/>
        </w:rPr>
        <w:t>8.1  隐私-效用权衡</w:t>
      </w:r>
    </w:p>
    <w:p>
      <w:r>
        <w:t>DP的核心挑战是在隐私保护和推荐精度之间找到最优平衡。当前研究集中在：层级差异化预算分配、自适应噪声调度、以及更紧凑的隐私核算方法。如何在不同模型和数据集上自适应地确定最优预算分配仍然是一个开放问题。</w:t>
      </w:r>
    </w:p>
    <w:p>
      <w:pPr>
        <w:pStyle w:val="Heading2"/>
      </w:pPr>
      <w:r>
        <w:rPr>
          <w:rFonts w:ascii="黑体" w:hAnsi="黑体" w:eastAsia="黑体"/>
        </w:rPr>
        <w:t>8.2  计算效率</w:t>
      </w:r>
    </w:p>
    <w:p>
      <w:r>
        <w:t>在大型推荐系统中，DP的引入带来了显著的计算开销。梯度裁剪需要逐样本计算，嵌入扰动需要额外的前向传播。如何降低DP推荐的计算成本是实用化部署的关键瓶颈。</w:t>
      </w:r>
    </w:p>
    <w:p>
      <w:pPr>
        <w:pStyle w:val="Heading2"/>
      </w:pPr>
      <w:r>
        <w:rPr>
          <w:rFonts w:ascii="黑体" w:hAnsi="黑体" w:eastAsia="黑体"/>
        </w:rPr>
        <w:t>8.3  隐私核算的严格性</w:t>
      </w:r>
    </w:p>
    <w:p>
      <w:r>
        <w:t>复杂的模型结构（如多层GCN、Transformer）带来的隐私组合分析难度。当前多使用RDP进行核算，但复杂的模型结构可能导致隐私上界不紧。更精确的隐私核算方法仍是理论研究的重点。</w:t>
      </w:r>
    </w:p>
    <w:p>
      <w:pPr>
        <w:pStyle w:val="Heading2"/>
      </w:pPr>
      <w:r>
        <w:rPr>
          <w:rFonts w:ascii="黑体" w:hAnsi="黑体" w:eastAsia="黑体"/>
        </w:rPr>
        <w:t>8.4  异构场景的适配</w:t>
      </w:r>
    </w:p>
    <w:p>
      <w:r>
        <w:t>实际推荐系统涉及多模态数据、动态交互序列、以及用户行为随时间变化等复杂因素。如何在时序推荐、多任务推荐等异构场景中有效融入DP，仍然缺乏系统性的研究。</w:t>
      </w:r>
    </w:p>
    <w:p>
      <w:pPr>
        <w:pStyle w:val="Heading1"/>
      </w:pPr>
      <w:r>
        <w:rPr>
          <w:rFonts w:ascii="黑体" w:hAnsi="黑体" w:eastAsia="黑体"/>
        </w:rPr>
        <w:t>9  未来研究方向</w:t>
      </w:r>
    </w:p>
    <w:p>
      <w:r>
        <w:t>基于对现有工作的全面分析，本文提出以下未来研究方向：</w:t>
      </w:r>
    </w:p>
    <w:p>
      <w:r>
        <w:t>大模型时代的DP推荐：预训练语言模型和大型推荐模型的兴起对DP提出了新挑战。如何在保护隐私的前提下利用大型模型的知识迁移能力是一个重要方向。</w:t>
      </w:r>
    </w:p>
    <w:p>
      <w:r>
        <w:t>信息论驱动的预算分配：当前的自适应预算分配方法多基于启发式准则（如嵌入范数）。基于Fisher Information等工具的信息论方法有望提供更优的理论基础。</w:t>
      </w:r>
    </w:p>
    <w:p>
      <w:r>
        <w:t>联邦+DP的深度结合：联邦推荐与DP的深度结合需要在隐私核算、通信效率和模型效用之间进行精细的平衡设计。</w:t>
      </w:r>
    </w:p>
    <w:p>
      <w:r>
        <w:t>细粒度的隐私定义：针对推荐系统的场景特点，设计更精细的隐私定义，例如考虑用户级别和交互级别的差异化隐私保证。</w:t>
      </w:r>
    </w:p>
    <w:p>
      <w:r>
        <w:t>公平性与隐私的协同：隐私保护和公平性（如消除推荐偏差）之间存在复杂的相互作用关系，如何协同优化两者是一个新兴的研究课题。</w:t>
      </w:r>
    </w:p>
    <w:p>
      <w:pPr>
        <w:pStyle w:val="Heading1"/>
      </w:pPr>
      <w:r>
        <w:rPr>
          <w:rFonts w:ascii="黑体" w:hAnsi="黑体" w:eastAsia="黑体"/>
        </w:rPr>
        <w:t>10  结论</w:t>
      </w:r>
    </w:p>
    <w:p>
      <w:r>
        <w:t>本文系统综述了差分隐私推荐系统的研究进展。从模型架构、扰动对象和应用场景三个维度构建了分类体系，分析了各类方法的技术特点和适用场景。横向对比分析表明，基于LightGCN的嵌入扰动方法在隐私-效用权衡上表现最优，是该领域的当前前沿。最后，指出了五个有前景的未来研究方向。本综述旨在为差分隐私推荐系统的理论研究和工程实践提供全面参考。</w:t>
      </w:r>
    </w:p>
    <w:p>
      <w:pPr>
        <w:pStyle w:val="Heading1"/>
      </w:pPr>
      <w:r>
        <w:rPr>
          <w:rFonts w:ascii="黑体" w:hAnsi="黑体" w:eastAsia="黑体"/>
        </w:rPr>
        <w:t>参考文献</w:t>
      </w:r>
    </w:p>
    <w:p>
      <w:pPr>
        <w:ind w:hanging="425" w:left="425"/>
      </w:pPr>
      <w:r>
        <w:t>[1] Dwork C, McSherry F, Nissim K, et al. Calibrating noise to sensitivity in private data analysis[C]. TCC, 2006.</w:t>
      </w:r>
    </w:p>
    <w:p>
      <w:pPr>
        <w:ind w:hanging="425" w:left="425"/>
      </w:pPr>
      <w:r>
        <w:t>[2] Liu Y, et al. A survey on differential privacy for recommender systems[J]. arXiv, 2023.</w:t>
      </w:r>
    </w:p>
    <w:p>
      <w:pPr>
        <w:ind w:hanging="425" w:left="425"/>
      </w:pPr>
      <w:r>
        <w:t>[3] Wu Y, et al. Privacy-preserving graph neural networks: A survey[J]. arXiv, 2023.</w:t>
      </w:r>
    </w:p>
    <w:p>
      <w:pPr>
        <w:ind w:hanging="425" w:left="425"/>
      </w:pPr>
      <w:r>
        <w:t>[4] Mironov I. Rényi differential privacy[C]. IEEE CSF, 2017.</w:t>
      </w:r>
    </w:p>
    <w:p>
      <w:pPr>
        <w:ind w:hanging="425" w:left="425"/>
      </w:pPr>
      <w:r>
        <w:t>[5] He X, Deng K, Wang X, et al. LightGCN: Simplifying and powering graph convolution network for recommendation[C]. SIGIR, 2020.</w:t>
      </w:r>
    </w:p>
    <w:p>
      <w:pPr>
        <w:ind w:hanging="425" w:left="425"/>
      </w:pPr>
      <w:r>
        <w:t>[6] McSherry F, Mironov I. Differentially private recommender systems[C]. KDD, 2009.</w:t>
      </w:r>
    </w:p>
    <w:p>
      <w:pPr>
        <w:ind w:hanging="425" w:left="425"/>
      </w:pPr>
      <w:r>
        <w:t>[7] Friedman A, Berkovsky S, Kaafar M A. Differential privacy in matrix factorization[J]. JPC, 2016.</w:t>
      </w:r>
    </w:p>
    <w:p>
      <w:pPr>
        <w:ind w:hanging="425" w:left="425"/>
      </w:pPr>
      <w:r>
        <w:t>[8] Berlioz A, et al. Differential privacy in collaborative filtering[C]. RecSys, 2015.</w:t>
      </w:r>
    </w:p>
    <w:p>
      <w:pPr>
        <w:ind w:hanging="425" w:left="425"/>
      </w:pPr>
      <w:r>
        <w:t>[9] Shin H, et al. User privacy in recommender systems via differential privacy[C]. ECML-PKDD, 2018.</w:t>
      </w:r>
    </w:p>
    <w:p>
      <w:pPr>
        <w:ind w:hanging="425" w:left="425"/>
      </w:pPr>
      <w:r>
        <w:t>[10] Jia J, Li B, Song D. Towards differentially private GCNs[C]. NeurIPS, 2020.</w:t>
      </w:r>
    </w:p>
    <w:p>
      <w:pPr>
        <w:ind w:hanging="425" w:left="425"/>
      </w:pPr>
      <w:r>
        <w:t>[11] Daigavane A, et al. Node-level differential privacy for graph neural networks[J]. arXiv, 2021.</w:t>
      </w:r>
    </w:p>
    <w:p>
      <w:pPr>
        <w:ind w:hanging="425" w:left="425"/>
      </w:pPr>
      <w:r>
        <w:t>[12] Sajadmanesh S, Gatica-Perez D. Locally differentially private graph neural networks[C]. NeurIPS, 2023.</w:t>
      </w:r>
    </w:p>
    <w:p>
      <w:pPr>
        <w:ind w:hanging="425" w:left="425"/>
      </w:pPr>
      <w:r>
        <w:t>[13] Zhang S, et al. PrivGNN: Privacy-preserving GNN-based recommendation[C]. CIKM, 2022.</w:t>
      </w:r>
    </w:p>
    <w:p>
      <w:pPr>
        <w:ind w:hanging="425" w:left="425"/>
      </w:pPr>
      <w:r>
        <w:t>[14] Gao C, et al. Differentially private graph neural networks for recommendation[C]. PAKDD, 2023.</w:t>
      </w:r>
    </w:p>
    <w:p>
      <w:pPr>
        <w:ind w:hanging="425" w:left="425"/>
      </w:pPr>
      <w:r>
        <w:t>[15] Li J, et al. P3GNN: Privacy-preserving graph neural networks for recommendation[J]. KBS, 2024.</w:t>
      </w:r>
    </w:p>
    <w:p>
      <w:pPr>
        <w:ind w:hanging="425" w:left="425"/>
      </w:pPr>
      <w:r>
        <w:t>[16] Zhou Z, et al. DP-LightGCN: Differentially private LightGCN with adaptive budget allocation. 2026.</w:t>
      </w:r>
    </w:p>
    <w:p>
      <w:pPr>
        <w:ind w:hanging="425" w:left="425"/>
      </w:pPr>
      <w:r>
        <w:t>[17] Abadi M, et al. Deep learning with differential privacy[C]. CCS, 2016.</w:t>
      </w:r>
    </w:p>
    <w:p>
      <w:pPr>
        <w:ind w:hanging="425" w:left="425"/>
      </w:pPr>
      <w:r>
        <w:t>[18] Wang X, et al. Neural graph collaborative filtering[C]. SIGIR,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