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t>DP-LightGCN：基于层级自适应预算分配的</w:t>
        <w:br/>
        <w:t>差分隐私LightGCN推荐模型</w:t>
      </w:r>
    </w:p>
    <w:p>
      <w:pPr>
        <w:jc w:val="center"/>
      </w:pPr>
      <w:r>
        <w:br/>
        <w:br/>
        <w:t>周舟</w:t>
        <w:br/>
        <w:t>2026年6月</w:t>
        <w:br/>
        <w:br/>
      </w:r>
    </w:p>
    <w:p>
      <w:pPr>
        <w:pStyle w:val="Heading1"/>
      </w:pPr>
      <w:r>
        <w:rPr>
          <w:rFonts w:ascii="黑体" w:hAnsi="黑体" w:eastAsia="黑体"/>
        </w:rPr>
        <w:t>摘要</w:t>
      </w:r>
    </w:p>
    <w:p>
      <w:r>
        <w:t>本文提出DP-LightGCN，一个嵌入级差分隐私框架。核心创新包括：（1）基于嵌入范数的层级自适应预算分配，为信息密度更高的层分配更多隐私预算；（2）自适应裁剪机制，动态调节敏感度。在Gowalla、Yelp2018和Amazon-Book三个基准数据集上的实验表明，自适应策略在强隐私（ε=5）下，Recall@20比均匀分配分别高出56%、91%和98%，比递减分配高出25%、68%和29%。与DP-MF基线相比，DP-LightGCN在ε=5时提升123%。消融实验验证了裁剪策略的必要性和K=3为最优层数。</w:t>
      </w:r>
    </w:p>
    <w:p>
      <w:r>
        <w:rPr>
          <w:b/>
        </w:rPr>
        <w:t>关键词：</w:t>
      </w:r>
      <w:r>
        <w:t>差分隐私；LightGCN；推荐系统；隐私保护；层级自适应预算分配</w:t>
      </w:r>
    </w:p>
    <w:p>
      <w:pPr>
        <w:pStyle w:val="Heading1"/>
      </w:pPr>
      <w:r>
        <w:rPr>
          <w:rFonts w:ascii="黑体" w:hAnsi="黑体" w:eastAsia="黑体"/>
        </w:rPr>
        <w:t>1  引言</w:t>
      </w:r>
    </w:p>
    <w:p>
      <w:r>
        <w:t>推荐系统已成为现代信息平台的核心组件。LightGCN [1] 因其简化架构实现了最优性能。然而，用户交互数据包含敏感信息，容易受到隐私攻击。差分隐私（DP）[2] 提供了严格的隐私保护理论保证。本文提出DP-LightGCN框架，主要贡献如下：</w:t>
      </w:r>
    </w:p>
    <w:p>
      <w:r>
        <w:t>（1）提出基于嵌入范数的层级自适应隐私预算分配策略</w:t>
      </w:r>
    </w:p>
    <w:p>
      <w:r>
        <w:t>（2）设计自适应裁剪机制，无需手动调整即可控制敏感度</w:t>
      </w:r>
    </w:p>
    <w:p>
      <w:r>
        <w:t>（3）在三个基准数据集上全面验证方法有效性，Recall@20提升56%-98%</w:t>
      </w:r>
    </w:p>
    <w:p>
      <w:r>
        <w:t>（4）与DP-MF基线对比，DP-LightGCN在ε=5时提升123%</w:t>
      </w:r>
    </w:p>
    <w:p>
      <w:pPr>
        <w:pStyle w:val="Heading1"/>
      </w:pPr>
      <w:r>
        <w:rPr>
          <w:rFonts w:ascii="黑体" w:hAnsi="黑体" w:eastAsia="黑体"/>
        </w:rPr>
        <w:t>2  方法</w:t>
      </w:r>
    </w:p>
    <w:p>
      <w:pPr>
        <w:pStyle w:val="Heading2"/>
      </w:pPr>
      <w:r>
        <w:rPr>
          <w:rFonts w:ascii="黑体" w:hAnsi="黑体" w:eastAsia="黑体"/>
        </w:rPr>
        <w:t>2.1  自适应裁剪的嵌入级DP</w:t>
      </w:r>
    </w:p>
    <w:p>
      <w:r>
        <w:t>裁剪阈值：C_k = max(2·avg_norm, 0.1)</w:t>
      </w:r>
    </w:p>
    <w:p>
      <w:r>
        <w:t>噪声尺度：σ_k = C_k·√(2log(1.25/δ))/ε_k</w:t>
      </w:r>
    </w:p>
    <w:p>
      <w:r>
        <w:t>裁剪操作将嵌入范数限制在C_k内，敏感度为C_k，加噪实现(ε,δ)-DP。</w:t>
      </w:r>
    </w:p>
    <w:p>
      <w:pPr>
        <w:pStyle w:val="Heading2"/>
      </w:pPr>
      <w:r>
        <w:rPr>
          <w:rFonts w:ascii="黑体" w:hAnsi="黑体" w:eastAsia="黑体"/>
        </w:rPr>
        <w:t>2.2  层级预算分配策略</w:t>
      </w:r>
    </w:p>
    <w:p>
      <w:r>
        <w:t>均匀分配：ε_k = ε/K，为最简单的基线策略。</w:t>
      </w:r>
    </w:p>
    <w:p>
      <w:r>
        <w:t>递减分配：ε_k = ε·(1/k)/Σ(1/j)，为浅层分配更多预算。</w:t>
      </w:r>
    </w:p>
    <w:p>
      <w:r>
        <w:t>自适应分配（本文）：ε_k = ε·‖E^{(k)}‖_F/Σ‖E^{(j)}‖_F，根据嵌入信息密度分配。</w:t>
      </w:r>
    </w:p>
    <w:p>
      <w:pPr>
        <w:pStyle w:val="Heading2"/>
      </w:pPr>
      <w:r>
        <w:rPr>
          <w:rFonts w:ascii="黑体" w:hAnsi="黑体" w:eastAsia="黑体"/>
        </w:rPr>
        <w:t>2.3  隐私核算</w:t>
      </w:r>
    </w:p>
    <w:p>
      <w:r>
        <w:t>使用Rényi DP复合计算总隐私消耗。ε̄_k(α)=α/(2σ²_k)，累加后转换回(ε,δ)-DP。</w:t>
      </w:r>
    </w:p>
    <w:p>
      <w:pPr>
        <w:pStyle w:val="Heading1"/>
      </w:pPr>
      <w:r>
        <w:rPr>
          <w:rFonts w:ascii="黑体" w:hAnsi="黑体" w:eastAsia="黑体"/>
        </w:rPr>
        <w:t>3  实验</w:t>
      </w:r>
    </w:p>
    <w:p>
      <w:pPr>
        <w:pStyle w:val="Heading2"/>
      </w:pPr>
      <w:r>
        <w:rPr>
          <w:rFonts w:ascii="黑体" w:hAnsi="黑体" w:eastAsia="黑体"/>
        </w:rPr>
        <w:t>3.1 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数据集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用户数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物品数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训练交互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测试交互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稀疏度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Gowalla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29,858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40,981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810,128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217,242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0.066%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Yelp2018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31,668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38,048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1,237,259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324,147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Amazon-Book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52,643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91,599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2,380,730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603,378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0.049%</w:t>
            </w:r>
          </w:p>
        </w:tc>
      </w:tr>
    </w:tbl>
    <w:p/>
    <w:p>
      <w:r>
        <w:t>评估指标为Recall@20和NDCG@20。模型：3层GCN、64维嵌入、Adam优化器、lr=0.001。</w:t>
      </w:r>
    </w:p>
    <w:p>
      <w:pPr>
        <w:pStyle w:val="Heading2"/>
      </w:pPr>
      <w:r>
        <w:rPr>
          <w:rFonts w:ascii="黑体" w:hAnsi="黑体" w:eastAsia="黑体"/>
        </w:rPr>
        <w:t>3.2  Gowalla主实验结果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ε=5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ε=10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ε=20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LightGCN (No DP)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0.1064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DP-LightGCN (Uniform)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DP-LightGCN (Decreasing)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0.0361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DP-LightGCN (Adaptive)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0.0448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0.0049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0.0052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 跨数据集对比（ε=5）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数据集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NoDP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Adaptive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Uniform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Decreasing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提升(Adaptive vs Uniform)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Gowalla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0.0448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0.0288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0.0361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Yelp2018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0.0343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+91%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Amazon-Book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+98%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 与DP-MF基线对比（Gowalla, ε=5）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Recall@20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vs DP-MF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DP-MF (梯度扰动)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0.0201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DP-LightGCN (Uniform)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0.0288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+43%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DP-LightGCN (Decreasing)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0.0361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+80%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DP-LightGCN (Adaptive)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0.0448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+123%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3.5  消融实验</w:t>
      </w:r>
    </w:p>
    <w:p>
      <w:pPr>
        <w:pStyle w:val="Heading3"/>
      </w:pPr>
      <w:r>
        <w:rPr>
          <w:rFonts w:ascii="黑体" w:hAnsi="黑体" w:eastAsia="黑体"/>
        </w:rPr>
        <w:t>裁剪策略对比（Gowalla, 40 epochs）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ε=5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ε=10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ε=20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DP-LightGCN (裁剪+加噪)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0.0266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LightGCN (无DP)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0.0914</w:t>
            </w:r>
          </w:p>
        </w:tc>
      </w:tr>
    </w:tbl>
    <w:p/>
    <w:p>
      <w:r>
        <w:t>裁剪是必要的隐私代价：DP使Recall从0.094降至0.027（ε=5）。</w:t>
      </w:r>
    </w:p>
    <w:p>
      <w:pPr>
        <w:pStyle w:val="Heading3"/>
      </w:pPr>
      <w:r>
        <w:rPr>
          <w:rFonts w:ascii="黑体" w:hAnsi="黑体" w:eastAsia="黑体"/>
        </w:rPr>
        <w:t>层数敏感性（Gowalla, ε=5, 40 epochs）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层数 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Recall@20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0.0223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0.0017</w:t>
            </w:r>
          </w:p>
        </w:tc>
      </w:tr>
    </w:tbl>
    <w:p/>
    <w:p>
      <w:r>
        <w:t>K=3为最优，与标准LightGCN一致。K=1和K=2信息不足，K=4出现过平滑。</w:t>
      </w:r>
    </w:p>
    <w:p>
      <w:pPr>
        <w:pStyle w:val="Heading3"/>
      </w:pPr>
      <w:r>
        <w:rPr>
          <w:rFonts w:ascii="黑体" w:hAnsi="黑体" w:eastAsia="黑体"/>
        </w:rPr>
        <w:t>详细隐私-效用曲线（Gowalla, Adaptive）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Recall@20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0.0204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0.0869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NDCG@20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0.0725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4  图表清单</w:t>
      </w:r>
    </w:p>
    <w:p>
      <w:r>
        <w:t>以下图表位于 results/figures/ 目录：</w:t>
      </w:r>
    </w:p>
    <w:p>
      <w:r>
        <w:t>• Figure 1: privacy_utility_all.pdf — 三数据集隐私-效用曲线</w:t>
      </w:r>
    </w:p>
    <w:p>
      <w:r>
        <w:t>• Figure 2: strategy_comparison.pdf — Gowalla三种策略对比</w:t>
      </w:r>
    </w:p>
    <w:p>
      <w:r>
        <w:t>• Figure 3: ablation_clipping.pdf — 裁剪策略消融</w:t>
      </w:r>
    </w:p>
    <w:p>
      <w:r>
        <w:t>• Figure 4: ablation_layers.pdf — 层数敏感性分析</w:t>
      </w:r>
    </w:p>
    <w:p>
      <w:r>
        <w:t>• Figure 5: detailed_epsilons.pdf — 详细epsilon曲线</w:t>
      </w:r>
    </w:p>
    <w:p>
      <w:pPr>
        <w:pStyle w:val="Heading1"/>
      </w:pPr>
      <w:r>
        <w:rPr>
          <w:rFonts w:ascii="黑体" w:hAnsi="黑体" w:eastAsia="黑体"/>
        </w:rPr>
        <w:t>5  讨论</w:t>
      </w:r>
    </w:p>
    <w:p>
      <w:pPr>
        <w:pStyle w:val="Heading2"/>
      </w:pPr>
      <w:r>
        <w:rPr>
          <w:rFonts w:ascii="黑体" w:hAnsi="黑体" w:eastAsia="黑体"/>
        </w:rPr>
        <w:t>5.1  Fisher Information探索</w:t>
      </w:r>
    </w:p>
    <w:p>
      <w:r>
        <w:t>本文还探索了基于Fisher Information的预算分配方法。理论上，Fisher Information能更精确地衡量各层对任务的重要性。然而，实验发现梯度幅值过小（~10⁻⁶），导致Fisher-based分配近似均匀分配。这可能是由于LightGCN的层间平均池化分散了梯度信号。如何高效稳定地估计Fisher Information是未来研究方向。</w:t>
      </w:r>
    </w:p>
    <w:p>
      <w:pPr>
        <w:pStyle w:val="Heading1"/>
      </w:pPr>
      <w:r>
        <w:rPr>
          <w:rFonts w:ascii="黑体" w:hAnsi="黑体" w:eastAsia="黑体"/>
        </w:rPr>
        <w:t>6  结论</w:t>
      </w:r>
    </w:p>
    <w:p>
      <w:r>
        <w:t>本文提出DP-LightGCN框架。在Gowalla、Yelp2018和Amazon-Book三个数据集上的实验表明，自适应预算分配策略在强隐私（ε=5）下始终最优，优于均匀和递减基线。与DP-MF相比提升123%。消融实验验证了DP裁剪的必要性和K=3的最优性。</w:t>
      </w:r>
    </w:p>
    <w:p>
      <w:pPr>
        <w:pStyle w:val="Heading1"/>
      </w:pPr>
      <w:r>
        <w:rPr>
          <w:rFonts w:ascii="黑体" w:hAnsi="黑体" w:eastAsia="黑体"/>
        </w:rPr>
        <w:t>参考文献</w:t>
      </w:r>
    </w:p>
    <w:p>
      <w:pPr>
        <w:ind w:hanging="425" w:left="425"/>
      </w:pPr>
      <w:r>
        <w:t>[1] He X, Deng K, Wang X, et al. LightGCN: Simplifying and powering graph convolution network for recommendation[C]. SIGIR, 2020.</w:t>
      </w:r>
    </w:p>
    <w:p>
      <w:pPr>
        <w:ind w:hanging="425" w:left="425"/>
      </w:pPr>
      <w:r>
        <w:t>[2] Dwork C, McSherry F, Nissim K, et al. Calibrating noise to sensitivity in private data analysis[C]. TCC, 2006.</w:t>
      </w:r>
    </w:p>
    <w:p>
      <w:pPr>
        <w:ind w:hanging="425" w:left="425"/>
      </w:pPr>
      <w:r>
        <w:t>[3] Mironov I. Rényi differential privacy[C]. IEEE CSF, 2017.</w:t>
      </w:r>
    </w:p>
    <w:p>
      <w:pPr>
        <w:ind w:hanging="425" w:left="425"/>
      </w:pPr>
      <w:r>
        <w:t>[4] Abadi M, Chu A, Goodfellow I, et al. Deep learning with differential privacy[C]. CCS, 2016.</w:t>
      </w:r>
    </w:p>
    <w:p>
      <w:pPr>
        <w:ind w:hanging="425" w:left="425"/>
      </w:pPr>
      <w:r>
        <w:t>[5] McSherry F, Mironov I. Differentially private recommender systems[C]. KDD, 2009.</w:t>
      </w:r>
    </w:p>
    <w:p>
      <w:pPr>
        <w:ind w:hanging="425" w:left="425"/>
      </w:pPr>
      <w:r>
        <w:t>[6] Friedman A, Berkovsky S, Kaafar M A. Differential privacy in matrix factorization[J]. JPC, 2016.</w:t>
      </w:r>
    </w:p>
    <w:p>
      <w:pPr>
        <w:ind w:hanging="425" w:left="425"/>
      </w:pPr>
      <w:r>
        <w:t>[7] Jia J, Li B, Song D. Towards differentially private GCNs[C]. NeurIPS, 2020.</w:t>
      </w:r>
    </w:p>
    <w:p>
      <w:pPr>
        <w:ind w:hanging="425" w:left="425"/>
      </w:pPr>
      <w:r>
        <w:t>[8] Li J, Xu Y, Zhang Z. P3GNN: Privacy-preserving graph neural networks for recommendation[J]. KBS,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