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CCFB4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AI-SSHR：基于空间结构学习的量子线路自动综合与硬件适配平台</w:t>
      </w:r>
    </w:p>
    <w:p w14:paraId="06C99518">
      <w:pPr>
        <w:jc w:val="both"/>
        <w:rPr>
          <w:rFonts w:hint="eastAsia"/>
        </w:rPr>
      </w:pPr>
      <w:r>
        <w:rPr>
          <w:rFonts w:hint="eastAsia"/>
        </w:rPr>
        <w:t>AI-SSHR：用机器学习自动选择 Boolean hypercube 中的 parallelotope 结构，生成更短、更适配硬件拓扑的 Oracle / 稀疏态制备线路，并服务于量子 AI 任务。</w:t>
      </w:r>
    </w:p>
    <w:p w14:paraId="1C5E351F">
      <w:pPr>
        <w:jc w:val="both"/>
        <w:rPr>
          <w:rFonts w:hint="eastAsia"/>
        </w:rPr>
      </w:pPr>
      <w:r>
        <w:rPr>
          <w:rFonts w:hint="eastAsia"/>
        </w:rPr>
        <w:t>用 AI 学习 SSHR-I/Beam 的结构选择偏好，在保证电路功能等价的前提下，快速生成接近 ILP 质量、且适配硬件拓扑的量子线路。</w:t>
      </w:r>
    </w:p>
    <w:p w14:paraId="6433E2D4">
      <w:pPr>
        <w:jc w:val="both"/>
        <w:rPr>
          <w:rFonts w:hint="eastAsia"/>
        </w:rPr>
      </w:pPr>
    </w:p>
    <w:p w14:paraId="04E069E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两个方向：1.用rl搜索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2.将函数的结果放在一个ai求解的结果下去比较</w:t>
      </w:r>
    </w:p>
    <w:p w14:paraId="5813501A">
      <w:pPr>
        <w:jc w:val="both"/>
        <w:rPr>
          <w:rFonts w:hint="eastAsia"/>
          <w:lang w:val="en-US" w:eastAsia="zh-CN"/>
        </w:rPr>
      </w:pPr>
    </w:p>
    <w:p w14:paraId="3F315144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对于方向1:随着比特数增长，SSHR 的候选多面体空间迅速膨胀，使完整 ILP 和人工搜索难以扩展。AI-SSHR 通过学习高质量解中的结构选择规律，对候选空间进行排序与剪枝，从而在可控搜索预算下获得更优线路。AI 在结构层学习 Boolean hypercube 的空间规律，在电路层学习局部门级化简规律。</w:t>
      </w:r>
      <w:bookmarkStart w:id="0" w:name="_GoBack"/>
      <w:bookmarkEnd w:id="0"/>
    </w:p>
    <w:p w14:paraId="22768996">
      <w:pPr>
        <w:jc w:val="both"/>
      </w:pPr>
      <w:r>
        <w:drawing>
          <wp:inline distT="0" distB="0" distL="114300" distR="114300">
            <wp:extent cx="5272405" cy="2091055"/>
            <wp:effectExtent l="0" t="0" r="1079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0D535">
      <w:pPr>
        <w:jc w:val="both"/>
      </w:pPr>
      <w:r>
        <w:drawing>
          <wp:inline distT="0" distB="0" distL="114300" distR="114300">
            <wp:extent cx="5268595" cy="2924175"/>
            <wp:effectExtent l="0" t="0" r="14605" b="222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B42C6">
      <w:pPr>
        <w:jc w:val="both"/>
        <w:rPr>
          <w:rFonts w:hint="eastAsia"/>
        </w:rPr>
      </w:pPr>
      <w:r>
        <w:rPr>
          <w:rFonts w:hint="eastAsia"/>
        </w:rPr>
        <w:t>提出 parallelotope-aware 的量子线路学习框架。</w:t>
      </w:r>
    </w:p>
    <w:p w14:paraId="7AE9456A">
      <w:pPr>
        <w:jc w:val="both"/>
        <w:rPr>
          <w:rFonts w:hint="eastAsia"/>
        </w:rPr>
      </w:pPr>
      <w:r>
        <w:rPr>
          <w:rFonts w:hint="eastAsia"/>
        </w:rPr>
        <w:t>用 ILP/Beam 生成高质量标签，训练快速策略模型。</w:t>
      </w:r>
    </w:p>
    <w:p w14:paraId="51BA155A">
      <w:pPr>
        <w:jc w:val="both"/>
        <w:rPr>
          <w:rFonts w:hint="eastAsia"/>
        </w:rPr>
      </w:pPr>
      <w:r>
        <w:rPr>
          <w:rFonts w:hint="eastAsia"/>
        </w:rPr>
        <w:t>将 SSHR 从 CNOT/T 优化扩展到 topology-aware 优化。</w:t>
      </w:r>
    </w:p>
    <w:p w14:paraId="6069457B">
      <w:pPr>
        <w:jc w:val="both"/>
        <w:rPr>
          <w:rFonts w:hint="eastAsia"/>
        </w:rPr>
      </w:pPr>
      <w:r>
        <w:rPr>
          <w:rFonts w:hint="eastAsia"/>
        </w:rPr>
        <w:t>保留严格等价验证：AI 只选择结构块，线路语义由 synth_block 保证。</w:t>
      </w:r>
    </w:p>
    <w:p w14:paraId="33CF498F">
      <w:pPr>
        <w:jc w:val="both"/>
        <w:rPr>
          <w:rFonts w:hint="eastAsia"/>
        </w:rPr>
      </w:pPr>
      <w:r>
        <w:rPr>
          <w:rFonts w:hint="eastAsia"/>
        </w:rPr>
        <w:t>面向 QML 数据编码和 Oracle 构造，形成量子 AI 应用闭环。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2FFEFD42"/>
    <w:rsid w:val="5F5E856B"/>
    <w:rsid w:val="7DF14DEA"/>
    <w:rsid w:val="CEDF7D5A"/>
    <w:rsid w:val="DFFF4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214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zhouzixiang</cp:lastModifiedBy>
  <dcterms:modified xsi:type="dcterms:W3CDTF">2026-06-10T17:14:33Z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7CD85D9BC3C439ECFE828868C9F27BF0_41</vt:lpwstr>
  </property>
</Properties>
</file>