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</w:pP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Course Syllabus: 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MA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7007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32"/>
          <w:szCs w:val="32"/>
        </w:rPr>
        <w:t>Methods of Applied Math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Semester 20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2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3-20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2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4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fall</w:t>
      </w:r>
    </w:p>
    <w:p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Instructor: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ZHANG, Zhen （张振）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Office: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  <w:lang w:val="en-US" w:eastAsia="zh-CN"/>
        </w:rPr>
        <w:t xml:space="preserve">School of Science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5014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Phone: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88018753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Email: </w:t>
      </w:r>
      <w:r>
        <w:fldChar w:fldCharType="begin"/>
      </w:r>
      <w:r>
        <w:instrText xml:space="preserve"> HYPERLINK "mailto:zhangz@sustech.edu.cn" </w:instrText>
      </w:r>
      <w:r>
        <w:fldChar w:fldCharType="separate"/>
      </w:r>
      <w:r>
        <w:rPr>
          <w:rStyle w:val="8"/>
          <w:rFonts w:hint="eastAsia" w:ascii="TimesNewRomanPSMT" w:hAnsi="TimesNewRomanPSMT" w:cs="TimesNewRomanPSMT"/>
          <w:kern w:val="0"/>
          <w:sz w:val="24"/>
          <w:szCs w:val="24"/>
        </w:rPr>
        <w:t>zhangz</w:t>
      </w:r>
      <w:r>
        <w:rPr>
          <w:rStyle w:val="8"/>
          <w:rFonts w:ascii="TimesNewRomanPSMT" w:hAnsi="TimesNewRomanPSMT" w:cs="TimesNewRomanPSMT"/>
          <w:kern w:val="0"/>
          <w:sz w:val="24"/>
          <w:szCs w:val="24"/>
        </w:rPr>
        <w:t>@</w:t>
      </w:r>
      <w:r>
        <w:rPr>
          <w:rStyle w:val="8"/>
          <w:rFonts w:hint="eastAsia" w:ascii="TimesNewRomanPSMT" w:hAnsi="TimesNewRomanPSMT" w:cs="TimesNewRomanPSMT"/>
          <w:kern w:val="0"/>
          <w:sz w:val="24"/>
          <w:szCs w:val="24"/>
        </w:rPr>
        <w:t>sustech</w:t>
      </w:r>
      <w:r>
        <w:rPr>
          <w:rStyle w:val="8"/>
          <w:rFonts w:ascii="TimesNewRomanPSMT" w:hAnsi="TimesNewRomanPSMT" w:cs="TimesNewRomanPSMT"/>
          <w:kern w:val="0"/>
          <w:sz w:val="24"/>
          <w:szCs w:val="24"/>
        </w:rPr>
        <w:t>.edu.</w:t>
      </w:r>
      <w:r>
        <w:rPr>
          <w:rStyle w:val="8"/>
          <w:rFonts w:hint="eastAsia" w:ascii="TimesNewRomanPSMT" w:hAnsi="TimesNewRomanPSMT" w:cs="TimesNewRomanPSMT"/>
          <w:kern w:val="0"/>
          <w:sz w:val="24"/>
          <w:szCs w:val="24"/>
        </w:rPr>
        <w:t>cn</w:t>
      </w:r>
      <w:r>
        <w:rPr>
          <w:rStyle w:val="8"/>
          <w:rFonts w:hint="eastAsia" w:ascii="TimesNewRomanPSMT" w:hAnsi="TimesNewRomanPSMT" w:cs="TimesNewRomanPSMT"/>
          <w:kern w:val="0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Office hour: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>Every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Tu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esd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ay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afternoon, 15:00-1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6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: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0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0; or 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end email to make an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appointment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for other time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</w:pP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Lecture: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>3 credits, 3 hours per week</w:t>
      </w: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, location: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  <w:vertAlign w:val="superscript"/>
          <w:lang w:val="en-US" w:eastAsia="zh-CN"/>
        </w:rPr>
        <w:t>rd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  <w:lang w:val="en-US" w:eastAsia="zh-CN"/>
        </w:rPr>
        <w:t xml:space="preserve">Teaching Building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>30</w:t>
      </w: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8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>(</w:t>
      </w: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Wednesday 10:20-12:10, Bi-weekly Monday 16:20-18:10)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FF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Prerequisite: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Ordinary differential equations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A (or B), Partial differential equations,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Complex analysis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Requirements: 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Approximately </w:t>
      </w:r>
      <w:r>
        <w:rPr>
          <w:rFonts w:ascii="TimesNewRomanPS-BoldMT" w:hAnsi="TimesNewRomanPS-BoldMT" w:cs="TimesNewRomanPS-BoldMT"/>
          <w:bCs/>
          <w:color w:val="000000"/>
          <w:kern w:val="0"/>
          <w:sz w:val="24"/>
          <w:szCs w:val="24"/>
        </w:rPr>
        <w:t>7</w:t>
      </w:r>
      <w:r>
        <w:rPr>
          <w:rFonts w:hint="eastAsia" w:ascii="TimesNewRomanPS-BoldMT" w:hAnsi="TimesNewRomanPS-BoldMT" w:cs="TimesNewRomanPS-BoldMT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homework assignments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(Once per two weeks)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Please hand in your homework to me or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TA in class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The midterm and final exam will be close-book written exams.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Your grade will be based on assignments (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3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5%),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 attendance (5%)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, closed-book midterm exam (20%) and final exam (</w:t>
      </w: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40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%).</w:t>
      </w: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</w:pPr>
      <w:r>
        <w:rPr>
          <w:rFonts w:hint="eastAsia"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Main Contents</w:t>
      </w: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 xml:space="preserve">: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This course is intended for graduate students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and high-level undergraduate students who are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interested in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modeling and computational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mathematics in science and engineering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. It provides a concise and self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-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contained introduction to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asymptotic methods and perturbation theory for obtaining approximate analytical solutions to differential equations.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Major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topics include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 dimensional analysis, perturbation methods for algebraic equations, </w:t>
      </w:r>
      <w:r>
        <w:rPr>
          <w:rFonts w:hint="eastAsia"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 xml:space="preserve">local analysis of solutions to differential equations, asymptotic expansion of integrals, global analysis and perturbation methods, matched asymptotic analysis (boundary layer), WKB theory, multiple-scale analysis, homogenization method, bifurcation and stability, and some further topics including </w:t>
      </w:r>
      <w:r>
        <w:rPr>
          <w:rFonts w:ascii="TimesNewRomanPS-ItalicMT" w:hAnsi="TimesNewRomanPS-ItalicMT" w:cs="TimesNewRomanPS-ItalicMT"/>
          <w:i/>
          <w:iCs/>
          <w:color w:val="000000"/>
          <w:kern w:val="0"/>
          <w:sz w:val="24"/>
          <w:szCs w:val="24"/>
        </w:rPr>
        <w:t>variational analysis and Onsager’s principle.</w:t>
      </w:r>
    </w:p>
    <w:p>
      <w:pPr>
        <w:autoSpaceDE w:val="0"/>
        <w:autoSpaceDN w:val="0"/>
        <w:adjustRightInd w:val="0"/>
        <w:rPr>
          <w:rFonts w:ascii="TimesNewRomanPS-ItalicMT" w:hAnsi="TimesNewRomanPS-ItalicMT" w:cs="TimesNewRomanPS-ItalicMT"/>
          <w:i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kern w:val="0"/>
          <w:sz w:val="24"/>
          <w:szCs w:val="24"/>
        </w:rPr>
        <w:t>References: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  <w:u w:val="single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  <w:u w:val="single"/>
        </w:rPr>
        <w:t xml:space="preserve">1*. (Textbook)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  <w:u w:val="single"/>
        </w:rPr>
        <w:t>C. M. Bender and S. A. Orszag, Advanced mathematical methods for scientists and engineers, Springer, 1999.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  <w:u w:val="single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  <w:u w:val="single"/>
        </w:rPr>
        <w:t xml:space="preserve">2*.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  <w:u w:val="single"/>
        </w:rPr>
        <w:t>M. H. Holmes, Introduction to perturbation methods, Springer-Verlag, 1995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  <w:u w:val="single"/>
        </w:rPr>
        <w:t>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3*. A. W. Bush, Perturbation methods for engineers and scientists, Boca Raton, 1992.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4*. E. J. Hinch, Perburbation methods, Cambridge University Press, 1991.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5^. A. Bensoussan, J.-L. Lions, G. Papanicolaou, Asymptotic analysis for periodic structures, North-Holland, Oxford, 1978.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6^. U. Hornung, Homogenization and porous media, Springer, 1997.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7^. G. A. Pavliotis, A. M. Stuart, Multiscale methods: averaging and homogenization, Springer, 2008.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8#.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Bruce van Brunt, The Calculus of Variations, Springer-Verlag, 2004.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9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#.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张恭庆，变分学讲义，高等教育出版社，2011.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10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#.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M. Giaquinta and S. Hildebrandt, Calculus of Variations, Vol. I and II, Springer, 1996.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1#.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Da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niel Liberzon, Calculus of Variations and Optimal Control Theory, Princeton University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Press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, 2012.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The books with *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are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standard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textbook about 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perturbation methods; books with ^ 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concerns mathematical</w:t>
      </w: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 xml:space="preserve"> homogenization methods; books with # discuss calculus of variations.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24130</wp:posOffset>
                </wp:positionV>
                <wp:extent cx="4184015" cy="4530090"/>
                <wp:effectExtent l="0" t="0" r="6985" b="381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453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264920" cy="2014855"/>
                                  <wp:effectExtent l="0" t="0" r="0" b="4445"/>
                                  <wp:docPr id="2" name="图片 2" descr="文本, 信件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文本, 信件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759" cy="20247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1341755" cy="2008505"/>
                                  <wp:effectExtent l="0" t="0" r="0" b="0"/>
                                  <wp:docPr id="3" name="图片 3" descr="图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图示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148" cy="20321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drawing>
                                <wp:inline distT="0" distB="0" distL="0" distR="0">
                                  <wp:extent cx="1285875" cy="2021840"/>
                                  <wp:effectExtent l="0" t="0" r="0" b="0"/>
                                  <wp:docPr id="5" name="图片 5" descr="图示&#10;&#10;中度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 descr="图示&#10;&#10;中度可信度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5782" cy="2069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drawing>
                                <wp:inline distT="0" distB="0" distL="0" distR="0">
                                  <wp:extent cx="1339215" cy="2017395"/>
                                  <wp:effectExtent l="0" t="0" r="0" b="190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70" cy="20567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drawing>
                                <wp:inline distT="0" distB="0" distL="0" distR="0">
                                  <wp:extent cx="1288415" cy="2015490"/>
                                  <wp:effectExtent l="0" t="0" r="6985" b="3810"/>
                                  <wp:docPr id="17" name="图片 17" descr="图片包含 地图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 descr="图片包含 地图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0060" cy="20808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drawing>
                                <wp:inline distT="0" distB="0" distL="0" distR="0">
                                  <wp:extent cx="1339850" cy="2019300"/>
                                  <wp:effectExtent l="0" t="0" r="0" b="0"/>
                                  <wp:docPr id="18" name="图片 18" descr="信件&#10;&#10;中度可信度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8" descr="信件&#10;&#10;中度可信度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4464" cy="2100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napToGrid w:val="0"/>
                                <w:color w:val="000000"/>
                                <w:w w:val="0"/>
                                <w:kern w:val="0"/>
                                <w:sz w:val="0"/>
                                <w:szCs w:val="0"/>
                                <w:u w:color="000000"/>
                                <w:shd w:val="clear" w:color="000000" w:fill="000000"/>
                                <w:lang w:val="zh-CN" w:eastAsia="zh-CN" w:bidi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5pt;margin-top:1.9pt;height:356.7pt;width:329.45pt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bCLn9UAAAAH&#10;AQAADwAAAAAAAAABACAAAAAiAAAAZHJzL2Rvd25yZXYueG1sUEsBAhQAFAAAAAgAh07iQBLaFbMf&#10;AgAABwQAAA4AAAAAAAAAAQAgAAAAJA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264920" cy="2014855"/>
                            <wp:effectExtent l="0" t="0" r="0" b="4445"/>
                            <wp:docPr id="2" name="图片 2" descr="文本, 信件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文本, 信件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759" cy="20247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</w:t>
                      </w:r>
                      <w:r>
                        <w:drawing>
                          <wp:inline distT="0" distB="0" distL="0" distR="0">
                            <wp:extent cx="1341755" cy="2008505"/>
                            <wp:effectExtent l="0" t="0" r="0" b="0"/>
                            <wp:docPr id="3" name="图片 3" descr="图示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 descr="图示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148" cy="20321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drawing>
                          <wp:inline distT="0" distB="0" distL="0" distR="0">
                            <wp:extent cx="1285875" cy="2021840"/>
                            <wp:effectExtent l="0" t="0" r="0" b="0"/>
                            <wp:docPr id="5" name="图片 5" descr="图示&#10;&#10;中度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 descr="图示&#10;&#10;中度可信度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5782" cy="2069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drawing>
                          <wp:inline distT="0" distB="0" distL="0" distR="0">
                            <wp:extent cx="1339215" cy="2017395"/>
                            <wp:effectExtent l="0" t="0" r="0" b="190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270" cy="20567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drawing>
                          <wp:inline distT="0" distB="0" distL="0" distR="0">
                            <wp:extent cx="1288415" cy="2015490"/>
                            <wp:effectExtent l="0" t="0" r="6985" b="3810"/>
                            <wp:docPr id="17" name="图片 17" descr="图片包含 地图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 descr="图片包含 地图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0060" cy="20808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drawing>
                          <wp:inline distT="0" distB="0" distL="0" distR="0">
                            <wp:extent cx="1339850" cy="2019300"/>
                            <wp:effectExtent l="0" t="0" r="0" b="0"/>
                            <wp:docPr id="18" name="图片 18" descr="信件&#10;&#10;中度可信度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8" descr="信件&#10;&#10;中度可信度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4464" cy="2100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eastAsia="Times New Roman" w:cs="Times New Roman"/>
                          <w:snapToGrid w:val="0"/>
                          <w:color w:val="000000"/>
                          <w:w w:val="0"/>
                          <w:kern w:val="0"/>
                          <w:sz w:val="0"/>
                          <w:szCs w:val="0"/>
                          <w:u w:color="000000"/>
                          <w:shd w:val="clear" w:color="000000" w:fill="000000"/>
                          <w:lang w:val="zh-CN" w:eastAsia="zh-CN" w:bidi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widowControl/>
        <w:spacing w:after="200" w:line="276" w:lineRule="auto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br w:type="page"/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b/>
          <w:color w:val="000000"/>
          <w:kern w:val="0"/>
          <w:sz w:val="24"/>
          <w:szCs w:val="24"/>
        </w:rPr>
        <w:t>C</w:t>
      </w:r>
      <w:r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  <w:t>ourse Schedule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Introduction and dimension analysis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bCs/>
          <w:color w:val="000000"/>
          <w:kern w:val="0"/>
          <w:sz w:val="24"/>
          <w:szCs w:val="24"/>
        </w:rPr>
        <w:t>Non</w:t>
      </w: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dimensionalization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Fundamental system of units</w:t>
      </w:r>
    </w:p>
    <w:p>
      <w:pPr>
        <w:pStyle w:val="10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bCs/>
          <w:color w:val="000000"/>
          <w:kern w:val="0"/>
          <w:sz w:val="24"/>
          <w:szCs w:val="24"/>
        </w:rPr>
        <w:t>Self-similar solutions</w:t>
      </w:r>
    </w:p>
    <w:p>
      <w:pPr>
        <w:pStyle w:val="10"/>
        <w:autoSpaceDE w:val="0"/>
        <w:autoSpaceDN w:val="0"/>
        <w:adjustRightInd w:val="0"/>
        <w:ind w:left="360" w:firstLine="0" w:firstLineChars="0"/>
        <w:jc w:val="left"/>
        <w:rPr>
          <w:rFonts w:ascii="TimesNewRomanPSMT" w:hAnsi="TimesNewRomanPSMT" w:cs="TimesNewRomanPSMT"/>
          <w:b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erturbation methods for algebraic equations: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Regular perturbation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ingular perturbation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N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on-integer powers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ogarithms</w:t>
      </w:r>
    </w:p>
    <w:p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E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igenvalue problems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Local analysis for the solutions to ODEs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Series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 xml:space="preserve"> solutions to ODEs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T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ypes of points of homogeneous linear ODEs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F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robenius methods</w:t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ethod of dominant balance</w:t>
      </w:r>
    </w:p>
    <w:p>
      <w:pPr>
        <w:pStyle w:val="10"/>
        <w:autoSpaceDE w:val="0"/>
        <w:autoSpaceDN w:val="0"/>
        <w:adjustRightInd w:val="0"/>
        <w:ind w:left="720" w:firstLine="0"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Asymptotic expansions</w:t>
      </w:r>
    </w:p>
    <w:p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symptotic sequences</w:t>
      </w:r>
    </w:p>
    <w:p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As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ymptotic power series</w:t>
      </w:r>
    </w:p>
    <w:p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roperties of asymptotic series</w:t>
      </w:r>
    </w:p>
    <w:p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symptotic series vs. convergent series</w:t>
      </w:r>
    </w:p>
    <w:p>
      <w:pPr>
        <w:pStyle w:val="10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Other asymptotic expansions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A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symptotic expansion of integrals</w:t>
      </w:r>
    </w:p>
    <w:p>
      <w:pPr>
        <w:pStyle w:val="10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D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irect expansion of integrands</w:t>
      </w:r>
    </w:p>
    <w:p>
      <w:pPr>
        <w:pStyle w:val="10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ntegration by parts</w:t>
      </w:r>
    </w:p>
    <w:p>
      <w:pPr>
        <w:pStyle w:val="10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L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aplace’s method</w:t>
      </w:r>
    </w:p>
    <w:p>
      <w:pPr>
        <w:pStyle w:val="10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ethod of stationary phase</w:t>
      </w:r>
    </w:p>
    <w:p>
      <w:pPr>
        <w:pStyle w:val="10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M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ethod of steepest descent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I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ntroduction to global analysis and perturbation methods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Example of perturbation method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Asymptotic expansion in \epsilon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An example with direct expansion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Regular vs. singular perturbation problems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theory</w:t>
      </w:r>
    </w:p>
    <w:p>
      <w:pPr>
        <w:pStyle w:val="10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problems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theory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Location of boundary layer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Higher order boundary layer theory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thickness and distinguished limit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problem including logarithm term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Multiple boundary layers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Internal boundary layer</w:t>
      </w:r>
    </w:p>
    <w:p>
      <w:pPr>
        <w:pStyle w:val="10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Boundary layer in PDE problem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WKB theory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Introduction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WKB theory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More remarks on the asymptotic expansions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Problems with turning points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Eigenvalue problems (Storm-Liville problem)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Application to wave equations</w:t>
      </w:r>
    </w:p>
    <w:p>
      <w:pPr>
        <w:pStyle w:val="10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Inhomogeneous linear equations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Multiple scale analysis</w:t>
      </w:r>
    </w:p>
    <w:p>
      <w:pPr>
        <w:pStyle w:val="10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Secular terms</w:t>
      </w:r>
    </w:p>
    <w:p>
      <w:pPr>
        <w:pStyle w:val="10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Method of strained coordinates</w:t>
      </w:r>
    </w:p>
    <w:p>
      <w:pPr>
        <w:pStyle w:val="10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Multiple scale analysis</w:t>
      </w:r>
    </w:p>
    <w:p>
      <w:pPr>
        <w:pStyle w:val="10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Slowly varying coefficients</w:t>
      </w:r>
    </w:p>
    <w:p>
      <w:pPr>
        <w:pStyle w:val="10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Method of averaging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Homogenization method</w:t>
      </w:r>
    </w:p>
    <w:p>
      <w:pPr>
        <w:pStyle w:val="1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Background</w:t>
      </w:r>
    </w:p>
    <w:p>
      <w:pPr>
        <w:pStyle w:val="1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1D problem</w:t>
      </w:r>
    </w:p>
    <w:p>
      <w:pPr>
        <w:pStyle w:val="1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Multi-dimensional problems</w:t>
      </w:r>
    </w:p>
    <w:p>
      <w:pPr>
        <w:pStyle w:val="1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Porous medium flow – Darcy’s law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Bifurcation and stability</w:t>
      </w:r>
    </w:p>
    <w:p>
      <w:pPr>
        <w:pStyle w:val="1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Linearized stability of steady states</w:t>
      </w:r>
    </w:p>
    <w:p>
      <w:pPr>
        <w:pStyle w:val="1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Limit cycle and Hopf bifurcation</w:t>
      </w:r>
    </w:p>
    <w:p>
      <w:pPr>
        <w:pStyle w:val="1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System of ODEs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Basic calculus of variation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Introductory example – geodesic on a sphere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First variation: Euler-Lagrange equation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Isoperimetric problems – Catenary problem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Holonomic constraints: Lagrange multipliers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Free boundary problems – natural boundary condition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Hamilton-Jacobi system*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Noether’s theorem*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Second variation*</w:t>
      </w:r>
    </w:p>
    <w:p>
      <w:pPr>
        <w:pStyle w:val="1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hint="eastAsia" w:ascii="TimesNewRomanPSMT" w:hAnsi="TimesNewRomanPSMT" w:cs="TimesNewRomanPSMT"/>
          <w:color w:val="000000"/>
          <w:kern w:val="0"/>
          <w:sz w:val="24"/>
          <w:szCs w:val="24"/>
        </w:rPr>
        <w:t>O</w:t>
      </w: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nsager’s principle</w:t>
      </w:r>
    </w:p>
    <w:p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</w:p>
    <w:p>
      <w:pPr>
        <w:pStyle w:val="10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From calculus of variation to optimal control theory: an introduction*</w:t>
      </w:r>
    </w:p>
    <w:p>
      <w:pPr>
        <w:pStyle w:val="1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Basic formulation</w:t>
      </w:r>
    </w:p>
    <w:p>
      <w:pPr>
        <w:pStyle w:val="1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Pontryagin’s maximum principle</w:t>
      </w:r>
    </w:p>
    <w:p>
      <w:pPr>
        <w:pStyle w:val="1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Dynamical programming and Hamilton-Jacobi-Bellman equation</w:t>
      </w:r>
    </w:p>
    <w:p>
      <w:pPr>
        <w:pStyle w:val="1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NewRomanPSMT" w:hAnsi="TimesNewRomanPSMT" w:cs="TimesNewRomanPSMT"/>
          <w:color w:val="000000"/>
          <w:kern w:val="0"/>
          <w:sz w:val="24"/>
          <w:szCs w:val="24"/>
        </w:rPr>
      </w:pPr>
      <w:r>
        <w:rPr>
          <w:rFonts w:ascii="TimesNewRomanPSMT" w:hAnsi="TimesNewRomanPSMT" w:cs="TimesNewRomanPSMT"/>
          <w:color w:val="000000"/>
          <w:kern w:val="0"/>
          <w:sz w:val="24"/>
          <w:szCs w:val="24"/>
        </w:rPr>
        <w:t>Linear quadratic regulator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477"/>
    <w:multiLevelType w:val="multilevel"/>
    <w:tmpl w:val="04474477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7C03D1"/>
    <w:multiLevelType w:val="multilevel"/>
    <w:tmpl w:val="067C03D1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61327"/>
    <w:multiLevelType w:val="multilevel"/>
    <w:tmpl w:val="0BA61327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A5A80"/>
    <w:multiLevelType w:val="multilevel"/>
    <w:tmpl w:val="297A5A80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FF72AB"/>
    <w:multiLevelType w:val="multilevel"/>
    <w:tmpl w:val="2CFF72AB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57500"/>
    <w:multiLevelType w:val="multilevel"/>
    <w:tmpl w:val="2F657500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2F4871"/>
    <w:multiLevelType w:val="multilevel"/>
    <w:tmpl w:val="332F4871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E2609"/>
    <w:multiLevelType w:val="multilevel"/>
    <w:tmpl w:val="3E7E2609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E73C40"/>
    <w:multiLevelType w:val="multilevel"/>
    <w:tmpl w:val="4EE73C40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0104D6"/>
    <w:multiLevelType w:val="multilevel"/>
    <w:tmpl w:val="5B0104D6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892DE9"/>
    <w:multiLevelType w:val="multilevel"/>
    <w:tmpl w:val="5D892DE9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20ECF"/>
    <w:multiLevelType w:val="multilevel"/>
    <w:tmpl w:val="6E520ECF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5C770A"/>
    <w:multiLevelType w:val="multilevel"/>
    <w:tmpl w:val="6F5C770A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74CD5"/>
    <w:multiLevelType w:val="multilevel"/>
    <w:tmpl w:val="73474CD5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00"/>
    <w:rsid w:val="00023B5B"/>
    <w:rsid w:val="00030C97"/>
    <w:rsid w:val="0004065D"/>
    <w:rsid w:val="000427EA"/>
    <w:rsid w:val="00044E00"/>
    <w:rsid w:val="000575FB"/>
    <w:rsid w:val="000A6FCA"/>
    <w:rsid w:val="000A7578"/>
    <w:rsid w:val="000C4605"/>
    <w:rsid w:val="001125A0"/>
    <w:rsid w:val="00115EAE"/>
    <w:rsid w:val="00124967"/>
    <w:rsid w:val="00154E13"/>
    <w:rsid w:val="00161831"/>
    <w:rsid w:val="001631D0"/>
    <w:rsid w:val="001641F5"/>
    <w:rsid w:val="001656FA"/>
    <w:rsid w:val="00181E5C"/>
    <w:rsid w:val="001837FD"/>
    <w:rsid w:val="001847EF"/>
    <w:rsid w:val="001E4A2E"/>
    <w:rsid w:val="00203DC1"/>
    <w:rsid w:val="00243E5C"/>
    <w:rsid w:val="0025090B"/>
    <w:rsid w:val="0026767E"/>
    <w:rsid w:val="00273EE6"/>
    <w:rsid w:val="00294C87"/>
    <w:rsid w:val="002A07D4"/>
    <w:rsid w:val="002F4F25"/>
    <w:rsid w:val="003206AA"/>
    <w:rsid w:val="00337364"/>
    <w:rsid w:val="003636EE"/>
    <w:rsid w:val="00364EEB"/>
    <w:rsid w:val="003A1669"/>
    <w:rsid w:val="003E7946"/>
    <w:rsid w:val="003F0413"/>
    <w:rsid w:val="004166C8"/>
    <w:rsid w:val="00444C42"/>
    <w:rsid w:val="004938AC"/>
    <w:rsid w:val="004A0D10"/>
    <w:rsid w:val="004A2CC7"/>
    <w:rsid w:val="004C4303"/>
    <w:rsid w:val="004D30AE"/>
    <w:rsid w:val="004D6BFA"/>
    <w:rsid w:val="004E0E0F"/>
    <w:rsid w:val="004F30A2"/>
    <w:rsid w:val="00504A7E"/>
    <w:rsid w:val="00507669"/>
    <w:rsid w:val="00530EDB"/>
    <w:rsid w:val="005A68FD"/>
    <w:rsid w:val="00601AE0"/>
    <w:rsid w:val="00613899"/>
    <w:rsid w:val="00616E1F"/>
    <w:rsid w:val="00633ACF"/>
    <w:rsid w:val="00634051"/>
    <w:rsid w:val="00637879"/>
    <w:rsid w:val="00651B52"/>
    <w:rsid w:val="00652E78"/>
    <w:rsid w:val="00671DD0"/>
    <w:rsid w:val="006818CA"/>
    <w:rsid w:val="00691F0D"/>
    <w:rsid w:val="00697E61"/>
    <w:rsid w:val="006E4269"/>
    <w:rsid w:val="006E61D3"/>
    <w:rsid w:val="007036E7"/>
    <w:rsid w:val="00715875"/>
    <w:rsid w:val="0071701E"/>
    <w:rsid w:val="00722C42"/>
    <w:rsid w:val="00726BCF"/>
    <w:rsid w:val="00726F83"/>
    <w:rsid w:val="00770C84"/>
    <w:rsid w:val="007724E1"/>
    <w:rsid w:val="0077569A"/>
    <w:rsid w:val="0078283A"/>
    <w:rsid w:val="007916FE"/>
    <w:rsid w:val="007968BD"/>
    <w:rsid w:val="007B079B"/>
    <w:rsid w:val="007B5777"/>
    <w:rsid w:val="007B6D00"/>
    <w:rsid w:val="007B76E8"/>
    <w:rsid w:val="007E764C"/>
    <w:rsid w:val="007F0877"/>
    <w:rsid w:val="008038F7"/>
    <w:rsid w:val="00804F11"/>
    <w:rsid w:val="0081608B"/>
    <w:rsid w:val="00820F24"/>
    <w:rsid w:val="00845C9A"/>
    <w:rsid w:val="00890B95"/>
    <w:rsid w:val="0089683F"/>
    <w:rsid w:val="008B5EDD"/>
    <w:rsid w:val="009135AB"/>
    <w:rsid w:val="00940A11"/>
    <w:rsid w:val="00956DA5"/>
    <w:rsid w:val="00971635"/>
    <w:rsid w:val="009A7974"/>
    <w:rsid w:val="009B5F59"/>
    <w:rsid w:val="009C509E"/>
    <w:rsid w:val="009D7FD9"/>
    <w:rsid w:val="009F7671"/>
    <w:rsid w:val="00A6063F"/>
    <w:rsid w:val="00A7722C"/>
    <w:rsid w:val="00AA6EE8"/>
    <w:rsid w:val="00AB4033"/>
    <w:rsid w:val="00AB6765"/>
    <w:rsid w:val="00B3408D"/>
    <w:rsid w:val="00B40AD6"/>
    <w:rsid w:val="00B53DD9"/>
    <w:rsid w:val="00B644F0"/>
    <w:rsid w:val="00B777B6"/>
    <w:rsid w:val="00B81F51"/>
    <w:rsid w:val="00BB043C"/>
    <w:rsid w:val="00BB51D8"/>
    <w:rsid w:val="00BB6AA0"/>
    <w:rsid w:val="00BB76F3"/>
    <w:rsid w:val="00BD3544"/>
    <w:rsid w:val="00BD54DD"/>
    <w:rsid w:val="00BE20C8"/>
    <w:rsid w:val="00BE62B2"/>
    <w:rsid w:val="00C034F1"/>
    <w:rsid w:val="00C548AF"/>
    <w:rsid w:val="00C66D1C"/>
    <w:rsid w:val="00C72F4C"/>
    <w:rsid w:val="00C745C6"/>
    <w:rsid w:val="00C956D3"/>
    <w:rsid w:val="00CA2AFB"/>
    <w:rsid w:val="00CA2B68"/>
    <w:rsid w:val="00CA66DE"/>
    <w:rsid w:val="00CD2DB8"/>
    <w:rsid w:val="00CD4D6C"/>
    <w:rsid w:val="00CE3D73"/>
    <w:rsid w:val="00CE4BB1"/>
    <w:rsid w:val="00CF0B71"/>
    <w:rsid w:val="00CF6CAA"/>
    <w:rsid w:val="00D12815"/>
    <w:rsid w:val="00D26C6B"/>
    <w:rsid w:val="00DF39C5"/>
    <w:rsid w:val="00DF4C0E"/>
    <w:rsid w:val="00DF77C8"/>
    <w:rsid w:val="00E02A1C"/>
    <w:rsid w:val="00E06E05"/>
    <w:rsid w:val="00EB3D63"/>
    <w:rsid w:val="00EE0F8D"/>
    <w:rsid w:val="00EF657A"/>
    <w:rsid w:val="00FB1FB6"/>
    <w:rsid w:val="00FB6E48"/>
    <w:rsid w:val="00FC456F"/>
    <w:rsid w:val="00FD3219"/>
    <w:rsid w:val="00FF4565"/>
    <w:rsid w:val="00FF50F8"/>
    <w:rsid w:val="16371C52"/>
    <w:rsid w:val="7C1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7">
    <w:name w:val="page number"/>
    <w:basedOn w:val="6"/>
    <w:semiHidden/>
    <w:unhideWhenUsed/>
    <w:uiPriority w:val="99"/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脚 字符"/>
    <w:basedOn w:val="6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766</Words>
  <Characters>4371</Characters>
  <Lines>36</Lines>
  <Paragraphs>10</Paragraphs>
  <TotalTime>1789</TotalTime>
  <ScaleCrop>false</ScaleCrop>
  <LinksUpToDate>false</LinksUpToDate>
  <CharactersWithSpaces>5127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2018-09-02T10:12:00Z</dcterms:created>
  <dc:creator>张 振</dc:creator>
  <cp:lastModifiedBy>308</cp:lastModifiedBy>
  <dcterms:modified xsi:type="dcterms:W3CDTF">2023-09-11T08:18:44Z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