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 w:ascii="Calibri" w:hAnsi="宋体 (正文)" w:eastAsia="宋体 (正文)" w:cs="宋体 (正文)"/>
          <w:lang w:val="en-US" w:eastAsia="zh-CN"/>
        </w:rPr>
      </w:pPr>
      <w:r>
        <w:rPr>
          <w:rFonts w:hint="eastAsia" w:hAnsi="宋体 (正文)" w:eastAsia="宋体 (正文)" w:cs="宋体 (正文)"/>
          <w:lang w:val="en-US" w:eastAsia="zh-CN"/>
        </w:rPr>
        <w:t>美国能源信息署</w:t>
      </w:r>
      <w:r>
        <w:rPr>
          <w:rFonts w:hint="eastAsia" w:ascii="Calibri" w:hAnsi="宋体 (正文)" w:eastAsia="宋体 (正文)" w:cs="宋体 (正文)"/>
          <w:lang w:val="en-US" w:eastAsia="zh-CN"/>
        </w:rPr>
        <w:t>数据采集需求</w:t>
      </w:r>
    </w:p>
    <w:p>
      <w:pPr>
        <w:pStyle w:val="3"/>
        <w:bidi w:val="0"/>
        <w:rPr>
          <w:rFonts w:hint="eastAsia" w:ascii="Calibri" w:hAnsi="宋体 (正文)" w:eastAsia="宋体 (正文)" w:cs="宋体 (正文)"/>
          <w:lang w:val="en-US" w:eastAsia="zh-CN"/>
        </w:rPr>
      </w:pPr>
      <w:r>
        <w:rPr>
          <w:rFonts w:hint="eastAsia" w:ascii="Calibri" w:hAnsi="宋体 (正文)" w:eastAsia="宋体 (正文)" w:cs="宋体 (正文)"/>
          <w:lang w:val="en-US" w:eastAsia="zh-CN"/>
        </w:rPr>
        <w:t>概述</w:t>
      </w:r>
    </w:p>
    <w:p>
      <w:pPr>
        <w:rPr>
          <w:rFonts w:hint="default" w:ascii="Calibri" w:hAnsi="宋体 (正文)" w:eastAsia="宋体 (正文)" w:cs="宋体 (正文)"/>
          <w:sz w:val="21"/>
          <w:szCs w:val="21"/>
          <w:lang w:val="en-US" w:eastAsia="zh-CN"/>
        </w:rPr>
      </w:pPr>
      <w:r>
        <w:rPr>
          <w:rFonts w:hint="eastAsia" w:ascii="Calibri" w:hAnsi="宋体 (正文)" w:eastAsia="宋体 (正文)" w:cs="宋体 (正文)"/>
          <w:sz w:val="21"/>
          <w:szCs w:val="21"/>
        </w:rPr>
        <w:t>采集目标是</w:t>
      </w:r>
      <w:r>
        <w:rPr>
          <w:rFonts w:hint="eastAsia" w:hAnsi="宋体 (正文)" w:eastAsia="宋体 (正文)" w:cs="宋体 (正文)"/>
          <w:sz w:val="21"/>
          <w:szCs w:val="21"/>
          <w:lang w:val="en-US" w:eastAsia="zh-CN"/>
        </w:rPr>
        <w:t>美国能源信息署（EIA）网站</w:t>
      </w:r>
      <w:r>
        <w:rPr>
          <w:rFonts w:hint="eastAsia" w:ascii="Calibri" w:hAnsi="宋体 (正文)" w:eastAsia="宋体 (正文)" w:cs="宋体 (正文)"/>
          <w:sz w:val="21"/>
          <w:szCs w:val="21"/>
          <w:lang w:val="en-US" w:eastAsia="zh-CN"/>
        </w:rPr>
        <w:t>上</w:t>
      </w:r>
      <w:r>
        <w:rPr>
          <w:rFonts w:hint="eastAsia" w:hAnsi="宋体 (正文)" w:eastAsia="宋体 (正文)" w:cs="宋体 (正文)"/>
          <w:sz w:val="21"/>
          <w:szCs w:val="21"/>
          <w:lang w:val="en-US" w:eastAsia="zh-CN"/>
        </w:rPr>
        <w:t>相关</w:t>
      </w:r>
      <w:r>
        <w:rPr>
          <w:rFonts w:hint="eastAsia" w:ascii="Calibri" w:hAnsi="宋体 (正文)" w:eastAsia="宋体 (正文)" w:cs="宋体 (正文)"/>
          <w:sz w:val="21"/>
          <w:szCs w:val="21"/>
        </w:rPr>
        <w:t>数据</w:t>
      </w:r>
      <w:r>
        <w:rPr>
          <w:rFonts w:hint="eastAsia" w:hAnsi="宋体 (正文)" w:eastAsia="宋体 (正文)" w:cs="宋体 (正文)"/>
          <w:sz w:val="21"/>
          <w:szCs w:val="21"/>
          <w:lang w:val="en-US" w:eastAsia="zh-CN"/>
        </w:rPr>
        <w:t>。</w:t>
      </w:r>
    </w:p>
    <w:p>
      <w:pPr>
        <w:rPr>
          <w:rFonts w:hint="eastAsia" w:ascii="Calibri" w:hAnsi="宋体 (正文)" w:eastAsia="宋体 (正文)" w:cs="宋体 (正文)"/>
          <w:sz w:val="21"/>
          <w:szCs w:val="21"/>
        </w:rPr>
      </w:pPr>
      <w:r>
        <w:rPr>
          <w:rFonts w:hint="eastAsia" w:ascii="Calibri" w:hAnsi="宋体 (正文)" w:eastAsia="宋体 (正文)" w:cs="宋体 (正文)"/>
          <w:sz w:val="21"/>
          <w:szCs w:val="21"/>
        </w:rPr>
        <w:t>数据采集入口：</w:t>
      </w:r>
      <w:r>
        <w:rPr>
          <w:rFonts w:hint="eastAsia" w:ascii="Calibri" w:hAnsi="宋体 (正文)" w:eastAsia="宋体 (正文)" w:cs="宋体 (正文)"/>
          <w:sz w:val="21"/>
          <w:szCs w:val="21"/>
        </w:rPr>
        <w:fldChar w:fldCharType="begin"/>
      </w:r>
      <w:r>
        <w:rPr>
          <w:rFonts w:hint="eastAsia" w:ascii="Calibri" w:hAnsi="宋体 (正文)" w:eastAsia="宋体 (正文)" w:cs="宋体 (正文)"/>
          <w:sz w:val="21"/>
          <w:szCs w:val="21"/>
        </w:rPr>
        <w:instrText xml:space="preserve"> HYPERLINK "https://www.eia.gov/dnav/pet/PET_SUM_SNDW_A_EPC0_FPF_MBBLPD_W.htm" </w:instrText>
      </w:r>
      <w:r>
        <w:rPr>
          <w:rFonts w:hint="eastAsia" w:ascii="Calibri" w:hAnsi="宋体 (正文)" w:eastAsia="宋体 (正文)" w:cs="宋体 (正文)"/>
          <w:sz w:val="21"/>
          <w:szCs w:val="21"/>
        </w:rPr>
        <w:fldChar w:fldCharType="separate"/>
      </w:r>
      <w:r>
        <w:rPr>
          <w:rStyle w:val="6"/>
          <w:rFonts w:hint="eastAsia" w:ascii="Calibri" w:hAnsi="宋体 (正文)" w:eastAsia="宋体 (正文)" w:cs="宋体 (正文)"/>
          <w:sz w:val="21"/>
          <w:szCs w:val="21"/>
        </w:rPr>
        <w:t>https://www.eia.gov/dnav/pet/PET_SUM_SNDW_A_EPC0_FPF_MBBLPD_W.htm</w:t>
      </w:r>
      <w:r>
        <w:rPr>
          <w:rFonts w:hint="eastAsia" w:ascii="Calibri" w:hAnsi="宋体 (正文)" w:eastAsia="宋体 (正文)" w:cs="宋体 (正文)"/>
          <w:sz w:val="21"/>
          <w:szCs w:val="21"/>
        </w:rPr>
        <w:fldChar w:fldCharType="end"/>
      </w:r>
    </w:p>
    <w:p>
      <w:pPr>
        <w:rPr>
          <w:rFonts w:hint="eastAsia" w:ascii="Calibri" w:hAnsi="宋体 (正文)" w:eastAsia="宋体 (正文)" w:cs="宋体 (正文)"/>
          <w:sz w:val="21"/>
          <w:szCs w:val="21"/>
        </w:rPr>
      </w:pPr>
    </w:p>
    <w:p>
      <w:pPr>
        <w:pStyle w:val="3"/>
        <w:bidi w:val="0"/>
        <w:rPr>
          <w:rFonts w:hint="eastAsia" w:ascii="Calibri" w:hAnsi="宋体 (正文)" w:eastAsia="宋体 (正文)" w:cs="宋体 (正文)"/>
          <w:lang w:val="en-US" w:eastAsia="zh-CN"/>
        </w:rPr>
      </w:pPr>
      <w:r>
        <w:rPr>
          <w:rFonts w:hint="eastAsia" w:ascii="Calibri" w:hAnsi="宋体 (正文)" w:eastAsia="宋体 (正文)" w:cs="宋体 (正文)"/>
          <w:lang w:val="en-US" w:eastAsia="zh-CN"/>
        </w:rPr>
        <w:t>采集步骤</w:t>
      </w:r>
    </w:p>
    <w:p>
      <w:pPr>
        <w:widowControl w:val="0"/>
        <w:numPr>
          <w:ilvl w:val="0"/>
          <w:numId w:val="1"/>
        </w:numPr>
        <w:jc w:val="both"/>
        <w:rPr>
          <w:rFonts w:hint="default" w:ascii="Calibri" w:hAnsi="宋体 (正文)" w:eastAsia="宋体 (正文)" w:cs="宋体 (正文)"/>
          <w:lang w:val="en-US" w:eastAsia="zh-CN"/>
        </w:rPr>
      </w:pPr>
      <w:r>
        <w:rPr>
          <w:rFonts w:hint="eastAsia" w:hAnsi="宋体 (正文)" w:eastAsia="宋体 (正文)" w:cs="宋体 (正文)"/>
          <w:lang w:val="en-US" w:eastAsia="zh-CN"/>
        </w:rPr>
        <w:t>美国原油产量历史数据采集：点击左侧【Download Ser</w:t>
      </w:r>
      <w:bookmarkStart w:id="0" w:name="_GoBack"/>
      <w:bookmarkEnd w:id="0"/>
      <w:r>
        <w:rPr>
          <w:rFonts w:hint="eastAsia" w:hAnsi="宋体 (正文)" w:eastAsia="宋体 (正文)" w:cs="宋体 (正文)"/>
          <w:lang w:val="en-US" w:eastAsia="zh-CN"/>
        </w:rPr>
        <w:t>ies History】，下载历史数据。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Calibri" w:hAnsi="宋体 (正文)" w:eastAsia="宋体 (正文)" w:cs="宋体 (正文)"/>
          <w:lang w:val="en-US" w:eastAsia="zh-CN"/>
        </w:rPr>
      </w:pPr>
      <w:r>
        <w:drawing>
          <wp:inline distT="0" distB="0" distL="114300" distR="114300">
            <wp:extent cx="4469130" cy="2907030"/>
            <wp:effectExtent l="0" t="0" r="11430" b="381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rcRect l="11334" r="13142"/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日常更新数据采集（每周一次）：采集上图表格右侧第二列数据，包括首行【日期】，第二行【U.S.】数据，第三行【Lower 48】数据，第三行【Alaska】数据，分别添加至上述历史数据表格文档【Data 1】页面最末行中。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10915" cy="2295525"/>
            <wp:effectExtent l="0" t="0" r="9525" b="571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点击【Data Series】右侧选项栏，点击进入下述栏目，重复步骤1-2，完成相关历史数据下载及日常更新。</w:t>
      </w:r>
    </w:p>
    <w:p>
      <w:pPr>
        <w:numPr>
          <w:ilvl w:val="0"/>
          <w:numId w:val="2"/>
        </w:numPr>
        <w:ind w:left="1265" w:leftChars="0" w:hanging="425" w:firstLine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 xml:space="preserve">Crude Oil Domestic Production, </w:t>
      </w:r>
    </w:p>
    <w:p>
      <w:pPr>
        <w:numPr>
          <w:ilvl w:val="0"/>
          <w:numId w:val="2"/>
        </w:numPr>
        <w:ind w:left="1265" w:leftChars="0" w:hanging="425" w:firstLine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 xml:space="preserve">Refinery Crude Oil Inputs, </w:t>
      </w:r>
    </w:p>
    <w:p>
      <w:pPr>
        <w:numPr>
          <w:ilvl w:val="0"/>
          <w:numId w:val="2"/>
        </w:numPr>
        <w:ind w:left="1265" w:leftChars="0" w:hanging="425" w:firstLine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 xml:space="preserve">Refinery Gross Inputs, </w:t>
      </w:r>
    </w:p>
    <w:p>
      <w:pPr>
        <w:numPr>
          <w:ilvl w:val="0"/>
          <w:numId w:val="2"/>
        </w:numPr>
        <w:ind w:left="1265" w:leftChars="0" w:hanging="425" w:firstLine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Refinery Operable Capacity (Calendar Day),</w:t>
      </w:r>
    </w:p>
    <w:p>
      <w:pPr>
        <w:numPr>
          <w:ilvl w:val="0"/>
          <w:numId w:val="2"/>
        </w:numPr>
        <w:ind w:left="1265" w:leftChars="0" w:hanging="425" w:firstLine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Refinery Percent Operable Ultilization,</w:t>
      </w:r>
    </w:p>
    <w:p>
      <w:pPr>
        <w:numPr>
          <w:ilvl w:val="0"/>
          <w:numId w:val="2"/>
        </w:numPr>
        <w:ind w:left="1265" w:leftChars="0" w:hanging="425" w:firstLine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Net Production - Propane/Propylene,</w:t>
      </w:r>
    </w:p>
    <w:p>
      <w:pPr>
        <w:numPr>
          <w:ilvl w:val="0"/>
          <w:numId w:val="2"/>
        </w:numPr>
        <w:ind w:left="1265" w:leftChars="0" w:hanging="425" w:firstLine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Stocks - Total Crude and Products (Including SPR),</w:t>
      </w:r>
    </w:p>
    <w:p>
      <w:pPr>
        <w:numPr>
          <w:ilvl w:val="0"/>
          <w:numId w:val="2"/>
        </w:numPr>
        <w:ind w:left="1265" w:leftChars="0" w:hanging="425" w:firstLine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Stocks - Total Crude and Products (Excl. SPR),</w:t>
      </w:r>
    </w:p>
    <w:p>
      <w:pPr>
        <w:numPr>
          <w:ilvl w:val="0"/>
          <w:numId w:val="2"/>
        </w:numPr>
        <w:ind w:left="1265" w:leftChars="0" w:hanging="425" w:firstLine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Stocks - Crude Oil (Including SPR),</w:t>
      </w:r>
    </w:p>
    <w:p>
      <w:pPr>
        <w:numPr>
          <w:ilvl w:val="0"/>
          <w:numId w:val="2"/>
        </w:numPr>
        <w:ind w:left="1265" w:leftChars="0" w:hanging="425" w:firstLine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Stocks - Propane/Propylene (Excl. Propylene at Terminal),</w:t>
      </w:r>
    </w:p>
    <w:p>
      <w:pPr>
        <w:numPr>
          <w:ilvl w:val="0"/>
          <w:numId w:val="2"/>
        </w:numPr>
        <w:ind w:left="1265" w:leftChars="0" w:hanging="425" w:firstLine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Stocks - Propylene (Nonfuel Use),</w:t>
      </w:r>
    </w:p>
    <w:p>
      <w:pPr>
        <w:numPr>
          <w:ilvl w:val="0"/>
          <w:numId w:val="2"/>
        </w:numPr>
        <w:ind w:left="1265" w:leftChars="0" w:hanging="425" w:firstLine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Stocks - Propane/Propylene (Incl. Propylene at Terminal),</w:t>
      </w:r>
    </w:p>
    <w:p>
      <w:pPr>
        <w:numPr>
          <w:ilvl w:val="0"/>
          <w:numId w:val="2"/>
        </w:numPr>
        <w:ind w:left="1265" w:leftChars="0" w:hanging="425" w:firstLine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Days of Supply - Crude Oil,</w:t>
      </w:r>
    </w:p>
    <w:p>
      <w:pPr>
        <w:numPr>
          <w:ilvl w:val="0"/>
          <w:numId w:val="2"/>
        </w:numPr>
        <w:ind w:left="1265" w:leftChars="0" w:hanging="425" w:firstLine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Imports - Crude oil,</w:t>
      </w:r>
    </w:p>
    <w:p>
      <w:pPr>
        <w:numPr>
          <w:ilvl w:val="0"/>
          <w:numId w:val="2"/>
        </w:numPr>
        <w:ind w:left="1265" w:leftChars="0" w:hanging="425" w:firstLine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 xml:space="preserve">Imports - Crude oil, Commercial, </w:t>
      </w:r>
    </w:p>
    <w:p>
      <w:pPr>
        <w:numPr>
          <w:ilvl w:val="0"/>
          <w:numId w:val="2"/>
        </w:numPr>
        <w:ind w:left="1265" w:leftChars="0" w:hanging="425" w:firstLine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Imports - by SPR,</w:t>
      </w:r>
    </w:p>
    <w:p>
      <w:pPr>
        <w:numPr>
          <w:ilvl w:val="0"/>
          <w:numId w:val="2"/>
        </w:numPr>
        <w:ind w:left="1265" w:leftChars="0" w:hanging="425" w:firstLine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 xml:space="preserve">Imports - into SPR by Others, </w:t>
      </w:r>
    </w:p>
    <w:p>
      <w:pPr>
        <w:numPr>
          <w:ilvl w:val="0"/>
          <w:numId w:val="2"/>
        </w:numPr>
        <w:ind w:left="1265" w:leftChars="0" w:hanging="425" w:firstLine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Imports - Propane/Propylene,</w:t>
      </w:r>
    </w:p>
    <w:p>
      <w:pPr>
        <w:numPr>
          <w:ilvl w:val="0"/>
          <w:numId w:val="2"/>
        </w:numPr>
        <w:ind w:left="1265" w:leftChars="0" w:hanging="425" w:firstLine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Exports - Total Crude Oil and Products,</w:t>
      </w:r>
    </w:p>
    <w:p>
      <w:pPr>
        <w:numPr>
          <w:ilvl w:val="0"/>
          <w:numId w:val="2"/>
        </w:numPr>
        <w:ind w:left="1265" w:leftChars="0" w:hanging="425" w:firstLine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Exports - Crude Oil,</w:t>
      </w:r>
    </w:p>
    <w:p>
      <w:pPr>
        <w:numPr>
          <w:ilvl w:val="0"/>
          <w:numId w:val="2"/>
        </w:numPr>
        <w:ind w:left="1265" w:leftChars="0" w:hanging="425" w:firstLine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 xml:space="preserve">Exports - Products, </w:t>
      </w:r>
    </w:p>
    <w:p>
      <w:pPr>
        <w:numPr>
          <w:ilvl w:val="0"/>
          <w:numId w:val="2"/>
        </w:numPr>
        <w:ind w:left="1265" w:leftChars="0" w:hanging="425" w:firstLine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Exports - Propane/Propylene,</w:t>
      </w:r>
    </w:p>
    <w:p>
      <w:pPr>
        <w:numPr>
          <w:ilvl w:val="0"/>
          <w:numId w:val="2"/>
        </w:numPr>
        <w:ind w:left="1265" w:leftChars="0" w:hanging="425" w:firstLine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Net Imports - Total Crude Oil and Products,</w:t>
      </w:r>
    </w:p>
    <w:p>
      <w:pPr>
        <w:numPr>
          <w:ilvl w:val="0"/>
          <w:numId w:val="2"/>
        </w:numPr>
        <w:ind w:left="1265" w:leftChars="0" w:hanging="425" w:firstLine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Net Imports - Crude oil,</w:t>
      </w:r>
    </w:p>
    <w:p>
      <w:pPr>
        <w:numPr>
          <w:ilvl w:val="0"/>
          <w:numId w:val="2"/>
        </w:numPr>
        <w:ind w:left="1265" w:leftChars="0" w:hanging="425" w:firstLine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Net Imports - Petroleum Products,</w:t>
      </w:r>
    </w:p>
    <w:p>
      <w:pPr>
        <w:numPr>
          <w:ilvl w:val="0"/>
          <w:numId w:val="2"/>
        </w:numPr>
        <w:ind w:left="1265" w:leftChars="0" w:hanging="425" w:firstLine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Product Supplied - Propane/Propylene</w:t>
      </w:r>
    </w:p>
    <w:p>
      <w:r>
        <w:drawing>
          <wp:inline distT="0" distB="0" distL="114300" distR="114300">
            <wp:extent cx="5266690" cy="2586990"/>
            <wp:effectExtent l="0" t="0" r="635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586990"/>
            <wp:effectExtent l="0" t="0" r="635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586990"/>
            <wp:effectExtent l="0" t="0" r="635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586990"/>
            <wp:effectExtent l="0" t="0" r="635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586990"/>
            <wp:effectExtent l="0" t="0" r="635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586990"/>
            <wp:effectExtent l="0" t="0" r="635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宋体 (正文)">
    <w:altName w:val="宋体"/>
    <w:panose1 w:val="00000000000000000000"/>
    <w:charset w:val="00"/>
    <w:family w:val="auto"/>
    <w:pitch w:val="default"/>
    <w:sig w:usb0="00000000" w:usb1="00000000" w:usb2="00000000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3C718A0"/>
    <w:multiLevelType w:val="singleLevel"/>
    <w:tmpl w:val="B3C718A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1EF87726"/>
    <w:multiLevelType w:val="singleLevel"/>
    <w:tmpl w:val="1EF8772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30941DF"/>
    <w:rsid w:val="0A42709F"/>
    <w:rsid w:val="130941DF"/>
    <w:rsid w:val="15FB4350"/>
    <w:rsid w:val="1CA633BE"/>
    <w:rsid w:val="1F755B8F"/>
    <w:rsid w:val="453D232B"/>
    <w:rsid w:val="64EF3F7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nhideWhenUsed/>
    <w:qFormat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2020-10-12T01:37:00Z</dcterms:created>
  <dc:creator>Will</dc:creator>
  <cp:lastModifiedBy>Will</cp:lastModifiedBy>
  <dcterms:modified xsi:type="dcterms:W3CDTF">2020-10-14T03:26:13Z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