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Default exp</w:t>
      </w:r>
      <w:r w:rsidDel="00000000" w:rsidR="00000000" w:rsidRPr="00000000">
        <w:rPr>
          <w:rtl w:val="0"/>
        </w:rPr>
        <w:t xml:space="preserve">: Comparing the performance of 256 MLP vs NCAP models, both trained with PPO, n_joint= 5, Viscosity= 0.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75" cy="34061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0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Exp1:</w:t>
      </w:r>
      <w:r w:rsidDel="00000000" w:rsidR="00000000" w:rsidRPr="00000000">
        <w:rPr>
          <w:rtl w:val="0"/>
        </w:rPr>
        <w:t xml:space="preserve"> Exploring the effect of (fix) viscosities on 256 MLP vs NCAP model’s performance. We compare an environment with zero viscosity vs the viscosity of </w:t>
      </w:r>
      <w:r w:rsidDel="00000000" w:rsidR="00000000" w:rsidRPr="00000000">
        <w:rPr>
          <w:rtl w:val="0"/>
        </w:rPr>
        <w:t xml:space="preserve">air that is around 0.00002 and the viscosity of water which is around 0.0009.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34834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83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