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E15B6A5">
      <w:pPr>
        <w:pStyle w:val="000004"/>
        <w:keepNext w:val="1"/>
        <w:keepLines w:val="1"/>
        <w:spacing w:before="0" w:beforeAutospacing="1" w:after="240" w:afterAutospacing="1" w:line="312"/>
        <w:jc w:val="center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000000"/>
          <w:sz w:val="44"/>
        </w:rPr>
        <w:t>《乡土中国》单元整体设计（5 课时）</w:t>
      </w:r>
    </w:p>
    <w:p w14:paraId="1C003C5A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单元</w:t>
      </w:r>
      <w:r>
        <w:rPr>
          <w:rFonts w:hint="eastAsia" w:ascii="SimSun" w:hAnsi="SimSun" w:eastAsia="SimSun" w:cs="SimSun"/>
          <w:color w:val="000000"/>
          <w:sz w:val="24"/>
        </w:rPr>
        <w:t xml:space="preserve">：统编版必修上册 第五单元 整本书阅读 ｜ </w:t>
      </w:r>
      <w:r>
        <w:rPr>
          <w:rFonts w:hint="eastAsia" w:ascii="SimSun" w:hAnsi="SimSun" w:eastAsia="SimSun" w:cs="SimSun"/>
          <w:b w:val="1"/>
          <w:color w:val="000000"/>
          <w:sz w:val="24"/>
        </w:rPr>
        <w:t>全书</w:t>
      </w:r>
      <w:r>
        <w:rPr>
          <w:rFonts w:hint="eastAsia" w:ascii="SimSun" w:hAnsi="SimSun" w:eastAsia="SimSun" w:cs="SimSun"/>
          <w:color w:val="000000"/>
          <w:sz w:val="24"/>
        </w:rPr>
        <w:t>：14 篇，约七万字</w:t>
      </w:r>
    </w:p>
    <w:p w14:paraId="286E513E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课时</w:t>
      </w:r>
      <w:r>
        <w:rPr>
          <w:rFonts w:hint="eastAsia" w:ascii="SimSun" w:hAnsi="SimSun" w:eastAsia="SimSun" w:cs="SimSun"/>
          <w:color w:val="000000"/>
          <w:sz w:val="24"/>
        </w:rPr>
        <w:t xml:space="preserve">：5 课时（导读 1 ＋ 推进 3 ＋ 交流 1）｜ </w:t>
      </w:r>
      <w:r>
        <w:rPr>
          <w:rFonts w:hint="eastAsia" w:ascii="SimSun" w:hAnsi="SimSun" w:eastAsia="SimSun" w:cs="SimSun"/>
          <w:b w:val="1"/>
          <w:color w:val="000000"/>
          <w:sz w:val="24"/>
        </w:rPr>
        <w:t>学情</w:t>
      </w:r>
      <w:r>
        <w:rPr>
          <w:rFonts w:hint="eastAsia" w:ascii="SimSun" w:hAnsi="SimSun" w:eastAsia="SimSun" w:cs="SimSun"/>
          <w:color w:val="000000"/>
          <w:sz w:val="24"/>
        </w:rPr>
        <w:t xml:space="preserve">：普通校高一 ｜ </w:t>
      </w:r>
      <w:r>
        <w:rPr>
          <w:rFonts w:hint="eastAsia" w:ascii="SimSun" w:hAnsi="SimSun" w:eastAsia="SimSun" w:cs="SimSun"/>
          <w:b w:val="1"/>
          <w:color w:val="000000"/>
          <w:sz w:val="24"/>
        </w:rPr>
        <w:t>方向</w:t>
      </w:r>
      <w:r>
        <w:rPr>
          <w:rFonts w:hint="eastAsia" w:ascii="SimSun" w:hAnsi="SimSun" w:eastAsia="SimSun" w:cs="SimSun"/>
          <w:color w:val="000000"/>
          <w:sz w:val="24"/>
        </w:rPr>
        <w:t>：思辨型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999999" w:sz="18"/>
              <w:bottom w:val="none" w:sz="8"/>
              <w:right w:val="none" w:sz="8"/>
            </w:tcBorders>
            <w:shd w:val="clear" w:fill="f5f5f5"/>
            <w:vAlign w:val="center"/>
          </w:tcPr>
          <w:p w14:paraId="30C9536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2"/>
              </w:rPr>
              <w:t>本文是</w:t>
            </w:r>
            <w:r>
              <w:rPr>
                <w:rFonts w:hint="eastAsia" w:ascii="SimSun" w:hAnsi="SimSun" w:eastAsia="SimSun" w:cs="SimSun"/>
                <w:b w:val="1"/>
                <w:color w:val="000000"/>
                <w:sz w:val="22"/>
              </w:rPr>
              <w:t>单元级</w:t>
            </w:r>
            <w:r>
              <w:rPr>
                <w:rFonts w:hint="eastAsia" w:ascii="SimSun" w:hAnsi="SimSun" w:eastAsia="SimSun" w:cs="SimSun"/>
                <w:color w:val="000000"/>
                <w:sz w:val="22"/>
              </w:rPr>
              <w:t>设计。第 1 课时的完整母本见 乡土中国_教学设计与检测量规.md；　第 2–5 课时的教案与学案见各课时文件。本文只回答一个问题：</w:t>
            </w:r>
            <w:r>
              <w:rPr>
                <w:rFonts w:hint="eastAsia" w:ascii="SimSun" w:hAnsi="SimSun" w:eastAsia="SimSun" w:cs="SimSun"/>
                <w:b w:val="1"/>
                <w:color w:val="000000"/>
                <w:sz w:val="22"/>
              </w:rPr>
              <w:t>五节课怎么串成一条线。</w:t>
            </w:r>
          </w:p>
        </w:tc>
      </w:tr>
    </w:tbl>
    <w:p w14:paraId="7D6563D0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一、依据与定位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57BADC3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项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50DCA27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573C8C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任务群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0F72FB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整本书阅读与研讨（必修阶段 1 学分，18 课时；本校实际排 5 课时，其余靠课外阅读推进）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37EF02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学业质量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A594E6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水平二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ED9C6E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素养落点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F379C8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语言建构与运用（学术语体的概念与连接词）／思维发展与提升（按论证形态选择读法）／文化传承与理解（用书中概念解释身边现象）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3BE641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本书特点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413AF3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高中阶段唯一一部</w:t>
            </w: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学术著作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整本书。小说靠情节推进，它靠</w:t>
            </w: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概念与论证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推进</w:t>
            </w:r>
          </w:p>
        </w:tc>
      </w:tr>
      <w:tr>
        <w:trPr/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872675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核心困难</w:t>
            </w:r>
          </w:p>
        </w:tc>
        <w:tc>
          <w:tcPr>
            <w:tcW w:w="415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AE7918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学生手里的读法是读小说练出来的；把小说读法搬过来，读到第四章就停</w:t>
            </w:r>
          </w:p>
        </w:tc>
      </w:tr>
    </w:tbl>
    <w:p w14:paraId="36D9B596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一句话定位</w:t>
      </w:r>
      <w:r>
        <w:rPr>
          <w:rFonts w:hint="eastAsia" w:ascii="SimSun" w:hAnsi="SimSun" w:eastAsia="SimSun" w:cs="SimSun"/>
          <w:color w:val="000000"/>
          <w:sz w:val="24"/>
        </w:rPr>
        <w:t>：这个单元不教"乡土社会是什么"，教"这一类书该怎么读"——读法通了，十四篇自己会读；读法不通，讲十四遍也没用。</w:t>
      </w:r>
    </w:p>
    <w:p w14:paraId="56E746BD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二、单元目标（3 条，全单元共用）</w:t>
      </w:r>
    </w:p>
    <w:p w14:paraId="5FF9381D">
      <w:pPr>
        <w:numPr>
          <w:ilvl w:val="0"/>
          <w:numId w:val="1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语言建构与运用</w:t>
      </w:r>
      <w:r>
        <w:rPr>
          <w:rFonts w:hint="eastAsia" w:ascii="SimSun" w:hAnsi="SimSun" w:eastAsia="SimSun" w:cs="SimSun"/>
          <w:color w:val="000000"/>
          <w:sz w:val="24"/>
        </w:rPr>
        <w:t>｜能在书中指认至少六个核心概念（乡土本色、差序格局、团体格局、礼治、无讼、长老统治），并用自己的话解释，不用书上的原话。</w:t>
      </w:r>
    </w:p>
    <w:p w14:paraId="72129E79">
      <w:pPr>
        <w:numPr>
          <w:ilvl w:val="0"/>
          <w:numId w:val="1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思维发展与提升</w:t>
      </w:r>
      <w:r>
        <w:rPr>
          <w:rFonts w:hint="eastAsia" w:ascii="SimSun" w:hAnsi="SimSun" w:eastAsia="SimSun" w:cs="SimSun"/>
          <w:color w:val="000000"/>
          <w:sz w:val="24"/>
        </w:rPr>
        <w:t>｜能为十四篇各配一种读法并说出理由；理由须指出该篇的</w:t>
      </w:r>
      <w:r>
        <w:rPr>
          <w:rFonts w:hint="eastAsia" w:ascii="SimSun" w:hAnsi="SimSun" w:eastAsia="SimSun" w:cs="SimSun"/>
          <w:b w:val="1"/>
          <w:color w:val="000000"/>
          <w:sz w:val="24"/>
        </w:rPr>
        <w:t>论证形态</w:t>
      </w:r>
      <w:r>
        <w:rPr>
          <w:rFonts w:hint="eastAsia" w:ascii="SimSun" w:hAnsi="SimSun" w:eastAsia="SimSun" w:cs="SimSun"/>
          <w:color w:val="000000"/>
          <w:sz w:val="24"/>
        </w:rPr>
        <w:t>（因果推进／两栏对比／结构定位／案例印证）。</w:t>
      </w:r>
    </w:p>
    <w:p w14:paraId="4D80CDE1">
      <w:pPr>
        <w:numPr>
          <w:ilvl w:val="0"/>
          <w:numId w:val="1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文化传承与理解</w:t>
      </w:r>
      <w:r>
        <w:rPr>
          <w:rFonts w:hint="eastAsia" w:ascii="SimSun" w:hAnsi="SimSun" w:eastAsia="SimSun" w:cs="SimSun"/>
          <w:color w:val="000000"/>
          <w:sz w:val="24"/>
        </w:rPr>
        <w:t>｜能用一个身边或当下的现象解释书中概念，并指出它</w:t>
      </w:r>
      <w:r>
        <w:rPr>
          <w:rFonts w:hint="eastAsia" w:ascii="SimSun" w:hAnsi="SimSun" w:eastAsia="SimSun" w:cs="SimSun"/>
          <w:b w:val="1"/>
          <w:color w:val="000000"/>
          <w:sz w:val="24"/>
        </w:rPr>
        <w:t>套不上</w:t>
      </w:r>
      <w:r>
        <w:rPr>
          <w:rFonts w:hint="eastAsia" w:ascii="SimSun" w:hAnsi="SimSun" w:eastAsia="SimSun" w:cs="SimSun"/>
          <w:color w:val="000000"/>
          <w:sz w:val="24"/>
        </w:rPr>
        <w:t>的一处；能在读书报告里指出一处"书里说不通"。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999999" w:sz="18"/>
              <w:bottom w:val="none" w:sz="8"/>
              <w:right w:val="none" w:sz="8"/>
            </w:tcBorders>
            <w:shd w:val="clear" w:fill="f5f5f5"/>
            <w:vAlign w:val="center"/>
          </w:tcPr>
          <w:p w14:paraId="1C49610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2"/>
              </w:rPr>
              <w:t>三条目标分别落在三个不同维度，且都能在期末收上来判：目标 1 看概念卡，目标 2 看分派表修订稿，目标 3 看读书报告。</w:t>
            </w:r>
          </w:p>
        </w:tc>
      </w:tr>
    </w:tbl>
    <w:p w14:paraId="4A1E7613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三、课时结构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457FE01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课时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3C5F361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课型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557738A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读什么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08004F7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主用读法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3ED99FD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课上产出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75958F4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课外推进</w:t>
            </w:r>
          </w:p>
        </w:tc>
      </w:tr>
      <w:tr>
        <w:trPr/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CB20F7C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58046C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导读课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CBC54E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全书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EF3986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四种各试一次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A92093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分派表 ＋ 进度表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965B2B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读 1–3 篇</w:t>
            </w:r>
          </w:p>
        </w:tc>
      </w:tr>
      <w:tr>
        <w:trPr/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63924FF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2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95E9A0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推进课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CA56AD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1–3 篇（乡土本色／文字下乡／再论文字下乡）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CADB54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接龙 ＋ 分维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C80DDD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概念卡 3 张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CB2046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读 4–7 篇</w:t>
            </w:r>
          </w:p>
        </w:tc>
      </w:tr>
      <w:tr>
        <w:trPr/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55B96A0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3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CBCCCF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推进课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B4F9F2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4–7 篇（差序格局／系维着私人的道德／家族／男女有别）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AB7655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画圈 ＋ 分维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ABD2DD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结构图 1 张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AB5944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读 8–9 篇</w:t>
            </w:r>
          </w:p>
        </w:tc>
      </w:tr>
      <w:tr>
        <w:trPr/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392024C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4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A80FCF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推进课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AEF213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8–14 篇（礼治秩序／无讼／无为政治／长老统治／血缘和地缘／名实分离／从欲望到需要）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DDF7E6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分维 ＋ 找例 ＋ 接龙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3DCBEC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分派表修订稿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F49374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读 10–14 篇</w:t>
            </w:r>
          </w:p>
        </w:tc>
      </w:tr>
      <w:tr>
        <w:trPr/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412A7F9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5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F3B1FB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交流课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4007E7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全书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94B88E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四种合用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F00AC9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读书报告定稿</w:t>
            </w:r>
          </w:p>
        </w:tc>
        <w:tc>
          <w:tcPr>
            <w:tcW w:w="1384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07A99B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单元结束</w:t>
            </w:r>
          </w:p>
        </w:tc>
      </w:tr>
    </w:tbl>
    <w:p w14:paraId="5F247D89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课型分工的道理</w:t>
      </w:r>
      <w:r>
        <w:rPr>
          <w:rFonts w:hint="eastAsia" w:ascii="SimSun" w:hAnsi="SimSun" w:eastAsia="SimSun" w:cs="SimSun"/>
          <w:color w:val="000000"/>
          <w:sz w:val="24"/>
        </w:rPr>
        <w:t>：</w:t>
      </w:r>
    </w:p>
    <w:p w14:paraId="401E1246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导读课不碰内容</w:t>
      </w:r>
      <w:r>
        <w:rPr>
          <w:rFonts w:hint="eastAsia" w:ascii="SimSun" w:hAnsi="SimSun" w:eastAsia="SimSun" w:cs="SimSun"/>
          <w:color w:val="000000"/>
          <w:sz w:val="24"/>
        </w:rPr>
        <w:t>，只给工具和进度。它一碰内容，后面四节就没活干了。</w:t>
      </w:r>
    </w:p>
    <w:p w14:paraId="07361CA4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三节推进课各管一个读法重心</w:t>
      </w:r>
      <w:r>
        <w:rPr>
          <w:rFonts w:hint="eastAsia" w:ascii="SimSun" w:hAnsi="SimSun" w:eastAsia="SimSun" w:cs="SimSun"/>
          <w:color w:val="000000"/>
          <w:sz w:val="24"/>
        </w:rPr>
        <w:t>：第 2 节练接龙与分维（这两样最基础），第 3 节练画圈（唯一需要动手画的一次），第 4 节练找例与综合判断。</w:t>
      </w:r>
    </w:p>
    <w:p w14:paraId="32E43099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交流课不当"总结课"</w:t>
      </w:r>
      <w:r>
        <w:rPr>
          <w:rFonts w:hint="eastAsia" w:ascii="SimSun" w:hAnsi="SimSun" w:eastAsia="SimSun" w:cs="SimSun"/>
          <w:color w:val="000000"/>
          <w:sz w:val="24"/>
        </w:rPr>
        <w:t>。总结课是教师把学过的东西再说一遍，那等于重复。交流课只处理一件教师替代不了的事：</w:t>
      </w:r>
      <w:r>
        <w:rPr>
          <w:rFonts w:hint="eastAsia" w:ascii="SimSun" w:hAnsi="SimSun" w:eastAsia="SimSun" w:cs="SimSun"/>
          <w:b w:val="1"/>
          <w:color w:val="000000"/>
          <w:sz w:val="24"/>
        </w:rPr>
        <w:t>学生自己找到的"说不通"</w:t>
      </w:r>
      <w:r>
        <w:rPr>
          <w:rFonts w:hint="eastAsia" w:ascii="SimSun" w:hAnsi="SimSun" w:eastAsia="SimSun" w:cs="SimSun"/>
          <w:color w:val="000000"/>
          <w:sz w:val="24"/>
        </w:rPr>
        <w:t>。</w:t>
      </w:r>
    </w:p>
    <w:p w14:paraId="2F6FD1E8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四、五节课的主问题（一节一个，互不重复）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264F41D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课时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3F76F97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主问题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2D01BCC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它在追问什么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425DEC8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B83A7A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读《乡土中国》，到底在读什么？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ECBB49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读法本身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5EB0691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2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E9EB23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乡下人"愚"，是脑子的问题还是条件的问题？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CDE722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作者在反驳谁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B3F0CEA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3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B019BC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"私"是道德问题，还是格局问题？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5DD025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解释从哪一层开始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C0094D9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4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E13490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礼治与法治，差的是"有没有法"吗？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7FDF81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两个概念的差别究竟落在哪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E1E5E13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5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4807FD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这本书哪一处说不通？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5AF0F7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读者与作者的位置</w:t>
            </w:r>
          </w:p>
        </w:tc>
      </w:tr>
    </w:tbl>
    <w:p w14:paraId="2437E4AB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五个问题是一条线</w:t>
      </w:r>
      <w:r>
        <w:rPr>
          <w:rFonts w:hint="eastAsia" w:ascii="SimSun" w:hAnsi="SimSun" w:eastAsia="SimSun" w:cs="SimSun"/>
          <w:color w:val="000000"/>
          <w:sz w:val="24"/>
        </w:rPr>
        <w:t>：先知道读什么（1），再看作者怎么反驳一个成见（2），再看他从哪一层解释（3），再辨析两个概念的真正差别（4），最后站到作者对面（5）。</w:t>
      </w:r>
    </w:p>
    <w:p w14:paraId="26B2CC81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这条线是从"跟着作者走"走到"与作者并排站"。</w:t>
      </w:r>
      <w:r>
        <w:rPr>
          <w:rFonts w:hint="eastAsia" w:ascii="SimSun" w:hAnsi="SimSun" w:eastAsia="SimSun" w:cs="SimSun"/>
          <w:color w:val="000000"/>
          <w:sz w:val="24"/>
        </w:rPr>
        <w:t xml:space="preserve"> 如果第 5 课时还在问"乡土社会有什么特点"，这条线就断了。</w:t>
      </w:r>
    </w:p>
    <w:p w14:paraId="2DDC3672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五、课时与阅读进度的对应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24F9582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周次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1C1EF9E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课内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34E771B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课外读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4DCFE97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周五交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C2E4AC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第 1 周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DFD585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课时 1（导读）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2754BE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1–3 篇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580806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概念卡 3 张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73BDC9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第 2 周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2A51D8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课时 2（推进 1–3 篇）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E2DF57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4–7 篇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E36DCE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概念卡 3 张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FF65F7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第 3 周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B489F4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课时 3（推进 4–7 篇）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6C9A6D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8–9 篇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C12CE2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概念卡 2 张 ＋ 结构图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DDBEA3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第 4 周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FCA729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课时 4（推进 8–14 篇）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FC99B1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10–14 篇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F3FF4F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概念卡 5 张 ＋ 分派表修订稿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097EB04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第 5 周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F2E45D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课时 5（交流）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4F9A86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全书回看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18096A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读书报告</w:t>
            </w:r>
          </w:p>
        </w:tc>
      </w:tr>
    </w:tbl>
    <w:p w14:paraId="2D39F49A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关键安排：课上推进的永远是"上周读完的"，不是"正在读的"。</w:t>
      </w:r>
    </w:p>
    <w:p w14:paraId="53BC0C13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这条不是排课的方便，是</w:t>
      </w:r>
      <w:r>
        <w:rPr>
          <w:rFonts w:hint="eastAsia" w:ascii="SimSun" w:hAnsi="SimSun" w:eastAsia="SimSun" w:cs="SimSun"/>
          <w:b w:val="1"/>
          <w:color w:val="000000"/>
          <w:sz w:val="24"/>
        </w:rPr>
        <w:t>理解的前提</w:t>
      </w:r>
      <w:r>
        <w:rPr>
          <w:rFonts w:hint="eastAsia" w:ascii="SimSun" w:hAnsi="SimSun" w:eastAsia="SimSun" w:cs="SimSun"/>
          <w:color w:val="000000"/>
          <w:sz w:val="24"/>
        </w:rPr>
        <w:t>——学生没读完就来听推进课，只能听教师讲，自己插不上话。所以每节课都以"上周你读到哪、哪里卡住"开场，用 3 分钟收上周的问题单。</w:t>
      </w:r>
    </w:p>
    <w:p w14:paraId="6E6F31CA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课时 4 的特别说明（必须知道）</w:t>
      </w:r>
      <w:r>
        <w:rPr>
          <w:rFonts w:hint="eastAsia" w:ascii="SimSun" w:hAnsi="SimSun" w:eastAsia="SimSun" w:cs="SimSun"/>
          <w:color w:val="000000"/>
          <w:sz w:val="24"/>
        </w:rPr>
        <w:t>：它面对七篇，是全单元最重的一节。</w:t>
      </w:r>
      <w:r>
        <w:rPr>
          <w:rFonts w:hint="eastAsia" w:ascii="SimSun" w:hAnsi="SimSun" w:eastAsia="SimSun" w:cs="SimSun"/>
          <w:b w:val="1"/>
          <w:color w:val="000000"/>
          <w:sz w:val="24"/>
        </w:rPr>
        <w:t>它不是"课上读七篇"，而是"课上统整已读的七篇"</w:t>
      </w:r>
      <w:r>
        <w:rPr>
          <w:rFonts w:hint="eastAsia" w:ascii="SimSun" w:hAnsi="SimSun" w:eastAsia="SimSun" w:cs="SimSun"/>
          <w:color w:val="000000"/>
          <w:sz w:val="24"/>
        </w:rPr>
        <w:t>——学生按进度表在第 3、4 周已读完，课上只做三件事：精处理 3 篇（8 礼治秩序／9 无讼／11 长老统治），快速核对 4 篇（10／12／13／14 各一句话报读法与理由），把省下的时间给"分派表修订"。</w:t>
      </w:r>
      <w:r>
        <w:rPr>
          <w:rFonts w:hint="eastAsia" w:ascii="SimSun" w:hAnsi="SimSun" w:eastAsia="SimSun" w:cs="SimSun"/>
          <w:b w:val="1"/>
          <w:color w:val="000000"/>
          <w:sz w:val="24"/>
        </w:rPr>
        <w:t>如果本校课时宽裕，建议拆成两节</w:t>
      </w:r>
      <w:r>
        <w:rPr>
          <w:rFonts w:hint="eastAsia" w:ascii="SimSun" w:hAnsi="SimSun" w:eastAsia="SimSun" w:cs="SimSun"/>
          <w:color w:val="000000"/>
          <w:sz w:val="24"/>
        </w:rPr>
        <w:t>（8–11 一节、12–14 一节），拆法见第八节。</w:t>
      </w:r>
    </w:p>
    <w:p w14:paraId="3BF5105C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六、评价方案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3291A2D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类别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35B9CCE3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占比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2C654A1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内容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2700E81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判据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2CA730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过程性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BE3EBBD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60%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577D0C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五周概念卡（共 16 张）／结构图 1 张／分派表修订稿 1 份／每周问题单 5 张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03BFC0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概念卡五栏齐全，</w:t>
            </w: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"一个反例"不许空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；结构图箭头必须有字；分派表理由须指出论证形态</w:t>
            </w:r>
          </w:p>
        </w:tc>
      </w:tr>
      <w:tr>
        <w:trPr/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FF3091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终结性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4DAC593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40%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9B994D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读书报告 800 字</w:t>
            </w:r>
          </w:p>
        </w:tc>
        <w:tc>
          <w:tcPr>
            <w:tcW w:w="2076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6B5032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用书中至少三个概念解释一个真实现象，并指出</w:t>
            </w: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一处"书里说不通"</w:t>
            </w:r>
          </w:p>
        </w:tc>
      </w:tr>
    </w:tbl>
    <w:p w14:paraId="78ACFDD4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为什么"说不通"占分</w:t>
      </w:r>
      <w:r>
        <w:rPr>
          <w:rFonts w:hint="eastAsia" w:ascii="SimSun" w:hAnsi="SimSun" w:eastAsia="SimSun" w:cs="SimSun"/>
          <w:color w:val="000000"/>
          <w:sz w:val="24"/>
        </w:rPr>
        <w:t>：整本书阅读最容易上成"复述费孝通说了什么"。允许学生说这本书有说不通的地方，读法才从"接受"变成"审查"。这一条也是第 5 课时的主问题。</w:t>
      </w:r>
    </w:p>
    <w:p w14:paraId="6ACE2163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七、单元作业链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4C11F26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层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477A602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内容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3E5AB2F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频次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E931B8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基础（全员）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7969A7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每周概念卡（术语／原文定义／我的一句话／一个例子／</w:t>
            </w: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一个反例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C80C1D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每周五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C97895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提高（自选）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3BD5F9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用本周主用读法把指定一篇做成一件成品（链／表／图／例）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D128F7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每周一次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CE3F10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拓展（自选）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11532C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从身边找一个乡土痕迹，用书中概念解释，写出</w:t>
            </w: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套不上的一处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11F4A4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单元内至少一次</w:t>
            </w:r>
          </w:p>
        </w:tc>
      </w:tr>
    </w:tbl>
    <w:p w14:paraId="1EF38187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作业指向阅读推进，不指向习题。</w:t>
      </w:r>
      <w:r>
        <w:rPr>
          <w:rFonts w:hint="eastAsia" w:ascii="SimSun" w:hAnsi="SimSun" w:eastAsia="SimSun" w:cs="SimSun"/>
          <w:color w:val="000000"/>
          <w:sz w:val="24"/>
        </w:rPr>
        <w:t xml:space="preserve"> 整本书的作业应该是"接着读"，不是"做几道题"。</w:t>
      </w:r>
    </w:p>
    <w:p w14:paraId="27D8E629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八、单元级风险与两条预案</w:t>
      </w:r>
    </w:p>
    <w:p w14:paraId="0749F594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单元级的风险都出在课外与课时的匹配上，不在某一节课的内部。两条预案都先写在这里，出现时照做，不必临场再议。</w:t>
      </w:r>
    </w:p>
    <w:p w14:paraId="275BA28F">
      <w:pPr>
        <w:pStyle w:val="00000b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风险 1｜课外读不完，课上全部落空</w:t>
      </w:r>
    </w:p>
    <w:p w14:paraId="3449D2B3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这是整本书课最大的风险，而且它不在课堂上，</w:t>
      </w:r>
      <w:r>
        <w:rPr>
          <w:rFonts w:hint="eastAsia" w:ascii="SimSun" w:hAnsi="SimSun" w:eastAsia="SimSun" w:cs="SimSun"/>
          <w:b w:val="1"/>
          <w:color w:val="000000"/>
          <w:sz w:val="24"/>
        </w:rPr>
        <w:t>在课外</w:t>
      </w:r>
      <w:r>
        <w:rPr>
          <w:rFonts w:hint="eastAsia" w:ascii="SimSun" w:hAnsi="SimSun" w:eastAsia="SimSun" w:cs="SimSun"/>
          <w:color w:val="000000"/>
          <w:sz w:val="24"/>
        </w:rPr>
        <w:t>。</w:t>
      </w:r>
    </w:p>
    <w:p w14:paraId="3848CBE4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预案</w:t>
      </w:r>
      <w:r>
        <w:rPr>
          <w:rFonts w:hint="eastAsia" w:ascii="SimSun" w:hAnsi="SimSun" w:eastAsia="SimSun" w:cs="SimSun"/>
          <w:color w:val="000000"/>
          <w:sz w:val="24"/>
        </w:rPr>
        <w:t>：进度表按周压到"一周最多四篇"，且第 1 周只读三篇（第一篇《乡土本色》只有五页，最容易建立信心）。第 2 周起每周四篇。</w:t>
      </w:r>
      <w:r>
        <w:rPr>
          <w:rFonts w:hint="eastAsia" w:ascii="SimSun" w:hAnsi="SimSun" w:eastAsia="SimSun" w:cs="SimSun"/>
          <w:b w:val="1"/>
          <w:color w:val="000000"/>
          <w:sz w:val="24"/>
        </w:rPr>
        <w:t>如果第 3 周有三分之一人落后，立即停一次推进课，改上"补读课"</w:t>
      </w:r>
      <w:r>
        <w:rPr>
          <w:rFonts w:hint="eastAsia" w:ascii="SimSun" w:hAnsi="SimSun" w:eastAsia="SimSun" w:cs="SimSun"/>
          <w:color w:val="000000"/>
          <w:sz w:val="24"/>
        </w:rPr>
        <w:t>——宁可少推进一节，不能让人带着空账往下走。</w:t>
      </w:r>
    </w:p>
    <w:p w14:paraId="24EAB30C">
      <w:pPr>
        <w:pStyle w:val="00000b"/>
        <w:keepNext w:val="1"/>
        <w:keepLines w:val="1"/>
        <w:spacing w:before="240" w:beforeAutospacing="1" w:after="96" w:afterAutospacing="1" w:line="312"/>
        <w:outlineLvl w:val="2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4"/>
        </w:rPr>
        <w:t>风险 2｜课时 4 装不下七篇</w:t>
      </w:r>
    </w:p>
    <w:p w14:paraId="2C3395B0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已在上文说明。两条处理：</w:t>
      </w:r>
    </w:p>
    <w:p w14:paraId="556D2F40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默认方案</w:t>
      </w:r>
      <w:r>
        <w:rPr>
          <w:rFonts w:hint="eastAsia" w:ascii="SimSun" w:hAnsi="SimSun" w:eastAsia="SimSun" w:cs="SimSun"/>
          <w:color w:val="000000"/>
          <w:sz w:val="24"/>
        </w:rPr>
        <w:t>：精处理 3 篇 ＋ 快速核对 4 篇（见第五节）。</w:t>
      </w:r>
    </w:p>
    <w:p w14:paraId="18BC6C46">
      <w:pPr>
        <w:numPr>
          <w:ilvl w:val="0"/>
          <w:numId w:val="2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宽裕方案</w:t>
      </w:r>
      <w:r>
        <w:rPr>
          <w:rFonts w:hint="eastAsia" w:ascii="SimSun" w:hAnsi="SimSun" w:eastAsia="SimSun" w:cs="SimSun"/>
          <w:color w:val="000000"/>
          <w:sz w:val="24"/>
        </w:rPr>
        <w:t>：拆成两节——8–11 一篇（礼治与权力：分维＋找例），12–14 一篇（血缘地缘／名实分离／欲望到需要：分维＋接龙）。拆后全单元变 6 课时，进度表不变。</w:t>
      </w:r>
    </w:p>
    <w:p w14:paraId="01333F8E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不推荐的第三条路</w:t>
      </w:r>
      <w:r>
        <w:rPr>
          <w:rFonts w:hint="eastAsia" w:ascii="SimSun" w:hAnsi="SimSun" w:eastAsia="SimSun" w:cs="SimSun"/>
          <w:color w:val="000000"/>
          <w:sz w:val="24"/>
        </w:rPr>
        <w:t>：把七篇压成一节还逐篇讲。四十五分钟讲七篇，每篇六分钟，只能报结论，读法就白练了。</w:t>
      </w:r>
    </w:p>
    <w:p w14:paraId="187A30F4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九、五处课时衔接（每节课给下一节留的钩子）</w:t>
      </w:r>
    </w:p>
    <w:p w14:paraId="47CE14A3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单元整体设计最容易做成"五份独立教案摆在一起"。真正的衔接在这五处：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3EEE829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衔接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4EF5CB0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上一节留下什么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val="clear" w:fill="efefef"/>
            <w:vAlign w:val="top"/>
          </w:tcPr>
          <w:p w14:paraId="3CCA6B0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Hei" w:hAnsi="SimHei" w:eastAsia="SimHei" w:cs="SimHei"/>
                <w:b w:val="1"/>
                <w:color w:val="000000"/>
                <w:sz w:val="21"/>
              </w:rPr>
              <w:t>下一节怎么用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A833315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 → 2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383123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分派表上写着"1 接龙"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927BFE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第 2 节开场就问："表上说第 1 篇用接龙，你接出来了吗？断在哪一环？"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794FF16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2 → 3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6D03086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学生发现"《乡土本色》能接成链，可《差序格局》接不起来"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D582A5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第 3 节由此引入画圈："接不起来，是因为它不是在推，是在</w:t>
            </w: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摆位置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。"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1B9FD2E5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3 → 4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7F78298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结构图上"差序格局"连出了家族与礼治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515ABE7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第 4 节开场指这张图："礼治为什么长在差序格局上？把那条线说清楚。"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05DFEC6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4 → 5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2CBF9DB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分派表修订稿上，有学生改了教师的判断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E6A9B1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第 5 节拿这份修订稿当材料："你改了哪一处？理由写进读书报告。"</w:t>
            </w:r>
          </w:p>
        </w:tc>
      </w:tr>
      <w:tr>
        <w:trPr/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3023932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5 → 后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8FA995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读书报告里的"说不通"</w:t>
            </w:r>
          </w:p>
        </w:tc>
        <w:tc>
          <w:tcPr>
            <w:tcW w:w="276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vAlign w:val="top"/>
          </w:tcPr>
          <w:p w14:paraId="4317D66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下一轮读别的学术书时，第一件事就是问"这本书哪里说不通"</w:t>
            </w:r>
          </w:p>
        </w:tc>
      </w:tr>
    </w:tbl>
    <w:p w14:paraId="5A7DA048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这五处的共同点</w:t>
      </w:r>
      <w:r>
        <w:rPr>
          <w:rFonts w:hint="eastAsia" w:ascii="SimSun" w:hAnsi="SimSun" w:eastAsia="SimSun" w:cs="SimSun"/>
          <w:color w:val="000000"/>
          <w:sz w:val="24"/>
        </w:rPr>
        <w:t>：每节课都留一件</w:t>
      </w:r>
      <w:r>
        <w:rPr>
          <w:rFonts w:hint="eastAsia" w:ascii="SimSun" w:hAnsi="SimSun" w:eastAsia="SimSun" w:cs="SimSun"/>
          <w:b w:val="1"/>
          <w:color w:val="000000"/>
          <w:sz w:val="24"/>
        </w:rPr>
        <w:t>别人替代不了的实物</w:t>
      </w:r>
      <w:r>
        <w:rPr>
          <w:rFonts w:hint="eastAsia" w:ascii="SimSun" w:hAnsi="SimSun" w:eastAsia="SimSun" w:cs="SimSun"/>
          <w:color w:val="000000"/>
          <w:sz w:val="24"/>
        </w:rPr>
        <w:t>（分派表、结构图、修订稿、报告），下一节从实物开始，不从"上节课我们讲了"开始。</w:t>
      </w:r>
    </w:p>
    <w:p w14:paraId="798FF0A3">
      <w:pPr>
        <w:pStyle w:val="000005"/>
        <w:keepNext w:val="1"/>
        <w:keepLines w:val="1"/>
        <w:spacing w:before="336" w:beforeAutospacing="1" w:after="144" w:afterAutospacing="1" w:line="312"/>
        <w:outlineLvl w:val="1"/>
        <w:rPr>
          <w:color w:val="000000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000000"/>
          <w:sz w:val="28"/>
        </w:rPr>
        <w:t>十、单元结束时学生手里应该有的东西</w:t>
      </w:r>
    </w:p>
    <w:p w14:paraId="6401110D">
      <w:pPr>
        <w:numPr>
          <w:ilvl w:val="0"/>
          <w:numId w:val="3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一张自己填的分派表（14 篇 × 读法）</w:t>
      </w:r>
    </w:p>
    <w:p w14:paraId="492BA758">
      <w:pPr>
        <w:numPr>
          <w:ilvl w:val="0"/>
          <w:numId w:val="3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16 张概念卡，每张最后一栏都写了"哪里不像"</w:t>
      </w:r>
    </w:p>
    <w:p w14:paraId="2DADA740">
      <w:pPr>
        <w:numPr>
          <w:ilvl w:val="0"/>
          <w:numId w:val="3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一张画出来的结构图，箭头都有字</w:t>
      </w:r>
    </w:p>
    <w:p w14:paraId="355E45A2">
      <w:pPr>
        <w:numPr>
          <w:ilvl w:val="0"/>
          <w:numId w:val="3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一份读书报告，其中有一处写着"这里说不通"</w:t>
      </w:r>
    </w:p>
    <w:p w14:paraId="2BA48A34">
      <w:pPr>
        <w:numPr>
          <w:ilvl w:val="0"/>
          <w:numId w:val="3"/>
        </w:numPr>
        <w:pBdr>
          <w:left w:space="26"/>
        </w:pBdr>
        <w:spacing w:before="0" w:after="60" w:line="36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一句话：</w:t>
      </w:r>
      <w:r>
        <w:rPr>
          <w:rFonts w:hint="eastAsia" w:ascii="SimSun" w:hAnsi="SimSun" w:eastAsia="SimSun" w:cs="SimSun"/>
          <w:b w:val="1"/>
          <w:color w:val="000000"/>
          <w:sz w:val="24"/>
        </w:rPr>
        <w:t>十四篇不必用一种读法；但每一篇，都要有一种读法读得动它。</w:t>
      </w:r>
    </w:p>
    <w:p w14:paraId="4BC87B33">
      <w:pPr>
        <w:spacing w:before="0" w:after="120" w:line="36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前四件是交上来的，第五件是带走的。</w:t>
      </w:r>
    </w:p>
    <w:p w14:paraId="69F350D3"/>
    <w:sectPr>
      <w:headerReference r:id="rId5" w:type="default"/>
      <w:footerReference r:id="rId6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3125FC1F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11072F36">
    <w:pPr>
      <w:jc w:val="center"/>
    </w:pPr>
    <w:r>
      <w:rPr>
        <w:rFonts w:hint="eastAsia"/>
      </w:rPr>
      <w:t>《声声慢（寻寻觅觅）》· 单篇精读 · 1 课时 · 普通校 · 思辨型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3" w:semiHidden="1" w:unhideWhenUsed="1"/>
    <w:lsdException w:name="header" w:semiHidden="1" w:unhideWhenUsed="1"/>
    <w:lsdException w:name="toa heading" w:semiHidden="1" w:unhideWhenUsed="1"/>
    <w:lsdException w:name="List Continue" w:semiHidden="1" w:unhideWhenUsed="1"/>
    <w:lsdException w:name="endnote reference" w:semiHidden="1" w:unhideWhenUsed="1"/>
    <w:lsdException w:name="List Bullet 3" w:semiHidden="1" w:unhideWhenUsed="1"/>
    <w:lsdException w:name="List 2" w:semiHidden="1" w:unhideWhenUsed="1"/>
    <w:lsdException w:name="index 3" w:semiHidden="1" w:unhideWhenUsed="1"/>
    <w:lsdException w:name="List 5" w:semiHidden="1" w:unhideWhenUsed="1"/>
    <w:lsdException w:name="Hyperlink" w:semiHidden="1" w:unhideWhenUsed="1"/>
    <w:lsdException w:name="index 6" w:semiHidden="1" w:unhideWhenUsed="1"/>
    <w:lsdException w:name="List Bullet" w:semiHidden="1" w:unhideWhenUsed="1"/>
    <w:lsdException w:name="List 4" w:semiHidden="1" w:unhideWhenUsed="1"/>
    <w:lsdException w:name="Subtitle" w:uiPriority="11" w:qFormat="1"/>
    <w:lsdException w:name="List Continue 2" w:semiHidden="1" w:unhideWhenUsed="1"/>
    <w:lsdException w:name="Body Text Indent 3" w:semiHidden="1" w:unhideWhenUsed="1"/>
    <w:lsdException w:name="List Continue 3" w:semiHidden="1" w:unhideWhenUsed="1"/>
    <w:lsdException w:name="table of figures" w:semiHidden="1" w:unhideWhenUsed="1"/>
    <w:lsdException w:name="page number" w:semiHidden="1" w:unhideWhenUsed="1"/>
    <w:lsdException w:name="index 5" w:semiHidden="1" w:unhideWhenUsed="1"/>
    <w:lsdException w:name="toc 7" w:uiPriority="39" w:semiHidden="1" w:unhideWhenUsed="1"/>
    <w:lsdException w:name="heading 7" w:uiPriority="9" w:semiHidden="1" w:unhideWhenUsed="1" w:qFormat="1"/>
    <w:lsdException w:name="Body Text Indent" w:semiHidden="1" w:unhideWhenUsed="1"/>
    <w:lsdException w:name="macro" w:semiHidden="1" w:unhideWhenUsed="1"/>
    <w:lsdException w:name="Salutation" w:semiHidden="1" w:unhideWhenUsed="1"/>
    <w:lsdException w:name="heading 6" w:uiPriority="9" w:semiHidden="1" w:unhideWhenUsed="1" w:qFormat="1"/>
    <w:lsdException w:name="footnote reference" w:semiHidden="1" w:unhideWhenUsed="1"/>
    <w:lsdException w:name="heading 1" w:uiPriority="9" w:qFormat="1"/>
    <w:lsdException w:name="envelope return" w:semiHidden="1" w:unhideWhenUsed="1"/>
    <w:lsdException w:name="toc 8" w:uiPriority="39" w:semiHidden="1" w:unhideWhenUsed="1"/>
    <w:lsdException w:name="toc 3" w:uiPriority="39" w:semiHidden="1" w:unhideWhenUsed="1"/>
    <w:lsdException w:name="Block Text" w:semiHidden="1" w:unhideWhenUsed="1"/>
    <w:lsdException w:name="annotation reference" w:semiHidden="1" w:unhideWhenUsed="1"/>
    <w:lsdException w:name="annotation text" w:semiHidden="1" w:unhideWhenUsed="1"/>
    <w:lsdException w:name="List Number 3" w:semiHidden="1" w:unhideWhenUsed="1"/>
    <w:lsdException w:name="List Number 2" w:semiHidden="1" w:unhideWhenUsed="1"/>
    <w:lsdException w:name="Note Heading" w:semiHidden="1" w:unhideWhenUsed="1"/>
    <w:lsdException w:name="index heading" w:semiHidden="1" w:unhideWhenUsed="1"/>
    <w:lsdException w:name="table of authorities" w:semiHidden="1" w:unhideWhenUsed="1"/>
    <w:lsdException w:name="index 7" w:semiHidden="1" w:unhideWhenUsed="1"/>
    <w:lsdException w:name="footnote text" w:semiHidden="1" w:unhideWhenUsed="1"/>
    <w:lsdException w:name="Normal" w:uiPriority="0" w:qFormat="1"/>
    <w:lsdException w:name="List Continue 5" w:semiHidden="1" w:unhideWhenUsed="1"/>
    <w:lsdException w:name="FollowedHyperlink" w:semiHidden="1" w:unhideWhenUsed="1"/>
    <w:lsdException w:name="toc 6" w:uiPriority="39" w:semiHidden="1" w:unhideWhenUsed="1"/>
    <w:lsdException w:name="index 2" w:semiHidden="1" w:unhideWhenUsed="1"/>
    <w:lsdException w:name="index 9" w:semiHidden="1" w:unhideWhenUsed="1"/>
    <w:lsdException w:name="toc 1" w:uiPriority="39" w:semiHidden="1" w:unhideWhenUsed="1"/>
    <w:lsdException w:name="List Number" w:semiHidden="1" w:unhideWhenUsed="1"/>
    <w:lsdException w:name="Date" w:semiHidden="1" w:unhideWhenUsed="1"/>
    <w:lsdException w:name="Body Text 3" w:semiHidden="1" w:unhideWhenUsed="1"/>
    <w:lsdException w:name="Message Header" w:semiHidden="1" w:unhideWhenUsed="1"/>
    <w:lsdException w:name="caption" w:uiPriority="35" w:semiHidden="1" w:unhideWhenUsed="1" w:qFormat="1"/>
    <w:lsdException w:name="heading 3" w:uiPriority="9" w:semiHidden="1" w:unhideWhenUsed="1" w:qFormat="1"/>
    <w:lsdException w:name="heading 8" w:uiPriority="9" w:semiHidden="1" w:unhideWhenUsed="1" w:qFormat="1"/>
    <w:lsdException w:name="toc 4" w:uiPriority="39" w:semiHidden="1" w:unhideWhenUsed="1"/>
    <w:lsdException w:name="toc 9" w:uiPriority="39" w:semiHidden="1" w:unhideWhenUsed="1"/>
    <w:lsdException w:name="line number" w:semiHidden="1" w:unhideWhenUsed="1"/>
    <w:lsdException w:name="Closing" w:semiHidden="1" w:unhideWhenUsed="1"/>
    <w:lsdException w:name="Body Text Indent 2" w:semiHidden="1" w:unhideWhenUsed="1"/>
    <w:lsdException w:name="heading 9" w:uiPriority="9" w:semiHidden="1" w:unhideWhenUsed="1" w:qFormat="1"/>
    <w:lsdException w:name="heading 4" w:uiPriority="9" w:semiHidden="1" w:unhideWhenUsed="1" w:qFormat="1"/>
    <w:lsdException w:name="List Number 5" w:semiHidden="1" w:unhideWhenUsed="1"/>
    <w:lsdException w:name="List Bullet 5" w:semiHidden="1" w:unhideWhenUsed="1"/>
    <w:lsdException w:name="Title" w:uiPriority="10" w:qFormat="1"/>
    <w:lsdException w:name="List Number 4" w:semiHidden="1" w:unhideWhenUsed="1"/>
    <w:lsdException w:name="index 4" w:semiHidden="1" w:unhideWhenUsed="1"/>
    <w:lsdException w:name="Strong" w:uiPriority="22" w:qFormat="1"/>
    <w:lsdException w:name="Default Paragraph Font" w:uiPriority="1" w:semiHidden="1" w:unhideWhenUsed="1"/>
    <w:lsdException w:name="List Continue 4" w:semiHidden="1" w:unhideWhenUsed="1"/>
    <w:lsdException w:name="List Bullet 2" w:semiHidden="1" w:unhideWhenUsed="1"/>
    <w:lsdException w:name="index 8" w:semiHidden="1" w:unhideWhenUsed="1"/>
    <w:lsdException w:name="Normal Indent" w:semiHidden="1" w:unhideWhenUsed="1"/>
    <w:lsdException w:name="List" w:semiHidden="1" w:unhideWhenUsed="1"/>
    <w:lsdException w:name="toc 2" w:uiPriority="39" w:semiHidden="1" w:unhideWhenUsed="1"/>
    <w:lsdException w:name="Body Text First Indent 2" w:semiHidden="1" w:unhideWhenUsed="1"/>
    <w:lsdException w:name="envelope address" w:semiHidden="1" w:unhideWhenUsed="1"/>
    <w:lsdException w:name="heading 2" w:uiPriority="9" w:semiHidden="1" w:unhideWhenUsed="1" w:qFormat="1"/>
    <w:lsdException w:name="endnote text" w:semiHidden="1" w:unhideWhenUsed="1"/>
    <w:lsdException w:name="index 1" w:semiHidden="1" w:unhideWhenUsed="1"/>
    <w:lsdException w:name="footer" w:semiHidden="1" w:unhideWhenUsed="1"/>
    <w:lsdException w:name="Body Text 2" w:semiHidden="1" w:unhideWhenUsed="1"/>
    <w:lsdException w:name="Signature" w:semiHidden="1" w:unhideWhenUsed="1"/>
    <w:lsdException w:name="toc 5" w:uiPriority="39" w:semiHidden="1" w:unhideWhenUsed="1"/>
    <w:lsdException w:name="List Bullet 4" w:semiHidden="1" w:unhideWhenUsed="1"/>
    <w:lsdException w:name="Body Text First Indent" w:semiHidden="1" w:unhideWhenUsed="1"/>
    <w:lsdException w:name="Body Text" w:semiHidden="1" w:unhideWhenUsed="1"/>
    <w:lsdException w:name="heading 5" w:uiPriority="9" w:semiHidden="1" w:unhideWhenUsed="1" w:qFormat="1"/>
  </w:latentStyles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b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6" Type="http://schemas.openxmlformats.org/officeDocument/2006/relationships/footer" Target="footer1.xml" /><Relationship Id="rId2" Type="http://schemas.openxmlformats.org/officeDocument/2006/relationships/fontTable" Target="fontTable.xml" /><Relationship Id="rId5" Type="http://schemas.openxmlformats.org/officeDocument/2006/relationships/header" Target="header1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2026-10-26T21:17:48Z</dcterms:created>
  <dcterms:modified xsi:type="dcterms:W3CDTF">2026-10-26T21:17:48Z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"01a17819c8fa781eb2a174b2c3a85ac7", "ReservedCode1": "", "ContentPropagator": "00119111010856365494821B355", "PropagateID": "01a17819c8fa781eb2a174b2c3a85ac7", "ReservedCode2": ""}}</vt:lpwstr>
  </property>
</Properties>
</file>