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36" w:lineRule="auto"/>
        <w:jc w:val="center"/>
      </w:pPr>
      <w:r>
        <w:rPr>
          <w:rFonts w:ascii="微软雅黑" w:hAnsi="微软雅黑" w:eastAsia="微软雅黑" w:cs="微软雅黑" w:hint="eastAsia"/>
          <w:b w:val="0"/>
          <w:color w:val="111827"/>
          <w:sz w:val="48"/>
          <w:lang w:eastAsia="zh-CN"/>
        </w:rPr>
        <w:t>《劝学》教案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一、基本信息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篇目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《劝学》（节选）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荀子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｜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统编版必修上册第六单元「学习之道」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课型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单篇精读（文言说理散文）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课时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 xml:space="preserve">3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课时（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135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分钟）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学情版本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重点校（普通校／薄弱校差异见《教学设计》第十二节）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课标依据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《普通高中语文课程标准（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2017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年版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2025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年修订）》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学业质量水平二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教学出口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「君子生非异也，善假于物也」的「假」字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主问题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谈「学」却只写自然物象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这样的「劝」，为什么更有说服力？</w:t>
            </w:r>
          </w:p>
        </w:tc>
      </w:tr>
    </w:tbl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二、教具与资源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教材、注释本；不另发全文译文（重点校版本）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三张学习单（「物象</w:t>
      </w:r>
      <w:r>
        <w:t>—</w:t>
      </w:r>
      <w:r>
        <w:rPr>
          <w:rFonts w:ascii="微软雅黑" w:eastAsia="微软雅黑" w:hAnsi="微软雅黑" w:cs="微软雅黑" w:hint="eastAsia"/>
          <w:lang w:eastAsia="zh-CN"/>
        </w:rPr>
        <w:t>变化」表／「借</w:t>
      </w:r>
      <w:r>
        <w:t>—</w:t>
      </w:r>
      <w:r>
        <w:rPr>
          <w:rFonts w:ascii="微软雅黑" w:eastAsia="微软雅黑" w:hAnsi="微软雅黑" w:cs="微软雅黑" w:hint="eastAsia"/>
          <w:lang w:eastAsia="zh-CN"/>
        </w:rPr>
        <w:t>得」表／「正</w:t>
      </w:r>
      <w:r>
        <w:t>—</w:t>
      </w:r>
      <w:r>
        <w:rPr>
          <w:rFonts w:ascii="微软雅黑" w:eastAsia="微软雅黑" w:hAnsi="微软雅黑" w:cs="微软雅黑" w:hint="eastAsia"/>
          <w:lang w:eastAsia="zh-CN"/>
        </w:rPr>
        <w:t>反」对照表），每课时一张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板书用原生框架逐层呈现；不使用现成的《劝学》赏析课件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教师备查：《荀子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性恶》节录一段（台阶二「价值还原」用，给重点校班）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三、第 1 课时（45 分钟）· 读通与取象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环节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时长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教师活动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学生的活动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设计意图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导入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·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出口「假」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5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只出示「君子生非异也，善假于物也」一句，只问「假」字今天什么意思、这里什么意思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先按今义答（虚假），再从注释找出文中义（借助），齐读全句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用一个同词异境的字切入，把注意力压到语言上，而不先讲作者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通读与文言疏通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15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不下发译文；巡行，只对读不通的句子作提示；点出三处通假「有＝又」「知＝智」「生＝性」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自读全文，标出不通的字词；同桌互译第一段，把译不通的句子留下来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文言地基必须先过，但不占满课时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读通是手段，不是终点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台阶一 取象：五喻为什么都指向「变」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25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只出示第一段青、冰、木、金四喻，不解释；抛出：这五样东西有什么共同点？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逐句译出；圈出表示变化结果的词（青于、寒于、中规、直、利）；归纳共同点「变」；再答「靠什么变」（輮、绳、砺＝外力）；书面写一句话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从一望而知的「用了比喻」，挖到喻体选择的规律</w:t>
            </w:r>
          </w:p>
        </w:tc>
      </w:tr>
    </w:tbl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四、第 2 课时（45 分钟）· 借力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环节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时长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教师活动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学生的活动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设计意图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台阶二（上）四处「假于物」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20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出示第二段，只问一句：这一段里哪些是「假于物」的例子？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找出登高、顺风、舆马、舟楫四处；填「借什么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得什么」对照表；归纳「人没变、借的东西变了」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把「假」从字义落到例证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台阶二（下）「生非异」的锋芒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20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出示「君子生非异也」，追问：这句话在反驳谁？如果人生来就分高下，「学」还有必要吗？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两人讨论后先写一句话再发言；对照「博学而日参省乎己」讨论「学」是向外借力还是向内反省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攻难点：荀子否定天赋差异，「学」才是人人可走的路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小结与背诵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5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回扣「学不可以已」，不作总结性讲解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齐背第二段；记录作业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闭环</w:t>
            </w:r>
          </w:p>
        </w:tc>
      </w:tr>
    </w:tbl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五、第 3 课时（45 分钟）· 对照与积累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环节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时长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教师活动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学生的活动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设计意图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台阶三（上）三组正反对照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20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出示第三段，只问：哪些是正面的、哪些是反面的？为什么把好坏放在一起说？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两人一组填「正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反」对照表（骐骥／驽马、锲而舍之／锲而不舍、蚓／蟹），说出每组对立的焦点词（舍、一、躁）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读出「反面论证」的分量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台阶三（下）由物及人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15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出示「积土成山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……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积善成德」，只问：这三句的顺序能不能换？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说出「物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→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物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→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人」的递进；书面回答主问题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从「物」的比喻收束到「人」的德性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检测与作业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10 min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布置检测任务三，当堂回收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写；同桌交换，按量规互评一处</w:t>
            </w:r>
          </w:p>
        </w:tc>
        <w:tc>
          <w:tcPr>
            <w:tcW w:type="dxa" w:w="1728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闭环；让个体作答成为全班的讨论对象</w:t>
            </w:r>
          </w:p>
        </w:tc>
      </w:tr>
    </w:tbl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六、主问题与追问链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主问题（全课唯一）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谈「学」却只写自然物象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这样的「劝」，为什么更有说服力？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追问链</w:t>
      </w:r>
    </w:p>
    <w:p>
      <w:pPr>
        <w:pStyle w:val="ListNumber"/>
        <w:numPr>
          <w:ilvl w:val="0"/>
          <w:numId w:val="10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「青，取之于蓝，而青于蓝」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他是在说靛青，还是在说人？如果是说人，「蓝」和「青」各指什么？删掉「而青于蓝」，或改成「学习能使人进步」，会失去什么？</w:t>
      </w:r>
    </w:p>
    <w:p>
      <w:pPr>
        <w:pStyle w:val="ListNumber"/>
        <w:numPr>
          <w:ilvl w:val="0"/>
          <w:numId w:val="10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「君子生非异也，善假于物也」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「假」字今天常作「虚假」讲，这里是什么意思？文中哪几处是「假于物」的例子？「舆马」「舟楫」借的是物，那「君子」借的到底是什么？</w:t>
      </w:r>
    </w:p>
    <w:p>
      <w:pPr>
        <w:pStyle w:val="ListNumber"/>
        <w:numPr>
          <w:ilvl w:val="0"/>
          <w:numId w:val="10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第三段里，骐骥与驽马、锲而舍之与锲而不舍、蚓与蟹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为什么偏要把好的和坏的放在一起说？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七、板书设计（层级结构）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层级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板书内容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中心论点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学不可以已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一望而知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用了很多比喻，讲学习要积累、要坚持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一、取象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青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冰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木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金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→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青于蓝／寒于水／中规／直／利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→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共同点「变」；变靠什么：輮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绳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砺（外力）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二、假于物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登高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顺风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舆马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舟楫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→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借力；「君子生非异也」＝否定天赋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三、正反对照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骐骥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↔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驽马（功在不舍）；锲而舍之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↔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锲而不舍（金石可镂）；蚓（用心一）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↔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蟹（用心躁）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由物及人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积土成山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积水成渊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·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积善成德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落点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不写一个「学」的场景，却处处在说「学」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借自然之理，说人事之道</w:t>
            </w:r>
          </w:p>
        </w:tc>
      </w:tr>
    </w:tbl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八、教学预设与应对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序号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学生可能答偏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教师的追问方向（顺着走，不直接否定）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「用了比喻，很生动。」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承认比喻确实生动，再追：「生动」是效果，不是理由。把「青，取之于蓝，而青于蓝」换成「学习能使人进步」，哪一个更能让人信服？为什么说得越具体反而越像真的？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「说明学习很重要、要坚持。」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追：这个结论第一句「学不可以已」已经说完了。如果只要这一句，后面两段的比喻是不是多余的？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逼学生承认荀子要论证的正是「为什么不可以已」。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「荀子说要善于借助外力，就是多问老师、多查资料。」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先肯定这是今天的延伸，再拉回文本：「假舆马者」「假舟楫者」借的是物；可第一段又说「君子博学而日参省乎己」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——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「参省乎己」明明是向内反省。荀子的「学」到底向外还是向内？两者矛盾吗？</w:t>
            </w:r>
          </w:p>
        </w:tc>
      </w:tr>
    </w:tbl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九、作业布置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基础（必做）</w:t>
      </w:r>
      <w:r>
        <w:rPr>
          <w:rFonts w:ascii="微软雅黑" w:eastAsia="微软雅黑" w:hAnsi="微软雅黑" w:cs="微软雅黑" w:hint="eastAsia"/>
          <w:lang w:eastAsia="zh-CN"/>
        </w:rPr>
        <w:t>：找出文中三处通假字（「有」＝又、「知」＝智、「生」＝性），连同所在整句抄写，并旁注它通哪个字、在本句中什么意思。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提高（选做）</w:t>
      </w:r>
      <w:r>
        <w:rPr>
          <w:rFonts w:ascii="微软雅黑" w:eastAsia="微软雅黑" w:hAnsi="微软雅黑" w:cs="微软雅黑" w:hint="eastAsia"/>
          <w:lang w:eastAsia="zh-CN"/>
        </w:rPr>
        <w:t>：为「诸子说理」读书角写一段</w:t>
      </w:r>
      <w:r>
        <w:t xml:space="preserve"> 150 </w:t>
      </w:r>
      <w:r>
        <w:rPr>
          <w:rFonts w:ascii="微软雅黑" w:eastAsia="微软雅黑" w:hAnsi="微软雅黑" w:cs="微软雅黑" w:hint="eastAsia"/>
          <w:lang w:eastAsia="zh-CN"/>
        </w:rPr>
        <w:t>字左右的《劝学》讲稿，至少举两处比喻，并说明它们分别在讲「变」还是「借力」。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拓展（重点校全员必做，对标水平三）</w:t>
      </w:r>
      <w:r>
        <w:rPr>
          <w:rFonts w:ascii="微软雅黑" w:eastAsia="微软雅黑" w:hAnsi="微软雅黑" w:cs="微软雅黑" w:hint="eastAsia"/>
          <w:lang w:eastAsia="zh-CN"/>
        </w:rPr>
        <w:t>：比较《劝学》与《师说》对「人怎样才能进步」的回答有何不同，各引两处原文，写</w:t>
      </w:r>
      <w:r>
        <w:t xml:space="preserve"> 300 </w:t>
      </w:r>
      <w:r>
        <w:rPr>
          <w:rFonts w:ascii="微软雅黑" w:eastAsia="微软雅黑" w:hAnsi="微软雅黑" w:cs="微软雅黑" w:hint="eastAsia"/>
          <w:lang w:eastAsia="zh-CN"/>
        </w:rPr>
        <w:t>字。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  <w:jc w:val="left"/>
    </w:pPr>
    <w:rPr>
      <w:rFonts w:ascii="PingFang SC" w:hAnsi="PingFang SC" w:eastAsia="PingFang S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86" w:lineRule="auto"/>
      <w:jc w:val="center"/>
      <w:outlineLvl w:val="0"/>
    </w:pPr>
    <w:rPr>
      <w:rFonts w:ascii="PingFang SC" w:hAnsi="PingFang SC" w:eastAsia="PingFang SC"/>
      <w:b/>
      <w:bCs/>
      <w:color w:val="111827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65" w:lineRule="auto"/>
      <w:jc w:val="left"/>
      <w:outlineLvl w:val="1"/>
    </w:pPr>
    <w:rPr>
      <w:rFonts w:ascii="PingFang SC" w:hAnsi="PingFang SC" w:eastAsia="PingFang SC"/>
      <w:b/>
      <w:bCs/>
      <w:color w:val="111827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65" w:lineRule="auto"/>
      <w:jc w:val="left"/>
      <w:outlineLvl w:val="2"/>
    </w:pPr>
    <w:rPr>
      <w:rFonts w:ascii="PingFang SC" w:hAnsi="PingFang SC" w:eastAsia="PingFang SC"/>
      <w:b/>
      <w:bCs/>
      <w:color w:val="111827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jc w:val="left"/>
      <w:outlineLvl w:val="3"/>
    </w:pPr>
    <w:rPr>
      <w:rFonts w:ascii="PingFang SC" w:hAnsi="PingFang SC" w:eastAsia="PingFang SC"/>
      <w:b/>
      <w:bCs/>
      <w:i/>
      <w:iCs/>
      <w:color w:val="111827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