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368BF" w:rsidRDefault="00043C2D" w:rsidP="009368BF">
      <w:pPr>
        <w:pStyle w:val="BodyText"/>
        <w:spacing w:before="97" w:line="480" w:lineRule="exact"/>
        <w:ind w:left="119" w:right="2552"/>
        <w:rPr>
          <w:rStyle w:val="css-1mdqtqm"/>
          <w:rFonts w:ascii="var(--ds-type-system-sans)" w:hAnsi="var(--ds-type-system-sans)"/>
          <w:bdr w:val="none" w:sz="0" w:space="0" w:color="auto" w:frame="1"/>
        </w:rPr>
      </w:pPr>
      <w:r>
        <w:rPr>
          <w:rStyle w:val="css-1te5c83"/>
          <w:rFonts w:ascii="var(--ds-type-system-sans)" w:hAnsi="var(--ds-type-system-sans)"/>
          <w:bdr w:val="none" w:sz="0" w:space="0" w:color="auto" w:frame="1"/>
        </w:rPr>
        <w:fldChar w:fldCharType="begin"/>
      </w:r>
      <w:r>
        <w:rPr>
          <w:rStyle w:val="css-1te5c83"/>
          <w:rFonts w:ascii="var(--ds-type-system-sans)" w:hAnsi="var(--ds-type-system-sans)"/>
          <w:bdr w:val="none" w:sz="0" w:space="0" w:color="auto" w:frame="1"/>
        </w:rPr>
        <w:instrText xml:space="preserve"> HYPERLINK "https://www.economist.com/leaders/" </w:instrText>
      </w:r>
      <w:r>
        <w:rPr>
          <w:rStyle w:val="css-1te5c83"/>
          <w:rFonts w:ascii="var(--ds-type-system-sans)" w:hAnsi="var(--ds-type-system-sans)"/>
          <w:bdr w:val="none" w:sz="0" w:space="0" w:color="auto" w:frame="1"/>
        </w:rPr>
        <w:fldChar w:fldCharType="separate"/>
      </w:r>
      <w:r>
        <w:rPr>
          <w:rStyle w:val="Hyperlink"/>
          <w:rFonts w:ascii="var(--ds-type-system-sans)" w:hAnsi="var(--ds-type-system-sans)"/>
          <w:bdr w:val="none" w:sz="0" w:space="0" w:color="auto" w:frame="1"/>
        </w:rPr>
        <w:t>Leaders</w:t>
      </w:r>
      <w:r>
        <w:rPr>
          <w:rStyle w:val="css-1te5c83"/>
          <w:rFonts w:ascii="var(--ds-type-system-sans)" w:hAnsi="var(--ds-type-system-sans)"/>
          <w:bdr w:val="none" w:sz="0" w:space="0" w:color="auto" w:frame="1"/>
        </w:rPr>
        <w:fldChar w:fldCharType="end"/>
      </w:r>
      <w:r>
        <w:rPr>
          <w:rStyle w:val="css-1mdqtqm"/>
          <w:rFonts w:ascii="var(--ds-type-system-sans)" w:hAnsi="var(--ds-type-system-sans)"/>
          <w:bdr w:val="none" w:sz="0" w:space="0" w:color="auto" w:frame="1"/>
        </w:rPr>
        <w:t xml:space="preserve"> | Demography</w:t>
      </w:r>
    </w:p>
    <w:p w:rsidR="00043C2D" w:rsidRPr="00043C2D" w:rsidRDefault="00043C2D" w:rsidP="00043C2D">
      <w:pPr>
        <w:widowControl/>
        <w:autoSpaceDE/>
        <w:autoSpaceDN/>
        <w:textAlignment w:val="baseline"/>
        <w:outlineLvl w:val="0"/>
        <w:rPr>
          <w:rFonts w:ascii="Charter" w:hAnsi="Charter"/>
          <w:kern w:val="36"/>
          <w:sz w:val="48"/>
          <w:szCs w:val="48"/>
          <w:lang w:val="en-CN" w:eastAsia="zh-CN"/>
        </w:rPr>
      </w:pPr>
      <w:r w:rsidRPr="00043C2D">
        <w:rPr>
          <w:rFonts w:ascii="Charter" w:hAnsi="Charter"/>
          <w:kern w:val="36"/>
          <w:sz w:val="48"/>
          <w:szCs w:val="48"/>
          <w:lang w:val="en-CN" w:eastAsia="zh-CN"/>
        </w:rPr>
        <w:t>Large parts of Asia are getting old before they get rich</w:t>
      </w:r>
    </w:p>
    <w:p w:rsidR="00043C2D" w:rsidRDefault="00043C2D" w:rsidP="00043C2D">
      <w:pPr>
        <w:pStyle w:val="Heading2"/>
        <w:textAlignment w:val="baseline"/>
        <w:rPr>
          <w:rFonts w:ascii="Charter" w:hAnsi="Charter"/>
          <w:b w:val="0"/>
          <w:bCs w:val="0"/>
        </w:rPr>
      </w:pPr>
      <w:r>
        <w:rPr>
          <w:rFonts w:ascii="Charter" w:hAnsi="Charter"/>
          <w:b w:val="0"/>
          <w:bCs w:val="0"/>
        </w:rPr>
        <w:t>Even poor countries must start planning for an ageing population</w:t>
      </w:r>
    </w:p>
    <w:p w:rsidR="00043C2D" w:rsidRPr="00043C2D" w:rsidRDefault="00043C2D" w:rsidP="00043C2D">
      <w:r w:rsidRPr="00043C2D">
        <w:drawing>
          <wp:inline distT="0" distB="0" distL="0" distR="0" wp14:anchorId="09FB687F" wp14:editId="7CE409C2">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043C2D" w:rsidRDefault="00043C2D" w:rsidP="009368BF">
      <w:pPr>
        <w:pStyle w:val="BodyText"/>
        <w:spacing w:before="97" w:line="480" w:lineRule="exact"/>
        <w:ind w:left="119" w:right="2552"/>
        <w:rPr>
          <w:rFonts w:ascii="Segoe UI" w:hAnsi="Segoe UI" w:cs="Segoe UI"/>
          <w:color w:val="595959"/>
          <w:sz w:val="21"/>
          <w:szCs w:val="21"/>
        </w:rPr>
      </w:pPr>
      <w:r>
        <w:rPr>
          <w:rFonts w:ascii="Segoe UI" w:hAnsi="Segoe UI" w:cs="Segoe UI"/>
          <w:color w:val="595959"/>
          <w:sz w:val="21"/>
          <w:szCs w:val="21"/>
        </w:rPr>
        <w:t xml:space="preserve">image: </w:t>
      </w:r>
      <w:proofErr w:type="spellStart"/>
      <w:r>
        <w:rPr>
          <w:rFonts w:ascii="Segoe UI" w:hAnsi="Segoe UI" w:cs="Segoe UI"/>
          <w:color w:val="595959"/>
          <w:sz w:val="21"/>
          <w:szCs w:val="21"/>
        </w:rPr>
        <w:t>getty</w:t>
      </w:r>
      <w:proofErr w:type="spellEnd"/>
      <w:r>
        <w:rPr>
          <w:rFonts w:ascii="Segoe UI" w:hAnsi="Segoe UI" w:cs="Segoe UI"/>
          <w:color w:val="595959"/>
          <w:sz w:val="21"/>
          <w:szCs w:val="21"/>
        </w:rPr>
        <w:t xml:space="preserve"> images</w:t>
      </w:r>
    </w:p>
    <w:p w:rsidR="00043C2D" w:rsidRDefault="00043C2D" w:rsidP="00801DA8">
      <w:pPr>
        <w:pStyle w:val="css-1hno3qs"/>
        <w:spacing w:line="480" w:lineRule="exact"/>
        <w:ind w:right="2552"/>
        <w:jc w:val="both"/>
        <w:textAlignment w:val="baseline"/>
        <w:rPr>
          <w:rFonts w:ascii="var(--ds-type-system-serif)" w:hAnsi="var(--ds-type-system-serif)"/>
          <w:sz w:val="28"/>
          <w:szCs w:val="28"/>
        </w:rPr>
      </w:pPr>
      <w:r w:rsidRPr="00801DA8">
        <w:rPr>
          <w:rFonts w:ascii="inherit" w:hAnsi="inherit"/>
          <w:caps/>
          <w:sz w:val="28"/>
          <w:szCs w:val="28"/>
          <w:bdr w:val="none" w:sz="0" w:space="0" w:color="auto" w:frame="1"/>
        </w:rPr>
        <w:t>A</w:t>
      </w:r>
      <w:r w:rsidRPr="00801DA8">
        <w:rPr>
          <w:rFonts w:ascii="var(--ds-type-system-serif)" w:hAnsi="var(--ds-type-system-serif)"/>
          <w:sz w:val="28"/>
          <w:szCs w:val="28"/>
          <w:bdr w:val="none" w:sz="0" w:space="0" w:color="auto" w:frame="1"/>
        </w:rPr>
        <w:t>bulge in a</w:t>
      </w:r>
      <w:r w:rsidRPr="00801DA8">
        <w:rPr>
          <w:rFonts w:ascii="var(--ds-type-system-serif)" w:hAnsi="var(--ds-type-system-serif)"/>
          <w:sz w:val="28"/>
          <w:szCs w:val="28"/>
        </w:rPr>
        <w:t xml:space="preserve"> country’s working-age population is a blessing. Lots of workers support relatively few children and retired people. So long as the labour market can absorb a surge of job-seekers, output per head will rise. That can boost savings and investment, leading to higher economic growth, more productivity gains and developmental lift-off. Yet for countries that fail to seize </w:t>
      </w:r>
      <w:r w:rsidRPr="00801DA8">
        <w:rPr>
          <w:rFonts w:ascii="var(--ds-type-system-serif)" w:hAnsi="var(--ds-type-system-serif)"/>
          <w:sz w:val="28"/>
          <w:szCs w:val="28"/>
        </w:rPr>
        <w:lastRenderedPageBreak/>
        <w:t>this opportunity, the results can be grim—as many developing countries may soon discover.</w:t>
      </w:r>
    </w:p>
    <w:p w:rsidR="00CB17F1" w:rsidRPr="00801DA8" w:rsidRDefault="00CB17F1" w:rsidP="00801DA8">
      <w:pPr>
        <w:pStyle w:val="css-1hno3qs"/>
        <w:spacing w:line="480" w:lineRule="exact"/>
        <w:ind w:right="2552"/>
        <w:jc w:val="both"/>
        <w:textAlignment w:val="baseline"/>
        <w:rPr>
          <w:rFonts w:ascii="var(--ds-type-system-serif)" w:hAnsi="var(--ds-type-system-serif)" w:hint="eastAsia"/>
          <w:sz w:val="28"/>
          <w:szCs w:val="28"/>
        </w:rPr>
      </w:pPr>
      <w:r>
        <w:rPr>
          <w:rFonts w:ascii="SimSun" w:eastAsia="SimSun" w:hAnsi="SimSun" w:cs="SimSun" w:hint="eastAsia"/>
          <w:sz w:val="28"/>
          <w:szCs w:val="28"/>
        </w:rPr>
        <w:t>一个国家的劳动年龄激增是一种福音。许多工人支持相对较少的儿童和退休人员。只要劳动力市场能够吸纳大量求职者，人均产出就会增加。这可以促进储蓄和投资，从而使经济增长更快、生产率提升和发展起飞。然而对于未抓住这一机遇的国家来说，结果可能是严峻的-正如许多发展中国家可能很快会发现的那样。</w:t>
      </w:r>
    </w:p>
    <w:p w:rsidR="00043C2D" w:rsidRDefault="00043C2D" w:rsidP="00801DA8">
      <w:pPr>
        <w:pStyle w:val="css-1hno3qs"/>
        <w:spacing w:line="480" w:lineRule="exact"/>
        <w:ind w:right="2552"/>
        <w:jc w:val="both"/>
        <w:textAlignment w:val="baseline"/>
        <w:rPr>
          <w:rFonts w:ascii="var(--ds-type-system-serif)" w:hAnsi="var(--ds-type-system-serif)"/>
          <w:sz w:val="28"/>
          <w:szCs w:val="28"/>
        </w:rPr>
      </w:pPr>
      <w:r w:rsidRPr="00801DA8">
        <w:rPr>
          <w:rFonts w:ascii="var(--ds-type-system-serif)" w:hAnsi="var(--ds-type-system-serif)"/>
          <w:sz w:val="28"/>
          <w:szCs w:val="28"/>
        </w:rPr>
        <w:t>Consider Thailand. It is rapidly greying. In 2021 the share of Thais aged 65 or over hit 14%, a threshold that is often used to define an aged society. Soon Thailand will, like Japan, South Korea and most Western countries, see a dwindling supply of workers and, without extraordinary measures, flagging productivity and growth. Yet unlike Japan and the rest, Thailand, with a </w:t>
      </w:r>
      <w:r w:rsidRPr="00801DA8">
        <w:rPr>
          <w:rFonts w:ascii="var(--ds-type-system-serif)" w:hAnsi="var(--ds-type-system-serif)"/>
          <w:sz w:val="28"/>
          <w:szCs w:val="28"/>
          <w:bdr w:val="none" w:sz="0" w:space="0" w:color="auto" w:frame="1"/>
        </w:rPr>
        <w:t>gdp </w:t>
      </w:r>
      <w:r w:rsidRPr="00801DA8">
        <w:rPr>
          <w:rFonts w:ascii="var(--ds-type-system-serif)" w:hAnsi="var(--ds-type-system-serif)"/>
          <w:sz w:val="28"/>
          <w:szCs w:val="28"/>
        </w:rPr>
        <w:t>per person of just $7,000 in 2021, is not a developed country. It has got old before it has got rich. When Japan had a similar portion of oldies, it was roughly five times richer than Thailand is today.</w:t>
      </w:r>
    </w:p>
    <w:p w:rsidR="00C914E0" w:rsidRPr="00C914E0" w:rsidRDefault="00C914E0" w:rsidP="00801DA8">
      <w:pPr>
        <w:pStyle w:val="css-1hno3qs"/>
        <w:spacing w:line="480" w:lineRule="exact"/>
        <w:ind w:right="2552"/>
        <w:jc w:val="both"/>
        <w:textAlignment w:val="baseline"/>
        <w:rPr>
          <w:rFonts w:ascii="var(--ds-type-system-serif)" w:hAnsi="var(--ds-type-system-serif)"/>
          <w:sz w:val="28"/>
          <w:szCs w:val="28"/>
        </w:rPr>
      </w:pPr>
      <w:r w:rsidRPr="00C914E0">
        <w:rPr>
          <w:rFonts w:ascii="SimSun" w:eastAsia="SimSun" w:hAnsi="SimSun" w:cs="SimSun" w:hint="eastAsia"/>
          <w:sz w:val="28"/>
          <w:szCs w:val="28"/>
        </w:rPr>
        <w:t>以泰国为例。它正在迅速变灰。</w:t>
      </w:r>
      <w:r w:rsidRPr="00C914E0">
        <w:rPr>
          <w:rFonts w:ascii="var(--ds-type-system-serif)" w:hAnsi="var(--ds-type-system-serif)"/>
          <w:sz w:val="28"/>
          <w:szCs w:val="28"/>
        </w:rPr>
        <w:t xml:space="preserve"> 2021</w:t>
      </w:r>
      <w:r w:rsidRPr="00C914E0">
        <w:rPr>
          <w:rFonts w:ascii="SimSun" w:eastAsia="SimSun" w:hAnsi="SimSun" w:cs="SimSun" w:hint="eastAsia"/>
          <w:sz w:val="28"/>
          <w:szCs w:val="28"/>
        </w:rPr>
        <w:t>年，泰国</w:t>
      </w:r>
      <w:r w:rsidRPr="00C914E0">
        <w:rPr>
          <w:rFonts w:ascii="var(--ds-type-system-serif)" w:hAnsi="var(--ds-type-system-serif)"/>
          <w:sz w:val="28"/>
          <w:szCs w:val="28"/>
        </w:rPr>
        <w:t>65</w:t>
      </w:r>
      <w:r w:rsidRPr="00C914E0">
        <w:rPr>
          <w:rFonts w:ascii="SimSun" w:eastAsia="SimSun" w:hAnsi="SimSun" w:cs="SimSun" w:hint="eastAsia"/>
          <w:sz w:val="28"/>
          <w:szCs w:val="28"/>
        </w:rPr>
        <w:t>岁或以上的人口比例将达到</w:t>
      </w:r>
      <w:r w:rsidRPr="00C914E0">
        <w:rPr>
          <w:rFonts w:ascii="var(--ds-type-system-serif)" w:hAnsi="var(--ds-type-system-serif)"/>
          <w:sz w:val="28"/>
          <w:szCs w:val="28"/>
        </w:rPr>
        <w:t>14%</w:t>
      </w:r>
      <w:r w:rsidRPr="00C914E0">
        <w:rPr>
          <w:rFonts w:ascii="SimSun" w:eastAsia="SimSun" w:hAnsi="SimSun" w:cs="SimSun" w:hint="eastAsia"/>
          <w:sz w:val="28"/>
          <w:szCs w:val="28"/>
        </w:rPr>
        <w:t>，这个门槛经常被用来定义老龄化社会。很快，泰国将像日本、韩国和大多数西方国家一样，看到劳动力供应减少，如果不采取特别措施，生产力和</w:t>
      </w:r>
      <w:r>
        <w:rPr>
          <w:rFonts w:ascii="SimSun" w:eastAsia="SimSun" w:hAnsi="SimSun" w:cs="SimSun" w:hint="eastAsia"/>
          <w:sz w:val="28"/>
          <w:szCs w:val="28"/>
        </w:rPr>
        <w:t>经济</w:t>
      </w:r>
      <w:r w:rsidRPr="00C914E0">
        <w:rPr>
          <w:rFonts w:ascii="SimSun" w:eastAsia="SimSun" w:hAnsi="SimSun" w:cs="SimSun" w:hint="eastAsia"/>
          <w:sz w:val="28"/>
          <w:szCs w:val="28"/>
        </w:rPr>
        <w:t>增长也会下降</w:t>
      </w:r>
      <w:r>
        <w:rPr>
          <w:rFonts w:ascii="SimSun" w:eastAsia="SimSun" w:hAnsi="SimSun" w:cs="SimSun" w:hint="eastAsia"/>
          <w:sz w:val="28"/>
          <w:szCs w:val="28"/>
        </w:rPr>
        <w:t>。</w:t>
      </w:r>
      <w:r w:rsidRPr="00C914E0">
        <w:rPr>
          <w:rFonts w:ascii="SimSun" w:eastAsia="SimSun" w:hAnsi="SimSun" w:cs="SimSun" w:hint="eastAsia"/>
          <w:sz w:val="28"/>
          <w:szCs w:val="28"/>
        </w:rPr>
        <w:t>然而，与日本和其他国家不同的是，泰国</w:t>
      </w:r>
      <w:r w:rsidRPr="00C914E0">
        <w:rPr>
          <w:rFonts w:ascii="SimSun" w:eastAsia="SimSun" w:hAnsi="SimSun" w:cs="SimSun"/>
          <w:sz w:val="28"/>
          <w:szCs w:val="28"/>
        </w:rPr>
        <w:t>2021</w:t>
      </w:r>
      <w:r w:rsidRPr="00C914E0">
        <w:rPr>
          <w:rFonts w:ascii="SimSun" w:eastAsia="SimSun" w:hAnsi="SimSun" w:cs="SimSun" w:hint="eastAsia"/>
          <w:sz w:val="28"/>
          <w:szCs w:val="28"/>
        </w:rPr>
        <w:t>年的人均国内生产总值仅为</w:t>
      </w:r>
      <w:r w:rsidRPr="00C914E0">
        <w:rPr>
          <w:rFonts w:ascii="SimSun" w:eastAsia="SimSun" w:hAnsi="SimSun" w:cs="SimSun"/>
          <w:sz w:val="28"/>
          <w:szCs w:val="28"/>
        </w:rPr>
        <w:t>7,000</w:t>
      </w:r>
      <w:r w:rsidRPr="00C914E0">
        <w:rPr>
          <w:rFonts w:ascii="SimSun" w:eastAsia="SimSun" w:hAnsi="SimSun" w:cs="SimSun" w:hint="eastAsia"/>
          <w:sz w:val="28"/>
          <w:szCs w:val="28"/>
        </w:rPr>
        <w:t>美元，</w:t>
      </w:r>
      <w:r w:rsidRPr="00C914E0">
        <w:rPr>
          <w:rFonts w:ascii="SimSun" w:eastAsia="SimSun" w:hAnsi="SimSun" w:cs="SimSun" w:hint="eastAsia"/>
          <w:sz w:val="28"/>
          <w:szCs w:val="28"/>
        </w:rPr>
        <w:lastRenderedPageBreak/>
        <w:t>并不是一个发达国家。未富先老。当日本拥有类似比例的</w:t>
      </w:r>
      <w:r>
        <w:rPr>
          <w:rFonts w:ascii="SimSun" w:eastAsia="SimSun" w:hAnsi="SimSun" w:cs="SimSun" w:hint="eastAsia"/>
          <w:sz w:val="28"/>
          <w:szCs w:val="28"/>
        </w:rPr>
        <w:t>老龄化时</w:t>
      </w:r>
      <w:r w:rsidRPr="00C914E0">
        <w:rPr>
          <w:rFonts w:ascii="SimSun" w:eastAsia="SimSun" w:hAnsi="SimSun" w:cs="SimSun" w:hint="eastAsia"/>
          <w:sz w:val="28"/>
          <w:szCs w:val="28"/>
        </w:rPr>
        <w:t>，其财富大约是今天泰国的五倍。</w:t>
      </w:r>
    </w:p>
    <w:p w:rsidR="00043C2D" w:rsidRDefault="00043C2D" w:rsidP="00043C2D">
      <w:pPr>
        <w:textAlignment w:val="baseline"/>
      </w:pPr>
      <w:r>
        <w:fldChar w:fldCharType="begin"/>
      </w:r>
      <w:r>
        <w:instrText xml:space="preserve"> INCLUDEPICTURE "https://www.economist.com/cdn-cgi/image/width=1424,quality=80,format=auto/content-assets/images/20231014_ASC418.png" \* MERGEFORMATINET </w:instrText>
      </w:r>
      <w:r>
        <w:fldChar w:fldCharType="separate"/>
      </w:r>
      <w:r>
        <w:rPr>
          <w:noProof/>
        </w:rPr>
        <w:drawing>
          <wp:inline distT="0" distB="0" distL="0" distR="0" wp14:anchorId="5DEBE4AE" wp14:editId="3DB0BE47">
            <wp:extent cx="2675833" cy="2928551"/>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1721" cy="2956884"/>
                    </a:xfrm>
                    <a:prstGeom prst="rect">
                      <a:avLst/>
                    </a:prstGeom>
                    <a:noFill/>
                    <a:ln>
                      <a:noFill/>
                    </a:ln>
                  </pic:spPr>
                </pic:pic>
              </a:graphicData>
            </a:graphic>
          </wp:inline>
        </w:drawing>
      </w:r>
      <w:r>
        <w:fldChar w:fldCharType="end"/>
      </w:r>
    </w:p>
    <w:p w:rsidR="00043C2D" w:rsidRDefault="00043C2D" w:rsidP="00043C2D">
      <w:pPr>
        <w:textAlignment w:val="baseline"/>
      </w:pPr>
      <w:r>
        <w:rPr>
          <w:rStyle w:val="css-6pzdis"/>
          <w:bdr w:val="none" w:sz="0" w:space="0" w:color="auto" w:frame="1"/>
        </w:rPr>
        <w:t>image: the economist</w:t>
      </w:r>
    </w:p>
    <w:p w:rsidR="00043C2D" w:rsidRDefault="00043C2D" w:rsidP="00801DA8">
      <w:pPr>
        <w:pStyle w:val="css-1hno3qs"/>
        <w:spacing w:line="480" w:lineRule="exact"/>
        <w:ind w:right="2552"/>
        <w:jc w:val="both"/>
        <w:textAlignment w:val="baseline"/>
        <w:rPr>
          <w:rFonts w:ascii="var(--ds-type-system-serif)" w:hAnsi="var(--ds-type-system-serif)"/>
          <w:sz w:val="28"/>
          <w:szCs w:val="28"/>
        </w:rPr>
      </w:pPr>
      <w:r w:rsidRPr="00801DA8">
        <w:rPr>
          <w:rFonts w:ascii="var(--ds-type-system-serif)" w:hAnsi="var(--ds-type-system-serif)"/>
          <w:sz w:val="28"/>
          <w:szCs w:val="28"/>
        </w:rPr>
        <w:t>This is a big obstacle to Thailand’s future development. To protect its ageing citizens, many of whom are poor, Thailand’s government will have to spend more on health care and pensions. This will make it harder to invest in productivity-boosting skills and infrastructure. And where Thailand goes, many developing countries will follow. In Asia, where the problem is most advanced, Indonesia and the Philippines are also likely to become aged societies at lower income levels than was the case in the rich world. Sri Lanka, where the average income is a third lower than Thailand’s, will become aged by 2028.</w:t>
      </w:r>
    </w:p>
    <w:p w:rsidR="004B00A5" w:rsidRPr="004B00A5" w:rsidRDefault="004B00A5" w:rsidP="00801DA8">
      <w:pPr>
        <w:pStyle w:val="css-1hno3qs"/>
        <w:spacing w:line="480" w:lineRule="exact"/>
        <w:ind w:right="2552"/>
        <w:jc w:val="both"/>
        <w:textAlignment w:val="baseline"/>
        <w:rPr>
          <w:rFonts w:ascii="var(--ds-type-system-serif)" w:hAnsi="var(--ds-type-system-serif)"/>
          <w:sz w:val="28"/>
          <w:szCs w:val="28"/>
        </w:rPr>
      </w:pPr>
      <w:r w:rsidRPr="004B00A5">
        <w:rPr>
          <w:rFonts w:ascii="SimSun" w:eastAsia="SimSun" w:hAnsi="SimSun" w:cs="SimSun" w:hint="eastAsia"/>
          <w:sz w:val="28"/>
          <w:szCs w:val="28"/>
        </w:rPr>
        <w:lastRenderedPageBreak/>
        <w:t>这是泰国未来发展的一大障碍。为了保护老龄化公民（其中许多人很贫困），泰国政府将不得不在医疗保健和养老金方面投入更多资金。这将使投资于提高生产力的技能和基础设施变得更加困难。泰国走到哪里，许多发展中国家就会跟随到哪里。在这一问题最为严重的亚洲，印度尼西亚和菲律宾也有可能成为老龄化社会，其收入水平也低于富裕国家。斯里兰卡的平均收入比泰国低三分之一，到</w:t>
      </w:r>
      <w:r w:rsidRPr="004B00A5">
        <w:rPr>
          <w:rFonts w:ascii="var(--ds-type-system-serif)" w:hAnsi="var(--ds-type-system-serif)"/>
          <w:sz w:val="28"/>
          <w:szCs w:val="28"/>
        </w:rPr>
        <w:t xml:space="preserve"> 2028 </w:t>
      </w:r>
      <w:r w:rsidRPr="004B00A5">
        <w:rPr>
          <w:rFonts w:ascii="SimSun" w:eastAsia="SimSun" w:hAnsi="SimSun" w:cs="SimSun" w:hint="eastAsia"/>
          <w:sz w:val="28"/>
          <w:szCs w:val="28"/>
        </w:rPr>
        <w:t>年将出现老龄化。</w:t>
      </w:r>
    </w:p>
    <w:p w:rsidR="00043C2D" w:rsidRDefault="00043C2D" w:rsidP="00801DA8">
      <w:pPr>
        <w:pStyle w:val="css-1hno3qs"/>
        <w:spacing w:line="480" w:lineRule="exact"/>
        <w:ind w:right="2552"/>
        <w:jc w:val="both"/>
        <w:textAlignment w:val="baseline"/>
        <w:rPr>
          <w:rFonts w:ascii="var(--ds-type-system-serif)" w:hAnsi="var(--ds-type-system-serif)"/>
          <w:sz w:val="28"/>
          <w:szCs w:val="28"/>
        </w:rPr>
      </w:pPr>
      <w:r w:rsidRPr="00801DA8">
        <w:rPr>
          <w:rFonts w:ascii="var(--ds-type-system-serif)" w:hAnsi="var(--ds-type-system-serif)"/>
          <w:sz w:val="28"/>
          <w:szCs w:val="28"/>
        </w:rPr>
        <w:t>Countries that age before growing rich have failed to seize their demographic opportunity, or aged out of it too rapidly, or suffered both problems. Between 1960 and 1996 (just before the Asian financial crisis), Thailand’s economy grew at an average annual rate of 7.5%. That was impressive, but below Japan’s double-digit clip in its boom years. Meanwhile, thanks to improving life expectancy and other factors, Thailand has aged fast. The share of oldsters in its population doubled, from 7% to 14%, in two decades. It took Japan 24 years to undergo the same change, America 72, and much of western Europe over a century.</w:t>
      </w:r>
    </w:p>
    <w:p w:rsidR="00C76A1A" w:rsidRPr="00C76A1A" w:rsidRDefault="00902953" w:rsidP="00801DA8">
      <w:pPr>
        <w:pStyle w:val="css-1hno3qs"/>
        <w:spacing w:line="480" w:lineRule="exact"/>
        <w:ind w:right="2552"/>
        <w:jc w:val="both"/>
        <w:textAlignment w:val="baseline"/>
        <w:rPr>
          <w:rFonts w:ascii="SimSun" w:eastAsia="SimSun" w:hAnsi="SimSun" w:cs="SimSun" w:hint="eastAsia"/>
          <w:sz w:val="28"/>
          <w:szCs w:val="28"/>
        </w:rPr>
      </w:pPr>
      <w:r>
        <w:rPr>
          <w:rFonts w:ascii="SimSun" w:eastAsia="SimSun" w:hAnsi="SimSun" w:cs="SimSun" w:hint="eastAsia"/>
          <w:sz w:val="28"/>
          <w:szCs w:val="28"/>
        </w:rPr>
        <w:t>未富先老的</w:t>
      </w:r>
      <w:r w:rsidRPr="00902953">
        <w:rPr>
          <w:rFonts w:ascii="SimSun" w:eastAsia="SimSun" w:hAnsi="SimSun" w:cs="SimSun" w:hint="eastAsia"/>
          <w:sz w:val="28"/>
          <w:szCs w:val="28"/>
        </w:rPr>
        <w:t>国家要么未能抓住人口机会，要么过快地摆脱人口机会，要么同时面临这两个问题</w:t>
      </w:r>
      <w:r>
        <w:rPr>
          <w:rFonts w:ascii="SimSun" w:eastAsia="SimSun" w:hAnsi="SimSun" w:cs="SimSun" w:hint="eastAsia"/>
          <w:sz w:val="28"/>
          <w:szCs w:val="28"/>
        </w:rPr>
        <w:t>。</w:t>
      </w:r>
      <w:r w:rsidRPr="00902953">
        <w:rPr>
          <w:rFonts w:ascii="SimSun" w:eastAsia="SimSun" w:hAnsi="SimSun" w:cs="SimSun"/>
          <w:sz w:val="28"/>
          <w:szCs w:val="28"/>
        </w:rPr>
        <w:t>1960</w:t>
      </w:r>
      <w:r w:rsidRPr="00902953">
        <w:rPr>
          <w:rFonts w:ascii="SimSun" w:eastAsia="SimSun" w:hAnsi="SimSun" w:cs="SimSun" w:hint="eastAsia"/>
          <w:sz w:val="28"/>
          <w:szCs w:val="28"/>
        </w:rPr>
        <w:t>年至</w:t>
      </w:r>
      <w:r w:rsidRPr="00902953">
        <w:rPr>
          <w:rFonts w:ascii="SimSun" w:eastAsia="SimSun" w:hAnsi="SimSun" w:cs="SimSun"/>
          <w:sz w:val="28"/>
          <w:szCs w:val="28"/>
        </w:rPr>
        <w:t>1996</w:t>
      </w:r>
      <w:r w:rsidRPr="00902953">
        <w:rPr>
          <w:rFonts w:ascii="SimSun" w:eastAsia="SimSun" w:hAnsi="SimSun" w:cs="SimSun" w:hint="eastAsia"/>
          <w:sz w:val="28"/>
          <w:szCs w:val="28"/>
        </w:rPr>
        <w:t>年（亚洲金融危机之前），泰国经济年均增长率为</w:t>
      </w:r>
      <w:r w:rsidRPr="00902953">
        <w:rPr>
          <w:rFonts w:ascii="SimSun" w:eastAsia="SimSun" w:hAnsi="SimSun" w:cs="SimSun"/>
          <w:sz w:val="28"/>
          <w:szCs w:val="28"/>
        </w:rPr>
        <w:t>7.5%</w:t>
      </w:r>
      <w:r w:rsidRPr="00902953">
        <w:rPr>
          <w:rFonts w:ascii="SimSun" w:eastAsia="SimSun" w:hAnsi="SimSun" w:cs="SimSun" w:hint="eastAsia"/>
          <w:sz w:val="28"/>
          <w:szCs w:val="28"/>
        </w:rPr>
        <w:t>。</w:t>
      </w:r>
      <w:r w:rsidR="00C76A1A" w:rsidRPr="00C76A1A">
        <w:rPr>
          <w:rFonts w:ascii="SimSun" w:eastAsia="SimSun" w:hAnsi="SimSun" w:cs="SimSun" w:hint="eastAsia"/>
          <w:sz w:val="28"/>
          <w:szCs w:val="28"/>
        </w:rPr>
        <w:t>这令人印象深刻，但低于日本繁荣时期的两位数增长率。与此同时，由于预期寿命提高等因素，泰国老龄化速度加</w:t>
      </w:r>
      <w:r w:rsidR="00C76A1A" w:rsidRPr="00C76A1A">
        <w:rPr>
          <w:rFonts w:ascii="SimSun" w:eastAsia="SimSun" w:hAnsi="SimSun" w:cs="SimSun" w:hint="eastAsia"/>
          <w:sz w:val="28"/>
          <w:szCs w:val="28"/>
        </w:rPr>
        <w:lastRenderedPageBreak/>
        <w:t>快。二十年来，老年人在人口中所占的比例翻了一番，从</w:t>
      </w:r>
      <w:r w:rsidR="00C76A1A" w:rsidRPr="00C76A1A">
        <w:rPr>
          <w:rFonts w:ascii="SimSun" w:eastAsia="SimSun" w:hAnsi="SimSun" w:cs="SimSun"/>
          <w:sz w:val="28"/>
          <w:szCs w:val="28"/>
        </w:rPr>
        <w:t xml:space="preserve"> 7% </w:t>
      </w:r>
      <w:r w:rsidR="00C76A1A" w:rsidRPr="00C76A1A">
        <w:rPr>
          <w:rFonts w:ascii="SimSun" w:eastAsia="SimSun" w:hAnsi="SimSun" w:cs="SimSun" w:hint="eastAsia"/>
          <w:sz w:val="28"/>
          <w:szCs w:val="28"/>
        </w:rPr>
        <w:t>增至</w:t>
      </w:r>
      <w:r w:rsidR="00C76A1A" w:rsidRPr="00C76A1A">
        <w:rPr>
          <w:rFonts w:ascii="SimSun" w:eastAsia="SimSun" w:hAnsi="SimSun" w:cs="SimSun"/>
          <w:sz w:val="28"/>
          <w:szCs w:val="28"/>
        </w:rPr>
        <w:t xml:space="preserve"> 14%</w:t>
      </w:r>
      <w:r w:rsidR="00C76A1A" w:rsidRPr="00C76A1A">
        <w:rPr>
          <w:rFonts w:ascii="SimSun" w:eastAsia="SimSun" w:hAnsi="SimSun" w:cs="SimSun" w:hint="eastAsia"/>
          <w:sz w:val="28"/>
          <w:szCs w:val="28"/>
        </w:rPr>
        <w:t>。日本用了</w:t>
      </w:r>
      <w:r w:rsidR="00C76A1A" w:rsidRPr="00C76A1A">
        <w:rPr>
          <w:rFonts w:ascii="SimSun" w:eastAsia="SimSun" w:hAnsi="SimSun" w:cs="SimSun"/>
          <w:sz w:val="28"/>
          <w:szCs w:val="28"/>
        </w:rPr>
        <w:t xml:space="preserve"> 24 </w:t>
      </w:r>
      <w:r w:rsidR="00C76A1A" w:rsidRPr="00C76A1A">
        <w:rPr>
          <w:rFonts w:ascii="SimSun" w:eastAsia="SimSun" w:hAnsi="SimSun" w:cs="SimSun" w:hint="eastAsia"/>
          <w:sz w:val="28"/>
          <w:szCs w:val="28"/>
        </w:rPr>
        <w:t>年才经历了同样的变化，美国用了</w:t>
      </w:r>
      <w:r w:rsidR="00C76A1A" w:rsidRPr="00C76A1A">
        <w:rPr>
          <w:rFonts w:ascii="SimSun" w:eastAsia="SimSun" w:hAnsi="SimSun" w:cs="SimSun"/>
          <w:sz w:val="28"/>
          <w:szCs w:val="28"/>
        </w:rPr>
        <w:t xml:space="preserve"> 72 </w:t>
      </w:r>
      <w:r w:rsidR="00C76A1A" w:rsidRPr="00C76A1A">
        <w:rPr>
          <w:rFonts w:ascii="SimSun" w:eastAsia="SimSun" w:hAnsi="SimSun" w:cs="SimSun" w:hint="eastAsia"/>
          <w:sz w:val="28"/>
          <w:szCs w:val="28"/>
        </w:rPr>
        <w:t>年，西欧大部分地区用了一个多世纪。</w:t>
      </w:r>
    </w:p>
    <w:p w:rsidR="00043C2D" w:rsidRDefault="00043C2D" w:rsidP="00801DA8">
      <w:pPr>
        <w:pStyle w:val="css-1hno3qs"/>
        <w:spacing w:line="480" w:lineRule="exact"/>
        <w:ind w:right="2552"/>
        <w:jc w:val="both"/>
        <w:textAlignment w:val="baseline"/>
        <w:rPr>
          <w:rFonts w:ascii="var(--ds-type-system-serif)" w:hAnsi="var(--ds-type-system-serif)"/>
          <w:sz w:val="28"/>
          <w:szCs w:val="28"/>
        </w:rPr>
      </w:pPr>
      <w:r w:rsidRPr="00801DA8">
        <w:rPr>
          <w:rFonts w:ascii="var(--ds-type-system-serif)" w:hAnsi="var(--ds-type-system-serif)"/>
          <w:sz w:val="28"/>
          <w:szCs w:val="28"/>
        </w:rPr>
        <w:t>Rapid ageing and slower growth are widespread in the developing world. Vietnamese are about half as rich as Thais and ageing even faster. India’s economy has been one of the world’s fastest-growing, yet not as fast as Thailand’s during its boom. In the decade to 2020 India grew at an average annual rate of 6.6%.</w:t>
      </w:r>
    </w:p>
    <w:p w:rsidR="007D592C" w:rsidRPr="00801DA8" w:rsidRDefault="007D592C" w:rsidP="00801DA8">
      <w:pPr>
        <w:pStyle w:val="css-1hno3qs"/>
        <w:spacing w:line="480" w:lineRule="exact"/>
        <w:ind w:right="2552"/>
        <w:jc w:val="both"/>
        <w:textAlignment w:val="baseline"/>
        <w:rPr>
          <w:rFonts w:ascii="var(--ds-type-system-serif)" w:hAnsi="var(--ds-type-system-serif)"/>
          <w:sz w:val="28"/>
          <w:szCs w:val="28"/>
        </w:rPr>
      </w:pPr>
      <w:r w:rsidRPr="007D592C">
        <w:rPr>
          <w:rFonts w:ascii="SimSun" w:eastAsia="SimSun" w:hAnsi="SimSun" w:cs="SimSun" w:hint="eastAsia"/>
          <w:sz w:val="28"/>
          <w:szCs w:val="28"/>
        </w:rPr>
        <w:t>快速老龄化和</w:t>
      </w:r>
      <w:r>
        <w:rPr>
          <w:rFonts w:ascii="SimSun" w:eastAsia="SimSun" w:hAnsi="SimSun" w:cs="SimSun" w:hint="eastAsia"/>
          <w:sz w:val="28"/>
          <w:szCs w:val="28"/>
        </w:rPr>
        <w:t>经济</w:t>
      </w:r>
      <w:r w:rsidRPr="007D592C">
        <w:rPr>
          <w:rFonts w:ascii="SimSun" w:eastAsia="SimSun" w:hAnsi="SimSun" w:cs="SimSun" w:hint="eastAsia"/>
          <w:sz w:val="28"/>
          <w:szCs w:val="28"/>
        </w:rPr>
        <w:t>缓慢增长在发展中国家普遍存在。越南人的富裕程度约为泰国人的一半，而且老龄化速度更快。印度经济一直是世界上增长最快的国家之一，但在繁荣时期却没有泰国那么快。截至</w:t>
      </w:r>
      <w:r w:rsidRPr="007D592C">
        <w:rPr>
          <w:rFonts w:ascii="var(--ds-type-system-serif)" w:hAnsi="var(--ds-type-system-serif)"/>
          <w:sz w:val="28"/>
          <w:szCs w:val="28"/>
        </w:rPr>
        <w:t xml:space="preserve"> 2020 </w:t>
      </w:r>
      <w:r w:rsidRPr="007D592C">
        <w:rPr>
          <w:rFonts w:ascii="SimSun" w:eastAsia="SimSun" w:hAnsi="SimSun" w:cs="SimSun" w:hint="eastAsia"/>
          <w:sz w:val="28"/>
          <w:szCs w:val="28"/>
        </w:rPr>
        <w:t>年的十年间，印度</w:t>
      </w:r>
      <w:r w:rsidR="00457F60">
        <w:rPr>
          <w:rFonts w:ascii="SimSun" w:eastAsia="SimSun" w:hAnsi="SimSun" w:cs="SimSun" w:hint="eastAsia"/>
          <w:sz w:val="28"/>
          <w:szCs w:val="28"/>
        </w:rPr>
        <w:t>经济</w:t>
      </w:r>
      <w:r w:rsidRPr="007D592C">
        <w:rPr>
          <w:rFonts w:ascii="SimSun" w:eastAsia="SimSun" w:hAnsi="SimSun" w:cs="SimSun" w:hint="eastAsia"/>
          <w:sz w:val="28"/>
          <w:szCs w:val="28"/>
        </w:rPr>
        <w:t>年均增长率为</w:t>
      </w:r>
      <w:r w:rsidRPr="007D592C">
        <w:rPr>
          <w:rFonts w:ascii="var(--ds-type-system-serif)" w:hAnsi="var(--ds-type-system-serif)"/>
          <w:sz w:val="28"/>
          <w:szCs w:val="28"/>
        </w:rPr>
        <w:t xml:space="preserve"> 6.6%</w:t>
      </w:r>
      <w:r w:rsidRPr="007D592C">
        <w:rPr>
          <w:rFonts w:ascii="SimSun" w:eastAsia="SimSun" w:hAnsi="SimSun" w:cs="SimSun" w:hint="eastAsia"/>
          <w:sz w:val="28"/>
          <w:szCs w:val="28"/>
        </w:rPr>
        <w:t>。</w:t>
      </w:r>
    </w:p>
    <w:p w:rsidR="00043C2D" w:rsidRDefault="00043C2D" w:rsidP="00801DA8">
      <w:pPr>
        <w:pStyle w:val="css-1hno3qs"/>
        <w:spacing w:line="480" w:lineRule="exact"/>
        <w:ind w:right="2552"/>
        <w:jc w:val="both"/>
        <w:textAlignment w:val="baseline"/>
        <w:rPr>
          <w:rFonts w:ascii="var(--ds-type-system-serif)" w:hAnsi="var(--ds-type-system-serif)"/>
          <w:sz w:val="28"/>
          <w:szCs w:val="28"/>
        </w:rPr>
      </w:pPr>
      <w:r w:rsidRPr="00801DA8">
        <w:rPr>
          <w:rFonts w:ascii="var(--ds-type-system-serif)" w:hAnsi="var(--ds-type-system-serif)"/>
          <w:sz w:val="28"/>
          <w:szCs w:val="28"/>
        </w:rPr>
        <w:t xml:space="preserve">One conclusion is that countries with a working-age bulge need to wring more growth out of it. India may never have a better chance than the present. Under Narendra Modi it has a strong, pro-business government, which is likely to win re-election next year. There is a consensus on the measures, including privatisation and looser foreign-investment rules, that could raise its growth rate. Such reforms would help India take advantage of Western efforts to shift supply chains out of China. If India needs a cautionary tale to justify action, it need look no further </w:t>
      </w:r>
      <w:r w:rsidRPr="00801DA8">
        <w:rPr>
          <w:rFonts w:ascii="var(--ds-type-system-serif)" w:hAnsi="var(--ds-type-system-serif)"/>
          <w:sz w:val="28"/>
          <w:szCs w:val="28"/>
        </w:rPr>
        <w:lastRenderedPageBreak/>
        <w:t>than its own rapidly ageing southern states. In Kerala 17% of the population is 60 or older.</w:t>
      </w:r>
    </w:p>
    <w:p w:rsidR="002E01D1" w:rsidRPr="00801DA8" w:rsidRDefault="002E01D1" w:rsidP="00801DA8">
      <w:pPr>
        <w:pStyle w:val="css-1hno3qs"/>
        <w:spacing w:line="480" w:lineRule="exact"/>
        <w:ind w:right="2552"/>
        <w:jc w:val="both"/>
        <w:textAlignment w:val="baseline"/>
        <w:rPr>
          <w:rFonts w:ascii="var(--ds-type-system-serif)" w:hAnsi="var(--ds-type-system-serif)"/>
          <w:sz w:val="28"/>
          <w:szCs w:val="28"/>
        </w:rPr>
      </w:pPr>
      <w:r w:rsidRPr="002E01D1">
        <w:rPr>
          <w:rFonts w:ascii="SimSun" w:eastAsia="SimSun" w:hAnsi="SimSun" w:cs="SimSun" w:hint="eastAsia"/>
          <w:sz w:val="28"/>
          <w:szCs w:val="28"/>
        </w:rPr>
        <w:t>一个结论是，</w:t>
      </w:r>
      <w:r>
        <w:rPr>
          <w:rFonts w:ascii="SimSun" w:eastAsia="SimSun" w:hAnsi="SimSun" w:cs="SimSun" w:hint="eastAsia"/>
          <w:sz w:val="28"/>
          <w:szCs w:val="28"/>
        </w:rPr>
        <w:t>人口</w:t>
      </w:r>
      <w:r w:rsidRPr="002E01D1">
        <w:rPr>
          <w:rFonts w:ascii="SimSun" w:eastAsia="SimSun" w:hAnsi="SimSun" w:cs="SimSun" w:hint="eastAsia"/>
          <w:sz w:val="28"/>
          <w:szCs w:val="28"/>
        </w:rPr>
        <w:t>工作年龄激增的国家需要从中获取更多</w:t>
      </w:r>
      <w:r>
        <w:rPr>
          <w:rFonts w:ascii="SimSun" w:eastAsia="SimSun" w:hAnsi="SimSun" w:cs="SimSun" w:hint="eastAsia"/>
          <w:sz w:val="28"/>
          <w:szCs w:val="28"/>
        </w:rPr>
        <w:t>经济</w:t>
      </w:r>
      <w:r w:rsidRPr="002E01D1">
        <w:rPr>
          <w:rFonts w:ascii="SimSun" w:eastAsia="SimSun" w:hAnsi="SimSun" w:cs="SimSun" w:hint="eastAsia"/>
          <w:sz w:val="28"/>
          <w:szCs w:val="28"/>
        </w:rPr>
        <w:t>增长。印度可能永远不会有比现在更好的机会。在纳伦德拉</w:t>
      </w:r>
      <w:r w:rsidRPr="002E01D1">
        <w:rPr>
          <w:rFonts w:ascii="var(--ds-type-system-serif)" w:hAnsi="var(--ds-type-system-serif)" w:hint="eastAsia"/>
          <w:sz w:val="28"/>
          <w:szCs w:val="28"/>
        </w:rPr>
        <w:t>·</w:t>
      </w:r>
      <w:r w:rsidRPr="002E01D1">
        <w:rPr>
          <w:rFonts w:ascii="SimSun" w:eastAsia="SimSun" w:hAnsi="SimSun" w:cs="SimSun" w:hint="eastAsia"/>
          <w:sz w:val="28"/>
          <w:szCs w:val="28"/>
        </w:rPr>
        <w:t>莫迪的领导下，它拥有一个强大的、亲商的政府，该政府很可能在明年赢得连任。人们对可能提高增长率的措施达成了共识，包括私有化和放宽外国投资规则。此类改革将帮助印度利用西方将供应链迁出中国的努力。如果印度需要一个警示故事来证明行动的合理性，那么它只需看看自己迅速老龄化的南部各邦就可以了。在喀拉拉邦，</w:t>
      </w:r>
      <w:r w:rsidRPr="002E01D1">
        <w:rPr>
          <w:rFonts w:ascii="var(--ds-type-system-serif)" w:hAnsi="var(--ds-type-system-serif)"/>
          <w:sz w:val="28"/>
          <w:szCs w:val="28"/>
        </w:rPr>
        <w:t xml:space="preserve">17% </w:t>
      </w:r>
      <w:r w:rsidRPr="002E01D1">
        <w:rPr>
          <w:rFonts w:ascii="SimSun" w:eastAsia="SimSun" w:hAnsi="SimSun" w:cs="SimSun" w:hint="eastAsia"/>
          <w:sz w:val="28"/>
          <w:szCs w:val="28"/>
        </w:rPr>
        <w:t>的人口年龄在</w:t>
      </w:r>
      <w:r w:rsidRPr="002E01D1">
        <w:rPr>
          <w:rFonts w:ascii="var(--ds-type-system-serif)" w:hAnsi="var(--ds-type-system-serif)"/>
          <w:sz w:val="28"/>
          <w:szCs w:val="28"/>
        </w:rPr>
        <w:t xml:space="preserve"> 60 </w:t>
      </w:r>
      <w:r w:rsidRPr="002E01D1">
        <w:rPr>
          <w:rFonts w:ascii="SimSun" w:eastAsia="SimSun" w:hAnsi="SimSun" w:cs="SimSun" w:hint="eastAsia"/>
          <w:sz w:val="28"/>
          <w:szCs w:val="28"/>
        </w:rPr>
        <w:t>岁或以上。</w:t>
      </w:r>
    </w:p>
    <w:p w:rsidR="00043C2D" w:rsidRDefault="00043C2D" w:rsidP="00801DA8">
      <w:pPr>
        <w:pStyle w:val="css-1hno3qs"/>
        <w:spacing w:line="480" w:lineRule="exact"/>
        <w:ind w:right="2552"/>
        <w:jc w:val="both"/>
        <w:textAlignment w:val="baseline"/>
        <w:rPr>
          <w:rFonts w:ascii="var(--ds-type-system-serif)" w:hAnsi="var(--ds-type-system-serif)"/>
          <w:sz w:val="28"/>
          <w:szCs w:val="28"/>
        </w:rPr>
      </w:pPr>
      <w:r w:rsidRPr="00801DA8">
        <w:rPr>
          <w:rFonts w:ascii="var(--ds-type-system-serif)" w:hAnsi="var(--ds-type-system-serif)"/>
          <w:sz w:val="28"/>
          <w:szCs w:val="28"/>
        </w:rPr>
        <w:t>Another conclusion is that developing countries need to start planning for old age earlier. They should reform their pension systems, including by raising retirement ages. They should nurture financial markets, providing options for long-term saving and health insurance. They should create conditions for well-regulated private social care. And they should try harder to increase female participation in the labour force; in India it is a wretched 24%, half the global average. Getting more women into jobs would extend the demographic dividend and help deal with the fact that women live longer than men, but tend to have more meagre savings and pensions, and so are vulnerable in old age.</w:t>
      </w:r>
    </w:p>
    <w:p w:rsidR="00A6590C" w:rsidRPr="00A6590C" w:rsidRDefault="00A6590C" w:rsidP="00801DA8">
      <w:pPr>
        <w:pStyle w:val="css-1hno3qs"/>
        <w:spacing w:line="480" w:lineRule="exact"/>
        <w:ind w:right="2552"/>
        <w:jc w:val="both"/>
        <w:textAlignment w:val="baseline"/>
        <w:rPr>
          <w:rFonts w:ascii="var(--ds-type-system-serif)" w:hAnsi="var(--ds-type-system-serif)"/>
          <w:sz w:val="28"/>
          <w:szCs w:val="28"/>
        </w:rPr>
      </w:pPr>
      <w:r w:rsidRPr="00A6590C">
        <w:rPr>
          <w:rFonts w:ascii="SimSun" w:eastAsia="SimSun" w:hAnsi="SimSun" w:cs="SimSun" w:hint="eastAsia"/>
          <w:sz w:val="28"/>
          <w:szCs w:val="28"/>
        </w:rPr>
        <w:lastRenderedPageBreak/>
        <w:t>另一个结论是，发展中国家需要更早开始规划</w:t>
      </w:r>
      <w:r>
        <w:rPr>
          <w:rFonts w:ascii="SimSun" w:eastAsia="SimSun" w:hAnsi="SimSun" w:cs="SimSun" w:hint="eastAsia"/>
          <w:sz w:val="28"/>
          <w:szCs w:val="28"/>
        </w:rPr>
        <w:t>养老</w:t>
      </w:r>
      <w:r w:rsidRPr="00A6590C">
        <w:rPr>
          <w:rFonts w:ascii="SimSun" w:eastAsia="SimSun" w:hAnsi="SimSun" w:cs="SimSun" w:hint="eastAsia"/>
          <w:sz w:val="28"/>
          <w:szCs w:val="28"/>
        </w:rPr>
        <w:t>。他们应该改革养老金制度，包括提高退休年龄。他们应该培育金融市场，提供长期储蓄和健康保险的选择。他们应该为监管良好的私人社会护理创造条件。他们应该更加努力地提高女性劳动力参与率；印度的这一比例仅为</w:t>
      </w:r>
      <w:r w:rsidRPr="00A6590C">
        <w:rPr>
          <w:rFonts w:ascii="var(--ds-type-system-serif)" w:hAnsi="var(--ds-type-system-serif)"/>
          <w:sz w:val="28"/>
          <w:szCs w:val="28"/>
        </w:rPr>
        <w:t xml:space="preserve"> 24%</w:t>
      </w:r>
      <w:r w:rsidRPr="00A6590C">
        <w:rPr>
          <w:rFonts w:ascii="SimSun" w:eastAsia="SimSun" w:hAnsi="SimSun" w:cs="SimSun" w:hint="eastAsia"/>
          <w:sz w:val="28"/>
          <w:szCs w:val="28"/>
        </w:rPr>
        <w:t>，仅为全球平均水平的一半。让更多女性就业将扩大人口红利，并有助于解决女性比男性寿命更长的问题，但她们的储蓄和养老金往往更微薄，因此在老年时更容易受到伤害。</w:t>
      </w:r>
    </w:p>
    <w:p w:rsidR="00043C2D" w:rsidRDefault="00043C2D" w:rsidP="00801DA8">
      <w:pPr>
        <w:pStyle w:val="css-1hno3qs"/>
        <w:spacing w:line="480" w:lineRule="exact"/>
        <w:ind w:right="2552"/>
        <w:jc w:val="both"/>
        <w:textAlignment w:val="baseline"/>
        <w:rPr>
          <w:rFonts w:ascii="var(--ds-type-system-serif)" w:hAnsi="var(--ds-type-system-serif)"/>
          <w:sz w:val="28"/>
          <w:szCs w:val="28"/>
        </w:rPr>
      </w:pPr>
      <w:r w:rsidRPr="00801DA8">
        <w:rPr>
          <w:rFonts w:ascii="var(--ds-type-system-serif)" w:hAnsi="var(--ds-type-system-serif)"/>
          <w:sz w:val="28"/>
          <w:szCs w:val="28"/>
        </w:rPr>
        <w:t>Finally, developing countries should learn from the errors of rich ones by taking a pragmatic view of immigration. Hard as this can be politically, it is often the easiest way to extend the transition. Building sites in Bangkok already throng with illegal Burmese immigrants. By formalising them, Thai politicians could usher them into more productive roles.</w:t>
      </w:r>
    </w:p>
    <w:p w:rsidR="00A6590C" w:rsidRPr="00801DA8" w:rsidRDefault="00A6590C" w:rsidP="00801DA8">
      <w:pPr>
        <w:pStyle w:val="css-1hno3qs"/>
        <w:spacing w:line="480" w:lineRule="exact"/>
        <w:ind w:right="2552"/>
        <w:jc w:val="both"/>
        <w:textAlignment w:val="baseline"/>
        <w:rPr>
          <w:rFonts w:ascii="var(--ds-type-system-serif)" w:hAnsi="var(--ds-type-system-serif)"/>
          <w:sz w:val="28"/>
          <w:szCs w:val="28"/>
        </w:rPr>
      </w:pPr>
      <w:r w:rsidRPr="00A6590C">
        <w:rPr>
          <w:rFonts w:ascii="SimSun" w:eastAsia="SimSun" w:hAnsi="SimSun" w:cs="SimSun" w:hint="eastAsia"/>
          <w:sz w:val="28"/>
          <w:szCs w:val="28"/>
        </w:rPr>
        <w:t>最后，发展中国家应该从富国的错误中吸取教训，以务实的态度对待移民。尽管这在政治上可能很困难，但它通常是延长过渡的最简单方法。曼谷的建筑工地已经挤满了缅甸非法移民。通过将它们正式化，泰国政界人士可以引导他们发挥更有成效的作用。</w:t>
      </w:r>
    </w:p>
    <w:p w:rsidR="00043C2D" w:rsidRPr="00043C2D" w:rsidRDefault="00043C2D" w:rsidP="00043C2D">
      <w:pPr>
        <w:pStyle w:val="css-1hno3qs"/>
        <w:textAlignment w:val="baseline"/>
        <w:rPr>
          <w:rFonts w:ascii="var(--ds-type-system-serif)" w:hAnsi="var(--ds-type-system-serif)"/>
          <w:b/>
          <w:bCs/>
          <w:sz w:val="32"/>
          <w:szCs w:val="32"/>
        </w:rPr>
      </w:pPr>
      <w:r w:rsidRPr="00043C2D">
        <w:rPr>
          <w:rFonts w:ascii="var(--ds-type-system-serif)" w:hAnsi="var(--ds-type-system-serif)"/>
          <w:b/>
          <w:bCs/>
          <w:sz w:val="32"/>
          <w:szCs w:val="32"/>
        </w:rPr>
        <w:t>Dividend booster</w:t>
      </w:r>
    </w:p>
    <w:p w:rsidR="00043C2D" w:rsidRDefault="00043C2D" w:rsidP="00801DA8">
      <w:pPr>
        <w:pStyle w:val="css-1hno3qs"/>
        <w:spacing w:before="0" w:beforeAutospacing="0" w:after="0" w:afterAutospacing="0" w:line="480" w:lineRule="exact"/>
        <w:ind w:right="2552"/>
        <w:jc w:val="both"/>
        <w:textAlignment w:val="baseline"/>
        <w:rPr>
          <w:rStyle w:val="ufinish"/>
          <w:sz w:val="28"/>
          <w:szCs w:val="28"/>
          <w:bdr w:val="none" w:sz="0" w:space="0" w:color="auto" w:frame="1"/>
        </w:rPr>
      </w:pPr>
      <w:r w:rsidRPr="00801DA8">
        <w:rPr>
          <w:rFonts w:ascii="var(--ds-type-system-serif)" w:hAnsi="var(--ds-type-system-serif)"/>
          <w:sz w:val="28"/>
          <w:szCs w:val="28"/>
        </w:rPr>
        <w:t xml:space="preserve">India provides a happier example of this. A continent-size country, its boom is fuelled by internal migration. Its last </w:t>
      </w:r>
      <w:r w:rsidRPr="00801DA8">
        <w:rPr>
          <w:rFonts w:ascii="var(--ds-type-system-serif)" w:hAnsi="var(--ds-type-system-serif)"/>
          <w:sz w:val="28"/>
          <w:szCs w:val="28"/>
        </w:rPr>
        <w:lastRenderedPageBreak/>
        <w:t>census, in 2011, counted 450m internal migrants. Many travel from the poor north to the more prosperous south and west, to seize new opportunities and, increasingly, to take up those being vacated by the south’s ageing workers. It is an inspiring illustration of what relatively unfettered labour markets can do—and a lesson for Japan, Thailand and governments everywhere. </w:t>
      </w:r>
      <w:r w:rsidRPr="00801DA8">
        <w:rPr>
          <w:rStyle w:val="ufinish"/>
          <w:sz w:val="28"/>
          <w:szCs w:val="28"/>
          <w:bdr w:val="none" w:sz="0" w:space="0" w:color="auto" w:frame="1"/>
        </w:rPr>
        <w:t>■</w:t>
      </w:r>
    </w:p>
    <w:p w:rsidR="00085B43" w:rsidRPr="00085B43" w:rsidRDefault="00085B43" w:rsidP="00801DA8">
      <w:pPr>
        <w:pStyle w:val="css-1hno3qs"/>
        <w:spacing w:before="0" w:beforeAutospacing="0" w:after="0" w:afterAutospacing="0" w:line="480" w:lineRule="exact"/>
        <w:ind w:right="2552"/>
        <w:jc w:val="both"/>
        <w:textAlignment w:val="baseline"/>
        <w:rPr>
          <w:rFonts w:ascii="var(--ds-type-system-serif)" w:hAnsi="var(--ds-type-system-serif)"/>
          <w:sz w:val="28"/>
          <w:szCs w:val="28"/>
        </w:rPr>
      </w:pPr>
      <w:r w:rsidRPr="00085B43">
        <w:rPr>
          <w:rFonts w:ascii="SimSun" w:eastAsia="SimSun" w:hAnsi="SimSun" w:cs="SimSun" w:hint="eastAsia"/>
          <w:sz w:val="28"/>
          <w:szCs w:val="28"/>
        </w:rPr>
        <w:t>印度提供了一个更令人</w:t>
      </w:r>
      <w:r w:rsidR="00EA0322">
        <w:rPr>
          <w:rFonts w:ascii="SimSun" w:eastAsia="SimSun" w:hAnsi="SimSun" w:cs="SimSun" w:hint="eastAsia"/>
          <w:sz w:val="28"/>
          <w:szCs w:val="28"/>
        </w:rPr>
        <w:t>高兴</w:t>
      </w:r>
      <w:r w:rsidRPr="00085B43">
        <w:rPr>
          <w:rFonts w:ascii="SimSun" w:eastAsia="SimSun" w:hAnsi="SimSun" w:cs="SimSun" w:hint="eastAsia"/>
          <w:sz w:val="28"/>
          <w:szCs w:val="28"/>
        </w:rPr>
        <w:t>的例子。作为一个幅员辽阔的国家，其繁荣是由内部移民推动的。</w:t>
      </w:r>
      <w:r w:rsidRPr="00085B43">
        <w:rPr>
          <w:rFonts w:ascii="var(--ds-type-system-serif)" w:hAnsi="var(--ds-type-system-serif)"/>
          <w:sz w:val="28"/>
          <w:szCs w:val="28"/>
        </w:rPr>
        <w:t xml:space="preserve"> 2011 </w:t>
      </w:r>
      <w:r w:rsidRPr="00085B43">
        <w:rPr>
          <w:rFonts w:ascii="SimSun" w:eastAsia="SimSun" w:hAnsi="SimSun" w:cs="SimSun" w:hint="eastAsia"/>
          <w:sz w:val="28"/>
          <w:szCs w:val="28"/>
        </w:rPr>
        <w:t>年的上次人口普查显示国内移民人数为</w:t>
      </w:r>
      <w:r w:rsidRPr="00085B43">
        <w:rPr>
          <w:rFonts w:ascii="var(--ds-type-system-serif)" w:hAnsi="var(--ds-type-system-serif)"/>
          <w:sz w:val="28"/>
          <w:szCs w:val="28"/>
        </w:rPr>
        <w:t xml:space="preserve"> 4.5 </w:t>
      </w:r>
      <w:r w:rsidRPr="00085B43">
        <w:rPr>
          <w:rFonts w:ascii="SimSun" w:eastAsia="SimSun" w:hAnsi="SimSun" w:cs="SimSun" w:hint="eastAsia"/>
          <w:sz w:val="28"/>
          <w:szCs w:val="28"/>
        </w:rPr>
        <w:t>亿。许多人从贫穷的北方前往更繁荣的南方和西部，以抓住新的机会，并越来越多地接替南方老龄工人空出的机会。这是一个鼓舞人心的例证，说明了相对不受约束的劳动力市场可以发挥什么作用，也为日本、泰国和世界各地的政府提供了一个教训。</w:t>
      </w:r>
    </w:p>
    <w:p w:rsidR="00043C2D" w:rsidRPr="00801DA8" w:rsidRDefault="00043C2D" w:rsidP="00801DA8">
      <w:pPr>
        <w:pStyle w:val="css-crkmw2"/>
        <w:spacing w:before="0" w:beforeAutospacing="0" w:after="0" w:afterAutospacing="0" w:line="480" w:lineRule="exact"/>
        <w:ind w:right="2552"/>
        <w:jc w:val="both"/>
        <w:textAlignment w:val="baseline"/>
        <w:rPr>
          <w:rFonts w:ascii="var(--ds-type-system-sans)" w:hAnsi="var(--ds-type-system-sans)"/>
          <w:color w:val="0D0D0D"/>
          <w:sz w:val="28"/>
          <w:szCs w:val="28"/>
        </w:rPr>
      </w:pPr>
      <w:r w:rsidRPr="00801DA8">
        <w:rPr>
          <w:rFonts w:ascii="var(--ds-type-system-sans)" w:hAnsi="var(--ds-type-system-sans)"/>
          <w:color w:val="0D0D0D"/>
          <w:sz w:val="28"/>
          <w:szCs w:val="28"/>
        </w:rPr>
        <w:t>This article appeared in the Leaders section of the print edition under the headline "Prematurely grey"</w:t>
      </w:r>
    </w:p>
    <w:p w:rsidR="00043C2D" w:rsidRPr="00043C2D" w:rsidRDefault="00043C2D" w:rsidP="009368BF">
      <w:pPr>
        <w:pStyle w:val="BodyText"/>
        <w:spacing w:before="97" w:line="480" w:lineRule="exact"/>
        <w:ind w:left="119" w:right="2552"/>
        <w:rPr>
          <w:lang w:val="en-CN"/>
        </w:rPr>
      </w:pPr>
      <w:r>
        <w:fldChar w:fldCharType="begin"/>
      </w:r>
      <w:r>
        <w:instrText xml:space="preserve"> INCLUDEPICTURE "https://www.economist.com/cdn-cgi/image/width=1424,quality=80,format=auto/content-assets/images/20231014_LDP501.jpg" \* MERGEFORMATINET </w:instrText>
      </w:r>
      <w:r>
        <w:fldChar w:fldCharType="separate"/>
      </w:r>
      <w:r>
        <w:fldChar w:fldCharType="end"/>
      </w:r>
    </w:p>
    <w:sectPr w:rsidR="00043C2D" w:rsidRPr="00043C2D" w:rsidSect="006E6B6D">
      <w:headerReference w:type="default" r:id="rId8"/>
      <w:pgSz w:w="12240" w:h="15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0343" w:rsidRDefault="00040343" w:rsidP="004C17A5">
      <w:r>
        <w:separator/>
      </w:r>
    </w:p>
  </w:endnote>
  <w:endnote w:type="continuationSeparator" w:id="0">
    <w:p w:rsidR="00040343" w:rsidRDefault="00040343" w:rsidP="004C1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ar(--ds-type-system-sans)">
    <w:altName w:val="Cambria"/>
    <w:panose1 w:val="020B0604020202020204"/>
    <w:charset w:val="00"/>
    <w:family w:val="roman"/>
    <w:notTrueType/>
    <w:pitch w:val="default"/>
  </w:font>
  <w:font w:name="Charter">
    <w:panose1 w:val="02040503050506020203"/>
    <w:charset w:val="00"/>
    <w:family w:val="roman"/>
    <w:pitch w:val="variable"/>
    <w:sig w:usb0="800000AF" w:usb1="1000204A" w:usb2="00000000" w:usb3="00000000" w:csb0="0000001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pitch w:val="default"/>
  </w:font>
  <w:font w:name="var(--ds-type-system-serif)">
    <w:altName w:val="Cambria"/>
    <w:panose1 w:val="020B06040202020202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0343" w:rsidRDefault="00040343" w:rsidP="004C17A5">
      <w:r>
        <w:separator/>
      </w:r>
    </w:p>
  </w:footnote>
  <w:footnote w:type="continuationSeparator" w:id="0">
    <w:p w:rsidR="00040343" w:rsidRDefault="00040343" w:rsidP="004C1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7A5" w:rsidRDefault="004C17A5">
    <w:pPr>
      <w:pStyle w:val="Header"/>
    </w:pPr>
    <w:r w:rsidRPr="004C17A5">
      <w:rPr>
        <w:b/>
        <w:bCs/>
        <w:color w:val="FFFFFF" w:themeColor="background1"/>
        <w:highlight w:val="darkRed"/>
      </w:rPr>
      <w:t>The Economist</w:t>
    </w:r>
    <w:r>
      <w:ptab w:relativeTo="margin" w:alignment="center" w:leader="none"/>
    </w:r>
    <w:r>
      <w:ptab w:relativeTo="margin" w:alignment="right" w:leader="none"/>
    </w:r>
    <w:r>
      <w:rPr>
        <w:rFonts w:ascii="SimSun" w:eastAsia="SimSun" w:hAnsi="SimSun" w:cs="SimSun" w:hint="eastAsia"/>
        <w:lang w:eastAsia="zh-CN"/>
      </w:rPr>
      <w:t xml:space="preserve">禁止转载和抄袭 </w:t>
    </w:r>
    <w:r>
      <w:rPr>
        <w:rFonts w:ascii="SimSun" w:eastAsia="SimSun" w:hAnsi="SimSun" w:cs="SimSun"/>
        <w:lang w:eastAsia="zh-CN"/>
      </w:rPr>
      <w:t>October 16th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6D"/>
    <w:rsid w:val="00040343"/>
    <w:rsid w:val="00043C2D"/>
    <w:rsid w:val="00085B43"/>
    <w:rsid w:val="000E2016"/>
    <w:rsid w:val="001A13C0"/>
    <w:rsid w:val="002E01D1"/>
    <w:rsid w:val="00457F60"/>
    <w:rsid w:val="004B00A5"/>
    <w:rsid w:val="004C17A5"/>
    <w:rsid w:val="005617FC"/>
    <w:rsid w:val="005654F7"/>
    <w:rsid w:val="0064462D"/>
    <w:rsid w:val="006E6B6D"/>
    <w:rsid w:val="007D592C"/>
    <w:rsid w:val="00800B26"/>
    <w:rsid w:val="00801DA8"/>
    <w:rsid w:val="00902953"/>
    <w:rsid w:val="009368BF"/>
    <w:rsid w:val="00A6590C"/>
    <w:rsid w:val="00C76A1A"/>
    <w:rsid w:val="00C914E0"/>
    <w:rsid w:val="00CB17F1"/>
    <w:rsid w:val="00DB625F"/>
    <w:rsid w:val="00EA0322"/>
    <w:rsid w:val="00F36EF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AD768"/>
  <w15:chartTrackingRefBased/>
  <w15:docId w15:val="{A7B60CB0-37B8-6841-94D9-6EA3F11B5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B6D"/>
    <w:pPr>
      <w:widowControl w:val="0"/>
      <w:autoSpaceDE w:val="0"/>
      <w:autoSpaceDN w:val="0"/>
    </w:pPr>
    <w:rPr>
      <w:rFonts w:ascii="Times New Roman" w:eastAsia="Times New Roman" w:hAnsi="Times New Roman" w:cs="Times New Roman"/>
      <w:kern w:val="0"/>
      <w:sz w:val="22"/>
      <w:szCs w:val="22"/>
      <w:lang w:val="en-US" w:eastAsia="en-US"/>
    </w:rPr>
  </w:style>
  <w:style w:type="paragraph" w:styleId="Heading1">
    <w:name w:val="heading 1"/>
    <w:basedOn w:val="Normal"/>
    <w:link w:val="Heading1Char"/>
    <w:uiPriority w:val="9"/>
    <w:qFormat/>
    <w:rsid w:val="00043C2D"/>
    <w:pPr>
      <w:widowControl/>
      <w:autoSpaceDE/>
      <w:autoSpaceDN/>
      <w:spacing w:before="100" w:beforeAutospacing="1" w:after="100" w:afterAutospacing="1"/>
      <w:outlineLvl w:val="0"/>
    </w:pPr>
    <w:rPr>
      <w:b/>
      <w:bCs/>
      <w:kern w:val="36"/>
      <w:sz w:val="48"/>
      <w:szCs w:val="48"/>
      <w:lang w:val="en-CN" w:eastAsia="zh-CN"/>
    </w:rPr>
  </w:style>
  <w:style w:type="paragraph" w:styleId="Heading2">
    <w:name w:val="heading 2"/>
    <w:basedOn w:val="Normal"/>
    <w:next w:val="Normal"/>
    <w:link w:val="Heading2Char"/>
    <w:uiPriority w:val="9"/>
    <w:semiHidden/>
    <w:unhideWhenUsed/>
    <w:qFormat/>
    <w:rsid w:val="00043C2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E6B6D"/>
    <w:pPr>
      <w:ind w:left="118"/>
      <w:jc w:val="both"/>
    </w:pPr>
    <w:rPr>
      <w:sz w:val="29"/>
      <w:szCs w:val="29"/>
    </w:rPr>
  </w:style>
  <w:style w:type="character" w:customStyle="1" w:styleId="BodyTextChar">
    <w:name w:val="Body Text Char"/>
    <w:basedOn w:val="DefaultParagraphFont"/>
    <w:link w:val="BodyText"/>
    <w:uiPriority w:val="1"/>
    <w:rsid w:val="006E6B6D"/>
    <w:rPr>
      <w:rFonts w:ascii="Times New Roman" w:eastAsia="Times New Roman" w:hAnsi="Times New Roman" w:cs="Times New Roman"/>
      <w:kern w:val="0"/>
      <w:sz w:val="29"/>
      <w:szCs w:val="29"/>
      <w:lang w:val="en-US" w:eastAsia="en-US"/>
    </w:rPr>
  </w:style>
  <w:style w:type="paragraph" w:styleId="Title">
    <w:name w:val="Title"/>
    <w:basedOn w:val="Normal"/>
    <w:link w:val="TitleChar"/>
    <w:uiPriority w:val="10"/>
    <w:qFormat/>
    <w:rsid w:val="006E6B6D"/>
    <w:pPr>
      <w:spacing w:before="259"/>
      <w:ind w:left="118"/>
    </w:pPr>
    <w:rPr>
      <w:b/>
      <w:bCs/>
      <w:sz w:val="42"/>
      <w:szCs w:val="42"/>
    </w:rPr>
  </w:style>
  <w:style w:type="character" w:customStyle="1" w:styleId="TitleChar">
    <w:name w:val="Title Char"/>
    <w:basedOn w:val="DefaultParagraphFont"/>
    <w:link w:val="Title"/>
    <w:uiPriority w:val="10"/>
    <w:rsid w:val="006E6B6D"/>
    <w:rPr>
      <w:rFonts w:ascii="Times New Roman" w:eastAsia="Times New Roman" w:hAnsi="Times New Roman" w:cs="Times New Roman"/>
      <w:b/>
      <w:bCs/>
      <w:kern w:val="0"/>
      <w:sz w:val="42"/>
      <w:szCs w:val="42"/>
      <w:lang w:val="en-US" w:eastAsia="en-US"/>
    </w:rPr>
  </w:style>
  <w:style w:type="character" w:customStyle="1" w:styleId="css-1te5c83">
    <w:name w:val="css-1te5c83"/>
    <w:basedOn w:val="DefaultParagraphFont"/>
    <w:rsid w:val="00043C2D"/>
  </w:style>
  <w:style w:type="character" w:styleId="Hyperlink">
    <w:name w:val="Hyperlink"/>
    <w:basedOn w:val="DefaultParagraphFont"/>
    <w:uiPriority w:val="99"/>
    <w:semiHidden/>
    <w:unhideWhenUsed/>
    <w:rsid w:val="00043C2D"/>
    <w:rPr>
      <w:color w:val="0000FF"/>
      <w:u w:val="single"/>
    </w:rPr>
  </w:style>
  <w:style w:type="character" w:customStyle="1" w:styleId="css-1mdqtqm">
    <w:name w:val="css-1mdqtqm"/>
    <w:basedOn w:val="DefaultParagraphFont"/>
    <w:rsid w:val="00043C2D"/>
  </w:style>
  <w:style w:type="character" w:customStyle="1" w:styleId="Heading1Char">
    <w:name w:val="Heading 1 Char"/>
    <w:basedOn w:val="DefaultParagraphFont"/>
    <w:link w:val="Heading1"/>
    <w:uiPriority w:val="9"/>
    <w:rsid w:val="00043C2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43C2D"/>
    <w:rPr>
      <w:rFonts w:asciiTheme="majorHAnsi" w:eastAsiaTheme="majorEastAsia" w:hAnsiTheme="majorHAnsi" w:cstheme="majorBidi"/>
      <w:b/>
      <w:bCs/>
      <w:kern w:val="0"/>
      <w:sz w:val="32"/>
      <w:szCs w:val="32"/>
      <w:lang w:val="en-US" w:eastAsia="en-US"/>
    </w:rPr>
  </w:style>
  <w:style w:type="paragraph" w:customStyle="1" w:styleId="css-1hno3qs">
    <w:name w:val="css-1hno3qs"/>
    <w:basedOn w:val="Normal"/>
    <w:rsid w:val="00043C2D"/>
    <w:pPr>
      <w:widowControl/>
      <w:autoSpaceDE/>
      <w:autoSpaceDN/>
      <w:spacing w:before="100" w:beforeAutospacing="1" w:after="100" w:afterAutospacing="1"/>
    </w:pPr>
    <w:rPr>
      <w:sz w:val="24"/>
      <w:szCs w:val="24"/>
      <w:lang w:val="en-CN" w:eastAsia="zh-CN"/>
    </w:rPr>
  </w:style>
  <w:style w:type="character" w:customStyle="1" w:styleId="css-6pzdis">
    <w:name w:val="css-6pzdis"/>
    <w:basedOn w:val="DefaultParagraphFont"/>
    <w:rsid w:val="00043C2D"/>
  </w:style>
  <w:style w:type="character" w:customStyle="1" w:styleId="ufinish">
    <w:name w:val="ufinish"/>
    <w:basedOn w:val="DefaultParagraphFont"/>
    <w:rsid w:val="00043C2D"/>
  </w:style>
  <w:style w:type="paragraph" w:customStyle="1" w:styleId="css-crkmw2">
    <w:name w:val="css-crkmw2"/>
    <w:basedOn w:val="Normal"/>
    <w:rsid w:val="00043C2D"/>
    <w:pPr>
      <w:widowControl/>
      <w:autoSpaceDE/>
      <w:autoSpaceDN/>
      <w:spacing w:before="100" w:beforeAutospacing="1" w:after="100" w:afterAutospacing="1"/>
    </w:pPr>
    <w:rPr>
      <w:sz w:val="24"/>
      <w:szCs w:val="24"/>
      <w:lang w:val="en-CN" w:eastAsia="zh-CN"/>
    </w:rPr>
  </w:style>
  <w:style w:type="paragraph" w:styleId="Header">
    <w:name w:val="header"/>
    <w:basedOn w:val="Normal"/>
    <w:link w:val="HeaderChar"/>
    <w:uiPriority w:val="99"/>
    <w:unhideWhenUsed/>
    <w:rsid w:val="004C17A5"/>
    <w:pP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4C17A5"/>
    <w:rPr>
      <w:rFonts w:ascii="Times New Roman" w:eastAsia="Times New Roman" w:hAnsi="Times New Roman" w:cs="Times New Roman"/>
      <w:kern w:val="0"/>
      <w:sz w:val="18"/>
      <w:szCs w:val="18"/>
      <w:lang w:val="en-US" w:eastAsia="en-US"/>
    </w:rPr>
  </w:style>
  <w:style w:type="paragraph" w:styleId="Footer">
    <w:name w:val="footer"/>
    <w:basedOn w:val="Normal"/>
    <w:link w:val="FooterChar"/>
    <w:uiPriority w:val="99"/>
    <w:unhideWhenUsed/>
    <w:rsid w:val="004C17A5"/>
    <w:pPr>
      <w:tabs>
        <w:tab w:val="center" w:pos="4680"/>
        <w:tab w:val="right" w:pos="9360"/>
      </w:tabs>
      <w:snapToGrid w:val="0"/>
    </w:pPr>
    <w:rPr>
      <w:sz w:val="18"/>
      <w:szCs w:val="18"/>
    </w:rPr>
  </w:style>
  <w:style w:type="character" w:customStyle="1" w:styleId="FooterChar">
    <w:name w:val="Footer Char"/>
    <w:basedOn w:val="DefaultParagraphFont"/>
    <w:link w:val="Footer"/>
    <w:uiPriority w:val="99"/>
    <w:rsid w:val="004C17A5"/>
    <w:rPr>
      <w:rFonts w:ascii="Times New Roman" w:eastAsia="Times New Roman" w:hAnsi="Times New Roman" w:cs="Times New Roman"/>
      <w:kern w:val="0"/>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79634">
      <w:bodyDiv w:val="1"/>
      <w:marLeft w:val="0"/>
      <w:marRight w:val="0"/>
      <w:marTop w:val="0"/>
      <w:marBottom w:val="0"/>
      <w:divBdr>
        <w:top w:val="none" w:sz="0" w:space="0" w:color="auto"/>
        <w:left w:val="none" w:sz="0" w:space="0" w:color="auto"/>
        <w:bottom w:val="none" w:sz="0" w:space="0" w:color="auto"/>
        <w:right w:val="none" w:sz="0" w:space="0" w:color="auto"/>
      </w:divBdr>
    </w:div>
    <w:div w:id="542211370">
      <w:bodyDiv w:val="1"/>
      <w:marLeft w:val="0"/>
      <w:marRight w:val="0"/>
      <w:marTop w:val="0"/>
      <w:marBottom w:val="0"/>
      <w:divBdr>
        <w:top w:val="none" w:sz="0" w:space="0" w:color="auto"/>
        <w:left w:val="none" w:sz="0" w:space="0" w:color="auto"/>
        <w:bottom w:val="none" w:sz="0" w:space="0" w:color="auto"/>
        <w:right w:val="none" w:sz="0" w:space="0" w:color="auto"/>
      </w:divBdr>
      <w:divsChild>
        <w:div w:id="1826817012">
          <w:marLeft w:val="0"/>
          <w:marRight w:val="0"/>
          <w:marTop w:val="0"/>
          <w:marBottom w:val="0"/>
          <w:divBdr>
            <w:top w:val="none" w:sz="0" w:space="0" w:color="auto"/>
            <w:left w:val="none" w:sz="0" w:space="0" w:color="auto"/>
            <w:bottom w:val="none" w:sz="0" w:space="0" w:color="auto"/>
            <w:right w:val="none" w:sz="0" w:space="0" w:color="auto"/>
          </w:divBdr>
          <w:divsChild>
            <w:div w:id="59838838">
              <w:marLeft w:val="0"/>
              <w:marRight w:val="0"/>
              <w:marTop w:val="0"/>
              <w:marBottom w:val="0"/>
              <w:divBdr>
                <w:top w:val="none" w:sz="0" w:space="0" w:color="auto"/>
                <w:left w:val="none" w:sz="0" w:space="0" w:color="auto"/>
                <w:bottom w:val="none" w:sz="0" w:space="0" w:color="auto"/>
                <w:right w:val="none" w:sz="0" w:space="0" w:color="auto"/>
              </w:divBdr>
            </w:div>
          </w:divsChild>
        </w:div>
        <w:div w:id="1134639996">
          <w:marLeft w:val="0"/>
          <w:marRight w:val="0"/>
          <w:marTop w:val="0"/>
          <w:marBottom w:val="0"/>
          <w:divBdr>
            <w:top w:val="none" w:sz="0" w:space="0" w:color="auto"/>
            <w:left w:val="none" w:sz="0" w:space="0" w:color="auto"/>
            <w:bottom w:val="none" w:sz="0" w:space="0" w:color="auto"/>
            <w:right w:val="none" w:sz="0" w:space="0" w:color="auto"/>
          </w:divBdr>
        </w:div>
      </w:divsChild>
    </w:div>
    <w:div w:id="568152946">
      <w:bodyDiv w:val="1"/>
      <w:marLeft w:val="0"/>
      <w:marRight w:val="0"/>
      <w:marTop w:val="0"/>
      <w:marBottom w:val="0"/>
      <w:divBdr>
        <w:top w:val="none" w:sz="0" w:space="0" w:color="auto"/>
        <w:left w:val="none" w:sz="0" w:space="0" w:color="auto"/>
        <w:bottom w:val="none" w:sz="0" w:space="0" w:color="auto"/>
        <w:right w:val="none" w:sz="0" w:space="0" w:color="auto"/>
      </w:divBdr>
    </w:div>
    <w:div w:id="608465767">
      <w:bodyDiv w:val="1"/>
      <w:marLeft w:val="0"/>
      <w:marRight w:val="0"/>
      <w:marTop w:val="0"/>
      <w:marBottom w:val="0"/>
      <w:divBdr>
        <w:top w:val="none" w:sz="0" w:space="0" w:color="auto"/>
        <w:left w:val="none" w:sz="0" w:space="0" w:color="auto"/>
        <w:bottom w:val="none" w:sz="0" w:space="0" w:color="auto"/>
        <w:right w:val="none" w:sz="0" w:space="0" w:color="auto"/>
      </w:divBdr>
    </w:div>
    <w:div w:id="963926326">
      <w:bodyDiv w:val="1"/>
      <w:marLeft w:val="0"/>
      <w:marRight w:val="0"/>
      <w:marTop w:val="0"/>
      <w:marBottom w:val="0"/>
      <w:divBdr>
        <w:top w:val="none" w:sz="0" w:space="0" w:color="auto"/>
        <w:left w:val="none" w:sz="0" w:space="0" w:color="auto"/>
        <w:bottom w:val="none" w:sz="0" w:space="0" w:color="auto"/>
        <w:right w:val="none" w:sz="0" w:space="0" w:color="auto"/>
      </w:divBdr>
    </w:div>
    <w:div w:id="998462012">
      <w:bodyDiv w:val="1"/>
      <w:marLeft w:val="0"/>
      <w:marRight w:val="0"/>
      <w:marTop w:val="0"/>
      <w:marBottom w:val="0"/>
      <w:divBdr>
        <w:top w:val="none" w:sz="0" w:space="0" w:color="auto"/>
        <w:left w:val="none" w:sz="0" w:space="0" w:color="auto"/>
        <w:bottom w:val="none" w:sz="0" w:space="0" w:color="auto"/>
        <w:right w:val="none" w:sz="0" w:space="0" w:color="auto"/>
      </w:divBdr>
    </w:div>
    <w:div w:id="1100298155">
      <w:bodyDiv w:val="1"/>
      <w:marLeft w:val="0"/>
      <w:marRight w:val="0"/>
      <w:marTop w:val="0"/>
      <w:marBottom w:val="0"/>
      <w:divBdr>
        <w:top w:val="none" w:sz="0" w:space="0" w:color="auto"/>
        <w:left w:val="none" w:sz="0" w:space="0" w:color="auto"/>
        <w:bottom w:val="none" w:sz="0" w:space="0" w:color="auto"/>
        <w:right w:val="none" w:sz="0" w:space="0" w:color="auto"/>
      </w:divBdr>
    </w:div>
    <w:div w:id="1436705437">
      <w:bodyDiv w:val="1"/>
      <w:marLeft w:val="0"/>
      <w:marRight w:val="0"/>
      <w:marTop w:val="0"/>
      <w:marBottom w:val="0"/>
      <w:divBdr>
        <w:top w:val="none" w:sz="0" w:space="0" w:color="auto"/>
        <w:left w:val="none" w:sz="0" w:space="0" w:color="auto"/>
        <w:bottom w:val="none" w:sz="0" w:space="0" w:color="auto"/>
        <w:right w:val="none" w:sz="0" w:space="0" w:color="auto"/>
      </w:divBdr>
    </w:div>
    <w:div w:id="1731732519">
      <w:bodyDiv w:val="1"/>
      <w:marLeft w:val="0"/>
      <w:marRight w:val="0"/>
      <w:marTop w:val="0"/>
      <w:marBottom w:val="0"/>
      <w:divBdr>
        <w:top w:val="none" w:sz="0" w:space="0" w:color="auto"/>
        <w:left w:val="none" w:sz="0" w:space="0" w:color="auto"/>
        <w:bottom w:val="none" w:sz="0" w:space="0" w:color="auto"/>
        <w:right w:val="none" w:sz="0" w:space="0" w:color="auto"/>
      </w:divBdr>
    </w:div>
    <w:div w:id="1807773368">
      <w:bodyDiv w:val="1"/>
      <w:marLeft w:val="0"/>
      <w:marRight w:val="0"/>
      <w:marTop w:val="0"/>
      <w:marBottom w:val="0"/>
      <w:divBdr>
        <w:top w:val="none" w:sz="0" w:space="0" w:color="auto"/>
        <w:left w:val="none" w:sz="0" w:space="0" w:color="auto"/>
        <w:bottom w:val="none" w:sz="0" w:space="0" w:color="auto"/>
        <w:right w:val="none" w:sz="0" w:space="0" w:color="auto"/>
      </w:divBdr>
    </w:div>
    <w:div w:id="1889141573">
      <w:bodyDiv w:val="1"/>
      <w:marLeft w:val="0"/>
      <w:marRight w:val="0"/>
      <w:marTop w:val="0"/>
      <w:marBottom w:val="0"/>
      <w:divBdr>
        <w:top w:val="none" w:sz="0" w:space="0" w:color="auto"/>
        <w:left w:val="none" w:sz="0" w:space="0" w:color="auto"/>
        <w:bottom w:val="none" w:sz="0" w:space="0" w:color="auto"/>
        <w:right w:val="none" w:sz="0" w:space="0" w:color="auto"/>
      </w:divBdr>
    </w:div>
    <w:div w:id="1945841641">
      <w:bodyDiv w:val="1"/>
      <w:marLeft w:val="0"/>
      <w:marRight w:val="0"/>
      <w:marTop w:val="0"/>
      <w:marBottom w:val="0"/>
      <w:divBdr>
        <w:top w:val="none" w:sz="0" w:space="0" w:color="auto"/>
        <w:left w:val="none" w:sz="0" w:space="0" w:color="auto"/>
        <w:bottom w:val="none" w:sz="0" w:space="0" w:color="auto"/>
        <w:right w:val="none" w:sz="0" w:space="0" w:color="auto"/>
      </w:divBdr>
    </w:div>
    <w:div w:id="1984314342">
      <w:bodyDiv w:val="1"/>
      <w:marLeft w:val="0"/>
      <w:marRight w:val="0"/>
      <w:marTop w:val="0"/>
      <w:marBottom w:val="0"/>
      <w:divBdr>
        <w:top w:val="none" w:sz="0" w:space="0" w:color="auto"/>
        <w:left w:val="none" w:sz="0" w:space="0" w:color="auto"/>
        <w:bottom w:val="none" w:sz="0" w:space="0" w:color="auto"/>
        <w:right w:val="none" w:sz="0" w:space="0" w:color="auto"/>
      </w:divBdr>
    </w:div>
    <w:div w:id="211262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1053</Words>
  <Characters>6005</Characters>
  <Application>Microsoft Office Word</Application>
  <DocSecurity>0</DocSecurity>
  <Lines>50</Lines>
  <Paragraphs>14</Paragraphs>
  <ScaleCrop>false</ScaleCrop>
  <Company/>
  <LinksUpToDate>false</LinksUpToDate>
  <CharactersWithSpaces>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cp:revision>
  <dcterms:created xsi:type="dcterms:W3CDTF">2023-10-16T06:37:00Z</dcterms:created>
  <dcterms:modified xsi:type="dcterms:W3CDTF">2023-10-16T07:26:00Z</dcterms:modified>
</cp:coreProperties>
</file>