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A65" w:rsidRDefault="00BC7A65">
      <w:pPr>
        <w:rPr>
          <w:rStyle w:val="css-1mdqtqm"/>
          <w:rFonts w:ascii="var(--ds-type-system-sans)" w:hAnsi="var(--ds-type-system-sans)"/>
          <w:bdr w:val="none" w:sz="0" w:space="0" w:color="auto" w:frame="1"/>
        </w:rPr>
      </w:pPr>
      <w:hyperlink r:id="rId6" w:history="1">
        <w:r>
          <w:rPr>
            <w:rStyle w:val="Hyperlink"/>
            <w:rFonts w:ascii="var(--ds-type-system-sans)" w:hAnsi="var(--ds-type-system-sans)"/>
            <w:bdr w:val="none" w:sz="0" w:space="0" w:color="auto" w:frame="1"/>
          </w:rPr>
          <w:t>Finance and economics</w:t>
        </w:r>
      </w:hyperlink>
      <w:r>
        <w:rPr>
          <w:rStyle w:val="css-1mdqtqm"/>
          <w:rFonts w:ascii="var(--ds-type-system-sans)" w:hAnsi="var(--ds-type-system-sans)"/>
          <w:bdr w:val="none" w:sz="0" w:space="0" w:color="auto" w:frame="1"/>
        </w:rPr>
        <w:t xml:space="preserve"> | Buttonwood</w:t>
      </w:r>
    </w:p>
    <w:p w:rsidR="00BC7A65" w:rsidRPr="00BC7A65" w:rsidRDefault="00BC7A65" w:rsidP="00BC7A65">
      <w:pPr>
        <w:widowControl/>
        <w:jc w:val="left"/>
        <w:textAlignment w:val="baseline"/>
        <w:outlineLvl w:val="0"/>
        <w:rPr>
          <w:rFonts w:ascii="Charter" w:eastAsia="Times New Roman" w:hAnsi="Charter" w:cs="Times New Roman" w:hint="eastAsia"/>
          <w:kern w:val="36"/>
          <w:sz w:val="48"/>
          <w:szCs w:val="48"/>
        </w:rPr>
      </w:pPr>
      <w:r w:rsidRPr="00BC7A65">
        <w:rPr>
          <w:rFonts w:ascii="Charter" w:eastAsia="Times New Roman" w:hAnsi="Charter" w:cs="Times New Roman"/>
          <w:kern w:val="36"/>
          <w:sz w:val="48"/>
          <w:szCs w:val="48"/>
        </w:rPr>
        <w:t>Forget the S&amp;P 500. Pay attention to the S&amp;P 493</w:t>
      </w:r>
      <w:r w:rsidR="00C10CB9">
        <w:rPr>
          <w:rFonts w:ascii="Charter" w:eastAsia="Times New Roman" w:hAnsi="Charter" w:cs="Times New Roman"/>
          <w:kern w:val="36"/>
          <w:sz w:val="48"/>
          <w:szCs w:val="48"/>
        </w:rPr>
        <w:t xml:space="preserve">  </w:t>
      </w:r>
      <w:r w:rsidR="00C10CB9">
        <w:rPr>
          <w:rFonts w:ascii="SimSun" w:eastAsia="SimSun" w:hAnsi="SimSun" w:cs="SimSun" w:hint="eastAsia"/>
          <w:kern w:val="36"/>
          <w:sz w:val="48"/>
          <w:szCs w:val="48"/>
        </w:rPr>
        <w:t>忘掉标普5</w:t>
      </w:r>
      <w:r w:rsidR="00C10CB9">
        <w:rPr>
          <w:rFonts w:ascii="SimSun" w:eastAsia="SimSun" w:hAnsi="SimSun" w:cs="SimSun"/>
          <w:kern w:val="36"/>
          <w:sz w:val="48"/>
          <w:szCs w:val="48"/>
        </w:rPr>
        <w:t>00</w:t>
      </w:r>
      <w:r w:rsidR="00C10CB9">
        <w:rPr>
          <w:rFonts w:ascii="SimSun" w:eastAsia="SimSun" w:hAnsi="SimSun" w:cs="SimSun" w:hint="eastAsia"/>
          <w:kern w:val="36"/>
          <w:sz w:val="48"/>
          <w:szCs w:val="48"/>
        </w:rPr>
        <w:t>吧，看看标普4</w:t>
      </w:r>
      <w:r w:rsidR="00C10CB9">
        <w:rPr>
          <w:rFonts w:ascii="SimSun" w:eastAsia="SimSun" w:hAnsi="SimSun" w:cs="SimSun"/>
          <w:kern w:val="36"/>
          <w:sz w:val="48"/>
          <w:szCs w:val="48"/>
        </w:rPr>
        <w:t>93</w:t>
      </w:r>
    </w:p>
    <w:p w:rsidR="00BC7A65" w:rsidRPr="00BC7A65" w:rsidRDefault="00BC7A65" w:rsidP="00BC7A65">
      <w:pPr>
        <w:pStyle w:val="Heading2"/>
        <w:textAlignment w:val="baseline"/>
        <w:rPr>
          <w:rFonts w:ascii="var(--ds-type-system-serif)" w:hAnsi="var(--ds-type-system-serif)" w:hint="eastAsia"/>
          <w:b w:val="0"/>
          <w:bCs w:val="0"/>
          <w:color w:val="0D0D0D"/>
        </w:rPr>
      </w:pPr>
      <w:r>
        <w:rPr>
          <w:rFonts w:ascii="var(--ds-type-system-serif)" w:hAnsi="var(--ds-type-system-serif)"/>
          <w:b w:val="0"/>
          <w:bCs w:val="0"/>
          <w:color w:val="0D0D0D"/>
        </w:rPr>
        <w:t>The alternative benchmark offers a better view of America’s stockmarket</w:t>
      </w:r>
    </w:p>
    <w:p w:rsidR="00BC7A65" w:rsidRDefault="00BC7A65">
      <w:r>
        <w:fldChar w:fldCharType="begin"/>
      </w:r>
      <w:r>
        <w:instrText xml:space="preserve"> INCLUDEPICTURE "https://www.economist.com/cdn-cgi/image/width=1424,quality=80,format=auto/content-assets/images/20231111_FND002.jpg" \* MERGEFORMATINET </w:instrText>
      </w:r>
      <w:r>
        <w:fldChar w:fldCharType="separate"/>
      </w:r>
      <w:r>
        <w:rPr>
          <w:noProof/>
        </w:rPr>
        <w:drawing>
          <wp:inline distT="0" distB="0" distL="0" distR="0">
            <wp:extent cx="5943600" cy="3342005"/>
            <wp:effectExtent l="0" t="0" r="0" b="0"/>
            <wp:docPr id="1" name="Picture 1" descr="An illustration an eagle on which the number 493 is revealed by a 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an eagle on which the number 493 is revealed by a spotl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aps/>
          <w:color w:val="0D0D0D"/>
          <w:kern w:val="0"/>
          <w:sz w:val="28"/>
          <w:szCs w:val="28"/>
          <w:bdr w:val="none" w:sz="0" w:space="0" w:color="auto" w:frame="1"/>
        </w:rPr>
        <w:t>T</w:t>
      </w:r>
      <w:r w:rsidRPr="00BC7A65">
        <w:rPr>
          <w:rFonts w:ascii="Times New Roman" w:eastAsia="Times New Roman" w:hAnsi="Times New Roman" w:cs="Times New Roman"/>
          <w:color w:val="0D0D0D"/>
          <w:kern w:val="0"/>
          <w:sz w:val="28"/>
          <w:szCs w:val="28"/>
          <w:bdr w:val="none" w:sz="0" w:space="0" w:color="auto" w:frame="1"/>
        </w:rPr>
        <w:t xml:space="preserve">hink of </w:t>
      </w:r>
      <w:r w:rsidR="002D4C77">
        <w:rPr>
          <w:rFonts w:ascii="Times New Roman" w:eastAsia="Times New Roman" w:hAnsi="Times New Roman" w:cs="Times New Roman"/>
          <w:color w:val="0D0D0D"/>
          <w:kern w:val="0"/>
          <w:sz w:val="28"/>
          <w:szCs w:val="28"/>
          <w:bdr w:val="none" w:sz="0" w:space="0" w:color="auto" w:frame="1"/>
        </w:rPr>
        <w:t>A</w:t>
      </w:r>
      <w:r w:rsidRPr="00BC7A65">
        <w:rPr>
          <w:rFonts w:ascii="Times New Roman" w:eastAsia="Times New Roman" w:hAnsi="Times New Roman" w:cs="Times New Roman"/>
          <w:color w:val="0D0D0D"/>
          <w:kern w:val="0"/>
          <w:sz w:val="28"/>
          <w:szCs w:val="28"/>
          <w:bdr w:val="none" w:sz="0" w:space="0" w:color="auto" w:frame="1"/>
        </w:rPr>
        <w:t>merica’s</w:t>
      </w:r>
      <w:r w:rsidRPr="00BC7A65">
        <w:rPr>
          <w:rFonts w:ascii="Times New Roman" w:eastAsia="Times New Roman" w:hAnsi="Times New Roman" w:cs="Times New Roman"/>
          <w:color w:val="0D0D0D"/>
          <w:kern w:val="0"/>
          <w:sz w:val="28"/>
          <w:szCs w:val="28"/>
        </w:rPr>
        <w:t> stockmarket. What is the first firm that springs to mind? Perhaps it is one that made you money, or maybe one whose shares you are considering buying. If not, chances are you are thinking of one of the big hitters—and they don’t come much bigger than the “magnificent seven”.</w:t>
      </w:r>
    </w:p>
    <w:p w:rsidR="00480A37" w:rsidRPr="00BC7A65" w:rsidRDefault="00480A37"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4"/>
        </w:rPr>
      </w:pPr>
      <w:r w:rsidRPr="00FE58A1">
        <w:rPr>
          <w:rFonts w:ascii="SimSun" w:eastAsia="SimSun" w:hAnsi="SimSun" w:cs="SimSun" w:hint="eastAsia"/>
          <w:color w:val="0D0D0D"/>
          <w:kern w:val="0"/>
          <w:sz w:val="24"/>
        </w:rPr>
        <w:t>请想象一下美国的股票市场。你首先想到的是哪家公司？也许是一家让你赚钱的公司，或者是一家你正在考虑购买</w:t>
      </w:r>
      <w:r w:rsidR="00165D7F" w:rsidRPr="00FE58A1">
        <w:rPr>
          <w:rFonts w:ascii="SimSun" w:eastAsia="SimSun" w:hAnsi="SimSun" w:cs="SimSun" w:hint="eastAsia"/>
          <w:color w:val="0D0D0D"/>
          <w:kern w:val="0"/>
          <w:sz w:val="24"/>
        </w:rPr>
        <w:t>其</w:t>
      </w:r>
      <w:r w:rsidRPr="00FE58A1">
        <w:rPr>
          <w:rFonts w:ascii="SimSun" w:eastAsia="SimSun" w:hAnsi="SimSun" w:cs="SimSun" w:hint="eastAsia"/>
          <w:color w:val="0D0D0D"/>
          <w:kern w:val="0"/>
          <w:sz w:val="24"/>
        </w:rPr>
        <w:t>股票的公司。如果不是，那么很有可能你在想的是</w:t>
      </w:r>
      <w:r w:rsidRPr="00FE58A1">
        <w:rPr>
          <w:rFonts w:ascii="SimSun" w:eastAsia="SimSun" w:hAnsi="SimSun" w:cs="SimSun" w:hint="eastAsia"/>
          <w:color w:val="0D0D0D"/>
          <w:kern w:val="0"/>
          <w:sz w:val="24"/>
        </w:rPr>
        <w:t>其中一家明星公司</w:t>
      </w:r>
      <w:r w:rsidRPr="00FE58A1">
        <w:rPr>
          <w:rFonts w:ascii="SimSun" w:eastAsia="SimSun" w:hAnsi="SimSun" w:cs="SimSun" w:hint="eastAsia"/>
          <w:color w:val="0D0D0D"/>
          <w:kern w:val="0"/>
          <w:sz w:val="24"/>
        </w:rPr>
        <w:t>，而且没有什么</w:t>
      </w:r>
      <w:r w:rsidRPr="00FE58A1">
        <w:rPr>
          <w:rFonts w:ascii="SimSun" w:eastAsia="SimSun" w:hAnsi="SimSun" w:cs="SimSun" w:hint="eastAsia"/>
          <w:color w:val="0D0D0D"/>
          <w:kern w:val="0"/>
          <w:sz w:val="24"/>
        </w:rPr>
        <w:t>公司</w:t>
      </w:r>
      <w:r w:rsidRPr="00FE58A1">
        <w:rPr>
          <w:rFonts w:ascii="SimSun" w:eastAsia="SimSun" w:hAnsi="SimSun" w:cs="SimSun" w:hint="eastAsia"/>
          <w:color w:val="0D0D0D"/>
          <w:kern w:val="0"/>
          <w:sz w:val="24"/>
        </w:rPr>
        <w:t>比</w:t>
      </w:r>
      <w:r w:rsidRPr="00FE58A1">
        <w:rPr>
          <w:rFonts w:ascii="Times New Roman" w:eastAsia="Times New Roman" w:hAnsi="Times New Roman" w:cs="Times New Roman" w:hint="eastAsia"/>
          <w:color w:val="0D0D0D"/>
          <w:kern w:val="0"/>
          <w:sz w:val="24"/>
        </w:rPr>
        <w:t>"</w:t>
      </w:r>
      <w:r w:rsidRPr="00FE58A1">
        <w:rPr>
          <w:rFonts w:ascii="SimSun" w:eastAsia="SimSun" w:hAnsi="SimSun" w:cs="SimSun" w:hint="eastAsia"/>
          <w:color w:val="0D0D0D"/>
          <w:kern w:val="0"/>
          <w:sz w:val="24"/>
        </w:rPr>
        <w:t>七巨头</w:t>
      </w:r>
      <w:r w:rsidRPr="00FE58A1">
        <w:rPr>
          <w:rFonts w:ascii="Times New Roman" w:eastAsia="Times New Roman" w:hAnsi="Times New Roman" w:cs="Times New Roman" w:hint="eastAsia"/>
          <w:color w:val="0D0D0D"/>
          <w:kern w:val="0"/>
          <w:sz w:val="24"/>
        </w:rPr>
        <w:t>"</w:t>
      </w:r>
      <w:r w:rsidRPr="00FE58A1">
        <w:rPr>
          <w:rFonts w:ascii="SimSun" w:eastAsia="SimSun" w:hAnsi="SimSun" w:cs="SimSun" w:hint="eastAsia"/>
          <w:color w:val="0D0D0D"/>
          <w:kern w:val="0"/>
          <w:sz w:val="24"/>
        </w:rPr>
        <w:t>更大的了。</w:t>
      </w: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olor w:val="0D0D0D"/>
          <w:kern w:val="0"/>
          <w:sz w:val="28"/>
          <w:szCs w:val="28"/>
        </w:rPr>
        <w:lastRenderedPageBreak/>
        <w:t>Alphabet, Amazon, Apple, Meta, Microsoft, Nvidia and Tesla are Wall Street’s superstars, and deservedly so. Each was established in the past 50 years, and five of them in the past 30. Each has seen its market value exceed $1trn (although those of Meta and Tesla have since fallen, to $800bn and $700bn respectively). Thanks to this dynamism, it is little wonder that America’s stockmarket has raced ahead of others. Those in Europe have never produced a $1trn company and—in the past three decades—have failed to spawn one worth even a tenth as much. Hardly surprising that the average annual return on America’s benchmark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500 index in the past decade has been one-and-a-half times that on Europe’s Stoxx 600.</w:t>
      </w:r>
    </w:p>
    <w:p w:rsidR="00BC63B5" w:rsidRPr="00BC7A65" w:rsidRDefault="00BC63B5" w:rsidP="006765D6">
      <w:pPr>
        <w:widowControl/>
        <w:spacing w:before="100" w:beforeAutospacing="1" w:after="100" w:afterAutospacing="1" w:line="480" w:lineRule="exact"/>
        <w:textAlignment w:val="baseline"/>
        <w:rPr>
          <w:rFonts w:ascii="SimSun" w:eastAsia="SimSun" w:hAnsi="SimSun" w:cs="SimSun"/>
          <w:color w:val="0D0D0D"/>
          <w:kern w:val="0"/>
          <w:sz w:val="24"/>
        </w:rPr>
      </w:pPr>
      <w:r w:rsidRPr="00FE58A1">
        <w:rPr>
          <w:rFonts w:ascii="SimSun" w:eastAsia="SimSun" w:hAnsi="SimSun" w:cs="SimSun"/>
          <w:color w:val="0D0D0D"/>
          <w:kern w:val="0"/>
          <w:sz w:val="24"/>
        </w:rPr>
        <w:t>A</w:t>
      </w:r>
      <w:r w:rsidRPr="00FE58A1">
        <w:rPr>
          <w:rFonts w:ascii="SimSun" w:eastAsia="SimSun" w:hAnsi="SimSun" w:cs="SimSun" w:hint="eastAsia"/>
          <w:color w:val="0D0D0D"/>
          <w:kern w:val="0"/>
          <w:sz w:val="24"/>
        </w:rPr>
        <w:t>l</w:t>
      </w:r>
      <w:r w:rsidRPr="00FE58A1">
        <w:rPr>
          <w:rFonts w:ascii="SimSun" w:eastAsia="SimSun" w:hAnsi="SimSun" w:cs="SimSun"/>
          <w:color w:val="0D0D0D"/>
          <w:kern w:val="0"/>
          <w:sz w:val="24"/>
        </w:rPr>
        <w:t>phabet</w:t>
      </w:r>
      <w:r w:rsidRPr="00FE58A1">
        <w:rPr>
          <w:rFonts w:ascii="SimSun" w:eastAsia="SimSun" w:hAnsi="SimSun" w:cs="SimSun" w:hint="eastAsia"/>
          <w:color w:val="0D0D0D"/>
          <w:kern w:val="0"/>
          <w:sz w:val="24"/>
        </w:rPr>
        <w:t>、亚马逊、苹果、Meta、微软、英伟达和特斯拉都是华尔街的超级明星，而且</w:t>
      </w:r>
      <w:r w:rsidRPr="00FE58A1">
        <w:rPr>
          <w:rFonts w:ascii="SimSun" w:eastAsia="SimSun" w:hAnsi="SimSun" w:cs="SimSun" w:hint="eastAsia"/>
          <w:color w:val="0D0D0D"/>
          <w:kern w:val="0"/>
          <w:sz w:val="24"/>
        </w:rPr>
        <w:t>是实至名归的</w:t>
      </w:r>
      <w:r w:rsidRPr="00FE58A1">
        <w:rPr>
          <w:rFonts w:ascii="SimSun" w:eastAsia="SimSun" w:hAnsi="SimSun" w:cs="SimSun" w:hint="eastAsia"/>
          <w:color w:val="0D0D0D"/>
          <w:kern w:val="0"/>
          <w:sz w:val="24"/>
        </w:rPr>
        <w:t>。每家公司都在过去50年内成立，其中五家在过去30年内成立。每家公司的市值都超过了1万亿美元（尽管Meta和特斯拉的市值后来分别降至8000亿美元和7000亿美元）。</w:t>
      </w:r>
      <w:r w:rsidR="008364FE" w:rsidRPr="00FE58A1">
        <w:rPr>
          <w:rFonts w:ascii="SimSun" w:eastAsia="SimSun" w:hAnsi="SimSun" w:cs="SimSun" w:hint="eastAsia"/>
          <w:color w:val="0D0D0D"/>
          <w:kern w:val="0"/>
          <w:sz w:val="24"/>
        </w:rPr>
        <w:t>得益于</w:t>
      </w:r>
      <w:r w:rsidRPr="00FE58A1">
        <w:rPr>
          <w:rFonts w:ascii="SimSun" w:eastAsia="SimSun" w:hAnsi="SimSun" w:cs="SimSun" w:hint="eastAsia"/>
          <w:color w:val="0D0D0D"/>
          <w:kern w:val="0"/>
          <w:sz w:val="24"/>
        </w:rPr>
        <w:t>这种活力，美国股票市场遥遥领先于其他市场也就不足为奇了。在过去的三十年里，欧洲从未诞生过市值1万亿美元的公司，甚至连</w:t>
      </w:r>
      <w:r w:rsidR="00935F5C" w:rsidRPr="00FE58A1">
        <w:rPr>
          <w:rFonts w:ascii="SimSun" w:eastAsia="SimSun" w:hAnsi="SimSun" w:cs="SimSun" w:hint="eastAsia"/>
          <w:color w:val="0D0D0D"/>
          <w:kern w:val="0"/>
          <w:sz w:val="24"/>
        </w:rPr>
        <w:t>这些</w:t>
      </w:r>
      <w:r w:rsidR="00FE58A1">
        <w:rPr>
          <w:rFonts w:ascii="SimSun" w:eastAsia="SimSun" w:hAnsi="SimSun" w:cs="SimSun" w:hint="eastAsia"/>
          <w:color w:val="0D0D0D"/>
          <w:kern w:val="0"/>
          <w:sz w:val="24"/>
        </w:rPr>
        <w:t>科技巨头</w:t>
      </w:r>
      <w:r w:rsidR="00935F5C" w:rsidRPr="00FE58A1">
        <w:rPr>
          <w:rFonts w:ascii="SimSun" w:eastAsia="SimSun" w:hAnsi="SimSun" w:cs="SimSun" w:hint="eastAsia"/>
          <w:color w:val="0D0D0D"/>
          <w:kern w:val="0"/>
          <w:sz w:val="24"/>
        </w:rPr>
        <w:t>公司</w:t>
      </w:r>
      <w:r w:rsidRPr="00FE58A1">
        <w:rPr>
          <w:rFonts w:ascii="SimSun" w:eastAsia="SimSun" w:hAnsi="SimSun" w:cs="SimSun" w:hint="eastAsia"/>
          <w:color w:val="0D0D0D"/>
          <w:kern w:val="0"/>
          <w:sz w:val="24"/>
        </w:rPr>
        <w:t>市值十分之一的公司都没有出现。所以难怪在过去十年里，美国标准普尔500指数的年平均回报率是欧洲斯托克600指数的1.5倍。</w:t>
      </w: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olor w:val="0D0D0D"/>
          <w:kern w:val="0"/>
          <w:sz w:val="28"/>
          <w:szCs w:val="28"/>
        </w:rPr>
        <w:t xml:space="preserve">There is just one problem with this story. It is the hand-waving with which your </w:t>
      </w:r>
      <w:r w:rsidR="00A546E8" w:rsidRPr="00BC7A65">
        <w:rPr>
          <w:rFonts w:ascii="Times New Roman" w:eastAsia="Times New Roman" w:hAnsi="Times New Roman" w:cs="Times New Roman"/>
          <w:color w:val="0D0D0D"/>
          <w:kern w:val="0"/>
          <w:sz w:val="28"/>
          <w:szCs w:val="28"/>
        </w:rPr>
        <w:fldChar w:fldCharType="begin"/>
      </w:r>
      <w:r w:rsidR="00A546E8" w:rsidRPr="00BC7A65">
        <w:rPr>
          <w:rFonts w:ascii="Times New Roman" w:eastAsia="Times New Roman" w:hAnsi="Times New Roman" w:cs="Times New Roman"/>
          <w:color w:val="0D0D0D"/>
          <w:kern w:val="0"/>
          <w:sz w:val="28"/>
          <w:szCs w:val="28"/>
        </w:rPr>
        <w:instrText xml:space="preserve"> INCLUDEPICTURE "https://www.economist.com/cdn-cgi/image/width=1424,quality=80,format=auto/content-assets/images/20231111_FNC357.png" \* MERGEFORMATINET </w:instrText>
      </w:r>
      <w:r w:rsidR="00A546E8" w:rsidRPr="00BC7A65">
        <w:rPr>
          <w:rFonts w:ascii="Times New Roman" w:eastAsia="Times New Roman" w:hAnsi="Times New Roman" w:cs="Times New Roman"/>
          <w:color w:val="0D0D0D"/>
          <w:kern w:val="0"/>
          <w:sz w:val="28"/>
          <w:szCs w:val="28"/>
        </w:rPr>
        <w:fldChar w:fldCharType="separate"/>
      </w:r>
      <w:r w:rsidR="00A546E8" w:rsidRPr="006765D6">
        <w:rPr>
          <w:rFonts w:ascii="Times New Roman" w:eastAsia="Times New Roman" w:hAnsi="Times New Roman" w:cs="Times New Roman"/>
          <w:noProof/>
          <w:color w:val="0D0D0D"/>
          <w:kern w:val="0"/>
          <w:sz w:val="28"/>
          <w:szCs w:val="28"/>
        </w:rPr>
        <w:drawing>
          <wp:anchor distT="0" distB="0" distL="114300" distR="114300" simplePos="0" relativeHeight="251658240" behindDoc="0" locked="0" layoutInCell="1" allowOverlap="1" wp14:anchorId="23C8D17C">
            <wp:simplePos x="0" y="0"/>
            <wp:positionH relativeFrom="column">
              <wp:posOffset>0</wp:posOffset>
            </wp:positionH>
            <wp:positionV relativeFrom="paragraph">
              <wp:posOffset>463550</wp:posOffset>
            </wp:positionV>
            <wp:extent cx="2222500" cy="2372360"/>
            <wp:effectExtent l="0" t="0" r="0" b="2540"/>
            <wp:wrapThrough wrapText="bothSides">
              <wp:wrapPolygon edited="0">
                <wp:start x="0" y="0"/>
                <wp:lineTo x="0" y="21507"/>
                <wp:lineTo x="21477" y="21507"/>
                <wp:lineTo x="2147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500" cy="237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46E8" w:rsidRPr="00BC7A65">
        <w:rPr>
          <w:rFonts w:ascii="Times New Roman" w:eastAsia="Times New Roman" w:hAnsi="Times New Roman" w:cs="Times New Roman"/>
          <w:color w:val="0D0D0D"/>
          <w:kern w:val="0"/>
          <w:sz w:val="28"/>
          <w:szCs w:val="28"/>
        </w:rPr>
        <w:fldChar w:fldCharType="end"/>
      </w:r>
      <w:r w:rsidRPr="00BC7A65">
        <w:rPr>
          <w:rFonts w:ascii="Times New Roman" w:eastAsia="Times New Roman" w:hAnsi="Times New Roman" w:cs="Times New Roman"/>
          <w:color w:val="0D0D0D"/>
          <w:kern w:val="0"/>
          <w:sz w:val="28"/>
          <w:szCs w:val="28"/>
        </w:rPr>
        <w:t>columnist cast the magnificent seven as being somehow emblematic of America’s entire stockmarket. This conflation is made easily and often. It is partly justified by the huge chunk of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xml:space="preserve"> 500 that the magnificent seven now comprise: measured by market value, they account for 29% of the index, and hence of its performance. Yet they are still just seven firms out of 500. And </w:t>
      </w:r>
      <w:r w:rsidRPr="00BC7A65">
        <w:rPr>
          <w:rFonts w:ascii="Times New Roman" w:eastAsia="Times New Roman" w:hAnsi="Times New Roman" w:cs="Times New Roman"/>
          <w:color w:val="0D0D0D"/>
          <w:kern w:val="0"/>
          <w:sz w:val="28"/>
          <w:szCs w:val="28"/>
        </w:rPr>
        <w:lastRenderedPageBreak/>
        <w:t>the remaining 98.6% of companies, it turns out, are not well characterised by seven tech prodigies that have moved fast, broken things and conquered the world in a matter of decades. Here, then, is your guide to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w:t>
      </w:r>
    </w:p>
    <w:p w:rsidR="007E5201" w:rsidRPr="00BC7A65" w:rsidRDefault="007E5201" w:rsidP="006765D6">
      <w:pPr>
        <w:widowControl/>
        <w:spacing w:before="100" w:beforeAutospacing="1" w:after="100" w:afterAutospacing="1" w:line="480" w:lineRule="exact"/>
        <w:textAlignment w:val="baseline"/>
        <w:rPr>
          <w:rFonts w:ascii="SimSun" w:eastAsia="SimSun" w:hAnsi="SimSun" w:cs="SimSun"/>
          <w:color w:val="0D0D0D"/>
          <w:kern w:val="0"/>
          <w:sz w:val="24"/>
        </w:rPr>
      </w:pPr>
      <w:r w:rsidRPr="000D1F1E">
        <w:rPr>
          <w:rFonts w:ascii="SimSun" w:eastAsia="SimSun" w:hAnsi="SimSun" w:cs="SimSun" w:hint="eastAsia"/>
          <w:color w:val="0D0D0D"/>
          <w:kern w:val="0"/>
          <w:sz w:val="24"/>
        </w:rPr>
        <w:t>这个故事</w:t>
      </w:r>
      <w:r w:rsidR="00250FE7">
        <w:rPr>
          <w:rFonts w:ascii="SimSun" w:eastAsia="SimSun" w:hAnsi="SimSun" w:cs="SimSun" w:hint="eastAsia"/>
          <w:color w:val="0D0D0D"/>
          <w:kern w:val="0"/>
          <w:sz w:val="24"/>
        </w:rPr>
        <w:t>很美好，仅仅</w:t>
      </w:r>
      <w:r w:rsidRPr="000D1F1E">
        <w:rPr>
          <w:rFonts w:ascii="SimSun" w:eastAsia="SimSun" w:hAnsi="SimSun" w:cs="SimSun" w:hint="eastAsia"/>
          <w:color w:val="0D0D0D"/>
          <w:kern w:val="0"/>
          <w:sz w:val="24"/>
        </w:rPr>
        <w:t>只有一个问题。就是专栏作家</w:t>
      </w:r>
      <w:r w:rsidRPr="000D1F1E">
        <w:rPr>
          <w:rFonts w:ascii="SimSun" w:eastAsia="SimSun" w:hAnsi="SimSun" w:cs="SimSun" w:hint="eastAsia"/>
          <w:color w:val="0D0D0D"/>
          <w:kern w:val="0"/>
          <w:sz w:val="24"/>
        </w:rPr>
        <w:t>往往“打手一挥”就把</w:t>
      </w:r>
      <w:r w:rsidRPr="000D1F1E">
        <w:rPr>
          <w:rFonts w:ascii="SimSun" w:eastAsia="SimSun" w:hAnsi="SimSun" w:cs="SimSun" w:hint="eastAsia"/>
          <w:color w:val="0D0D0D"/>
          <w:kern w:val="0"/>
          <w:sz w:val="24"/>
        </w:rPr>
        <w:t>七巨头</w:t>
      </w:r>
      <w:r w:rsidRPr="000D1F1E">
        <w:rPr>
          <w:rFonts w:ascii="SimSun" w:eastAsia="SimSun" w:hAnsi="SimSun" w:cs="SimSun" w:hint="eastAsia"/>
          <w:color w:val="0D0D0D"/>
          <w:kern w:val="0"/>
          <w:sz w:val="24"/>
        </w:rPr>
        <w:t>与</w:t>
      </w:r>
      <w:r w:rsidRPr="000D1F1E">
        <w:rPr>
          <w:rFonts w:ascii="SimSun" w:eastAsia="SimSun" w:hAnsi="SimSun" w:cs="SimSun" w:hint="eastAsia"/>
          <w:color w:val="0D0D0D"/>
          <w:kern w:val="0"/>
          <w:sz w:val="24"/>
        </w:rPr>
        <w:t>美国整个股票市场</w:t>
      </w:r>
      <w:r w:rsidRPr="000D1F1E">
        <w:rPr>
          <w:rFonts w:ascii="SimSun" w:eastAsia="SimSun" w:hAnsi="SimSun" w:cs="SimSun" w:hint="eastAsia"/>
          <w:color w:val="0D0D0D"/>
          <w:kern w:val="0"/>
          <w:sz w:val="24"/>
        </w:rPr>
        <w:t>画上等号</w:t>
      </w:r>
      <w:r w:rsidRPr="000D1F1E">
        <w:rPr>
          <w:rFonts w:ascii="SimSun" w:eastAsia="SimSun" w:hAnsi="SimSun" w:cs="SimSun" w:hint="eastAsia"/>
          <w:color w:val="0D0D0D"/>
          <w:kern w:val="0"/>
          <w:sz w:val="24"/>
        </w:rPr>
        <w:t>。这种混淆很容易而且经常发生。部分原因是七巨头如今在标准普尔500指数中所占份额</w:t>
      </w:r>
      <w:r w:rsidR="00E16DAE" w:rsidRPr="000D1F1E">
        <w:rPr>
          <w:rFonts w:ascii="SimSun" w:eastAsia="SimSun" w:hAnsi="SimSun" w:cs="SimSun" w:hint="eastAsia"/>
          <w:color w:val="0D0D0D"/>
          <w:kern w:val="0"/>
          <w:sz w:val="24"/>
        </w:rPr>
        <w:t>巨大</w:t>
      </w:r>
      <w:r w:rsidRPr="000D1F1E">
        <w:rPr>
          <w:rFonts w:ascii="SimSun" w:eastAsia="SimSun" w:hAnsi="SimSun" w:cs="SimSun" w:hint="eastAsia"/>
          <w:color w:val="0D0D0D"/>
          <w:kern w:val="0"/>
          <w:sz w:val="24"/>
        </w:rPr>
        <w:t>：</w:t>
      </w:r>
      <w:r w:rsidR="008050C0" w:rsidRPr="000D1F1E">
        <w:rPr>
          <w:rFonts w:ascii="SimSun" w:eastAsia="SimSun" w:hAnsi="SimSun" w:cs="SimSun" w:hint="eastAsia"/>
          <w:color w:val="0D0D0D"/>
          <w:kern w:val="0"/>
          <w:sz w:val="24"/>
        </w:rPr>
        <w:t>其市值占所有成分股总市值的2</w:t>
      </w:r>
      <w:r w:rsidR="008050C0" w:rsidRPr="000D1F1E">
        <w:rPr>
          <w:rFonts w:ascii="SimSun" w:eastAsia="SimSun" w:hAnsi="SimSun" w:cs="SimSun"/>
          <w:color w:val="0D0D0D"/>
          <w:kern w:val="0"/>
          <w:sz w:val="24"/>
        </w:rPr>
        <w:t>9%</w:t>
      </w:r>
      <w:r w:rsidRPr="000D1F1E">
        <w:rPr>
          <w:rFonts w:ascii="SimSun" w:eastAsia="SimSun" w:hAnsi="SimSun" w:cs="SimSun" w:hint="eastAsia"/>
          <w:color w:val="0D0D0D"/>
          <w:kern w:val="0"/>
          <w:sz w:val="24"/>
        </w:rPr>
        <w:t>，</w:t>
      </w:r>
      <w:r w:rsidR="008050C0" w:rsidRPr="000D1F1E">
        <w:rPr>
          <w:rFonts w:ascii="SimSun" w:eastAsia="SimSun" w:hAnsi="SimSun" w:cs="SimSun" w:hint="eastAsia"/>
          <w:color w:val="0D0D0D"/>
          <w:kern w:val="0"/>
          <w:sz w:val="24"/>
        </w:rPr>
        <w:t>因此能很大程度上左右指数涨跌</w:t>
      </w:r>
      <w:r w:rsidRPr="000D1F1E">
        <w:rPr>
          <w:rFonts w:ascii="SimSun" w:eastAsia="SimSun" w:hAnsi="SimSun" w:cs="SimSun" w:hint="eastAsia"/>
          <w:color w:val="0D0D0D"/>
          <w:kern w:val="0"/>
          <w:sz w:val="24"/>
        </w:rPr>
        <w:t>。然而，它们仅仅是500家公司中的七家。剩下的98.6%的公司，事实证明，</w:t>
      </w:r>
      <w:r w:rsidR="006638B0" w:rsidRPr="000D1F1E">
        <w:rPr>
          <w:rFonts w:ascii="SimSun" w:eastAsia="SimSun" w:hAnsi="SimSun" w:cs="SimSun" w:hint="eastAsia"/>
          <w:color w:val="0D0D0D"/>
          <w:kern w:val="0"/>
          <w:sz w:val="24"/>
        </w:rPr>
        <w:t>这</w:t>
      </w:r>
      <w:r w:rsidRPr="000D1F1E">
        <w:rPr>
          <w:rFonts w:ascii="SimSun" w:eastAsia="SimSun" w:hAnsi="SimSun" w:cs="SimSun" w:hint="eastAsia"/>
          <w:color w:val="0D0D0D"/>
          <w:kern w:val="0"/>
          <w:sz w:val="24"/>
        </w:rPr>
        <w:t>七个</w:t>
      </w:r>
      <w:r w:rsidR="006638B0" w:rsidRPr="000D1F1E">
        <w:rPr>
          <w:rFonts w:ascii="SimSun" w:eastAsia="SimSun" w:hAnsi="SimSun" w:cs="SimSun" w:hint="eastAsia"/>
          <w:color w:val="0D0D0D"/>
          <w:kern w:val="0"/>
          <w:sz w:val="24"/>
        </w:rPr>
        <w:t>在短短十年内</w:t>
      </w:r>
      <w:r w:rsidRPr="000D1F1E">
        <w:rPr>
          <w:rFonts w:ascii="SimSun" w:eastAsia="SimSun" w:hAnsi="SimSun" w:cs="SimSun" w:hint="eastAsia"/>
          <w:color w:val="0D0D0D"/>
          <w:kern w:val="0"/>
          <w:sz w:val="24"/>
        </w:rPr>
        <w:t>快速发展、颠覆</w:t>
      </w:r>
      <w:r w:rsidR="006638B0" w:rsidRPr="000D1F1E">
        <w:rPr>
          <w:rFonts w:ascii="SimSun" w:eastAsia="SimSun" w:hAnsi="SimSun" w:cs="SimSun" w:hint="eastAsia"/>
          <w:color w:val="0D0D0D"/>
          <w:kern w:val="0"/>
          <w:sz w:val="24"/>
        </w:rPr>
        <w:t>市场、征服世界的科技奇</w:t>
      </w:r>
      <w:r w:rsidR="00CC014A">
        <w:rPr>
          <w:rFonts w:ascii="SimSun" w:eastAsia="SimSun" w:hAnsi="SimSun" w:cs="SimSun" w:hint="eastAsia"/>
          <w:color w:val="0D0D0D"/>
          <w:kern w:val="0"/>
          <w:sz w:val="24"/>
        </w:rPr>
        <w:t>才</w:t>
      </w:r>
      <w:r w:rsidR="006638B0" w:rsidRPr="000D1F1E">
        <w:rPr>
          <w:rFonts w:ascii="SimSun" w:eastAsia="SimSun" w:hAnsi="SimSun" w:cs="SimSun" w:hint="eastAsia"/>
          <w:color w:val="0D0D0D"/>
          <w:kern w:val="0"/>
          <w:sz w:val="24"/>
        </w:rPr>
        <w:t>并不能代表剩下9</w:t>
      </w:r>
      <w:r w:rsidR="006638B0" w:rsidRPr="000D1F1E">
        <w:rPr>
          <w:rFonts w:ascii="SimSun" w:eastAsia="SimSun" w:hAnsi="SimSun" w:cs="SimSun"/>
          <w:color w:val="0D0D0D"/>
          <w:kern w:val="0"/>
          <w:sz w:val="24"/>
        </w:rPr>
        <w:t>8.6</w:t>
      </w:r>
      <w:r w:rsidR="006638B0" w:rsidRPr="000D1F1E">
        <w:rPr>
          <w:rFonts w:ascii="SimSun" w:eastAsia="SimSun" w:hAnsi="SimSun" w:cs="SimSun" w:hint="eastAsia"/>
          <w:color w:val="0D0D0D"/>
          <w:kern w:val="0"/>
          <w:sz w:val="24"/>
        </w:rPr>
        <w:t>%的公司</w:t>
      </w:r>
      <w:r w:rsidRPr="000D1F1E">
        <w:rPr>
          <w:rFonts w:ascii="SimSun" w:eastAsia="SimSun" w:hAnsi="SimSun" w:cs="SimSun" w:hint="eastAsia"/>
          <w:color w:val="0D0D0D"/>
          <w:kern w:val="0"/>
          <w:sz w:val="24"/>
        </w:rPr>
        <w:t>。因此，</w:t>
      </w:r>
      <w:r w:rsidR="008D75A6" w:rsidRPr="000D1F1E">
        <w:rPr>
          <w:rFonts w:ascii="SimSun" w:eastAsia="SimSun" w:hAnsi="SimSun" w:cs="SimSun" w:hint="eastAsia"/>
          <w:color w:val="0D0D0D"/>
          <w:kern w:val="0"/>
          <w:sz w:val="24"/>
        </w:rPr>
        <w:t>我们将为您介绍</w:t>
      </w:r>
      <w:r w:rsidRPr="000D1F1E">
        <w:rPr>
          <w:rFonts w:ascii="SimSun" w:eastAsia="SimSun" w:hAnsi="SimSun" w:cs="SimSun" w:hint="eastAsia"/>
          <w:color w:val="0D0D0D"/>
          <w:kern w:val="0"/>
          <w:sz w:val="24"/>
        </w:rPr>
        <w:t>标准普尔493的</w:t>
      </w:r>
      <w:r w:rsidR="008D75A6" w:rsidRPr="000D1F1E">
        <w:rPr>
          <w:rFonts w:ascii="SimSun" w:eastAsia="SimSun" w:hAnsi="SimSun" w:cs="SimSun" w:hint="eastAsia"/>
          <w:color w:val="0D0D0D"/>
          <w:kern w:val="0"/>
          <w:sz w:val="24"/>
        </w:rPr>
        <w:t>指数</w:t>
      </w:r>
      <w:r w:rsidRPr="000D1F1E">
        <w:rPr>
          <w:rFonts w:ascii="SimSun" w:eastAsia="SimSun" w:hAnsi="SimSun" w:cs="SimSun" w:hint="eastAsia"/>
          <w:color w:val="0D0D0D"/>
          <w:kern w:val="0"/>
          <w:sz w:val="24"/>
        </w:rPr>
        <w:t>。</w:t>
      </w: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olor w:val="0D0D0D"/>
          <w:kern w:val="0"/>
          <w:sz w:val="28"/>
          <w:szCs w:val="28"/>
        </w:rPr>
        <w:t>Most obviously, having discarded the tech behemoths, our new index now looks substantially older. Consider its biggest companies. At the top of the list is Berkshire Hathaway, an investment firm led by two nonagenarians, and Eli Lilly, a pharmaceuticals-maker established in the 19th century by a veteran of America’s civil war. Further down is JPMorgan Chase, a bank that made its name before the founding of the Federal Reserve. That is not to suggest that these firms do not innovate. All of them, by definition, have remained highly successful, even if none has crossed the $1trn threshold. Whippersnappers, though, they are not.</w:t>
      </w:r>
    </w:p>
    <w:p w:rsidR="00E5674C" w:rsidRPr="00BC7A65" w:rsidRDefault="00E5674C" w:rsidP="006765D6">
      <w:pPr>
        <w:widowControl/>
        <w:spacing w:before="100" w:beforeAutospacing="1" w:after="100" w:afterAutospacing="1" w:line="480" w:lineRule="exact"/>
        <w:textAlignment w:val="baseline"/>
        <w:rPr>
          <w:rFonts w:ascii="SimSun" w:eastAsia="SimSun" w:hAnsi="SimSun" w:cs="SimSun"/>
          <w:color w:val="0D0D0D"/>
          <w:kern w:val="0"/>
          <w:sz w:val="24"/>
        </w:rPr>
      </w:pPr>
      <w:r w:rsidRPr="00F97EAA">
        <w:rPr>
          <w:rFonts w:ascii="SimSun" w:eastAsia="SimSun" w:hAnsi="SimSun" w:cs="SimSun" w:hint="eastAsia"/>
          <w:color w:val="0D0D0D"/>
          <w:kern w:val="0"/>
          <w:sz w:val="24"/>
        </w:rPr>
        <w:t>首先，显而易见的是，</w:t>
      </w:r>
      <w:r w:rsidR="00887B53" w:rsidRPr="00F97EAA">
        <w:rPr>
          <w:rFonts w:ascii="SimSun" w:eastAsia="SimSun" w:hAnsi="SimSun" w:cs="SimSun" w:hint="eastAsia"/>
          <w:color w:val="0D0D0D"/>
          <w:kern w:val="0"/>
          <w:sz w:val="24"/>
        </w:rPr>
        <w:t>踢除</w:t>
      </w:r>
      <w:r w:rsidRPr="00F97EAA">
        <w:rPr>
          <w:rFonts w:ascii="SimSun" w:eastAsia="SimSun" w:hAnsi="SimSun" w:cs="SimSun" w:hint="eastAsia"/>
          <w:color w:val="0D0D0D"/>
          <w:kern w:val="0"/>
          <w:sz w:val="24"/>
        </w:rPr>
        <w:t>了科技巨头后，我们的新指数看起来更加古老。让我们来看看其中最大的</w:t>
      </w:r>
      <w:r w:rsidR="006A4DA9" w:rsidRPr="00F97EAA">
        <w:rPr>
          <w:rFonts w:ascii="SimSun" w:eastAsia="SimSun" w:hAnsi="SimSun" w:cs="SimSun" w:hint="eastAsia"/>
          <w:color w:val="0D0D0D"/>
          <w:kern w:val="0"/>
          <w:sz w:val="24"/>
        </w:rPr>
        <w:t>几家</w:t>
      </w:r>
      <w:r w:rsidRPr="00F97EAA">
        <w:rPr>
          <w:rFonts w:ascii="SimSun" w:eastAsia="SimSun" w:hAnsi="SimSun" w:cs="SimSun" w:hint="eastAsia"/>
          <w:color w:val="0D0D0D"/>
          <w:kern w:val="0"/>
          <w:sz w:val="24"/>
        </w:rPr>
        <w:t>公司。</w:t>
      </w:r>
      <w:r w:rsidR="00931B98" w:rsidRPr="00F97EAA">
        <w:rPr>
          <w:rFonts w:ascii="SimSun" w:eastAsia="SimSun" w:hAnsi="SimSun" w:cs="SimSun" w:hint="eastAsia"/>
          <w:color w:val="0D0D0D"/>
          <w:kern w:val="0"/>
          <w:sz w:val="24"/>
        </w:rPr>
        <w:t>位列</w:t>
      </w:r>
      <w:r w:rsidRPr="00F97EAA">
        <w:rPr>
          <w:rFonts w:ascii="SimSun" w:eastAsia="SimSun" w:hAnsi="SimSun" w:cs="SimSun" w:hint="eastAsia"/>
          <w:color w:val="0D0D0D"/>
          <w:kern w:val="0"/>
          <w:sz w:val="24"/>
        </w:rPr>
        <w:t>榜首的是伯克希尔·哈撒韦，一家由两位九旬老人领导的投资公司，以及伊莉莉制药公司，一家由一位美国内战老兵于19世纪创立的制药公司。再往下是摩根大通银行，这家银行</w:t>
      </w:r>
      <w:r w:rsidR="00C90391" w:rsidRPr="00F97EAA">
        <w:rPr>
          <w:rFonts w:ascii="SimSun" w:eastAsia="SimSun" w:hAnsi="SimSun" w:cs="SimSun" w:hint="eastAsia"/>
          <w:color w:val="0D0D0D"/>
          <w:kern w:val="0"/>
          <w:sz w:val="24"/>
        </w:rPr>
        <w:t>甚至在</w:t>
      </w:r>
      <w:r w:rsidRPr="00F97EAA">
        <w:rPr>
          <w:rFonts w:ascii="SimSun" w:eastAsia="SimSun" w:hAnsi="SimSun" w:cs="SimSun" w:hint="eastAsia"/>
          <w:color w:val="0D0D0D"/>
          <w:kern w:val="0"/>
          <w:sz w:val="24"/>
        </w:rPr>
        <w:t>美联储成立之前就</w:t>
      </w:r>
      <w:r w:rsidR="00C90391" w:rsidRPr="00F97EAA">
        <w:rPr>
          <w:rFonts w:ascii="SimSun" w:eastAsia="SimSun" w:hAnsi="SimSun" w:cs="SimSun" w:hint="eastAsia"/>
          <w:color w:val="0D0D0D"/>
          <w:kern w:val="0"/>
          <w:sz w:val="24"/>
        </w:rPr>
        <w:t>已名声在外</w:t>
      </w:r>
      <w:r w:rsidRPr="00F97EAA">
        <w:rPr>
          <w:rFonts w:ascii="SimSun" w:eastAsia="SimSun" w:hAnsi="SimSun" w:cs="SimSun" w:hint="eastAsia"/>
          <w:color w:val="0D0D0D"/>
          <w:kern w:val="0"/>
          <w:sz w:val="24"/>
        </w:rPr>
        <w:t>。</w:t>
      </w:r>
      <w:r w:rsidR="00087DAB" w:rsidRPr="00F97EAA">
        <w:rPr>
          <w:rFonts w:ascii="SimSun" w:eastAsia="SimSun" w:hAnsi="SimSun" w:cs="SimSun" w:hint="eastAsia"/>
          <w:color w:val="0D0D0D"/>
          <w:kern w:val="0"/>
          <w:sz w:val="24"/>
        </w:rPr>
        <w:t>所有这些公司都是的的确确的成功企业</w:t>
      </w:r>
      <w:r w:rsidRPr="00F97EAA">
        <w:rPr>
          <w:rFonts w:ascii="SimSun" w:eastAsia="SimSun" w:hAnsi="SimSun" w:cs="SimSun" w:hint="eastAsia"/>
          <w:color w:val="0D0D0D"/>
          <w:kern w:val="0"/>
          <w:sz w:val="24"/>
        </w:rPr>
        <w:t>，即使没有一家公司</w:t>
      </w:r>
      <w:r w:rsidR="00AF7D53" w:rsidRPr="00F97EAA">
        <w:rPr>
          <w:rFonts w:ascii="SimSun" w:eastAsia="SimSun" w:hAnsi="SimSun" w:cs="SimSun" w:hint="eastAsia"/>
          <w:color w:val="0D0D0D"/>
          <w:kern w:val="0"/>
          <w:sz w:val="24"/>
        </w:rPr>
        <w:t>的市值</w:t>
      </w:r>
      <w:r w:rsidRPr="00F97EAA">
        <w:rPr>
          <w:rFonts w:ascii="SimSun" w:eastAsia="SimSun" w:hAnsi="SimSun" w:cs="SimSun" w:hint="eastAsia"/>
          <w:color w:val="0D0D0D"/>
          <w:kern w:val="0"/>
          <w:sz w:val="24"/>
        </w:rPr>
        <w:t>突破了1万亿美元的门槛。但它们并不是</w:t>
      </w:r>
      <w:r w:rsidR="00087DAB" w:rsidRPr="00F97EAA">
        <w:rPr>
          <w:rFonts w:ascii="SimSun" w:eastAsia="SimSun" w:hAnsi="SimSun" w:cs="SimSun" w:hint="eastAsia"/>
          <w:color w:val="0D0D0D"/>
          <w:kern w:val="0"/>
          <w:sz w:val="24"/>
        </w:rPr>
        <w:t>初生牛犊</w:t>
      </w:r>
      <w:r w:rsidRPr="00F97EAA">
        <w:rPr>
          <w:rFonts w:ascii="SimSun" w:eastAsia="SimSun" w:hAnsi="SimSun" w:cs="SimSun" w:hint="eastAsia"/>
          <w:color w:val="0D0D0D"/>
          <w:kern w:val="0"/>
          <w:sz w:val="24"/>
        </w:rPr>
        <w:t>。</w:t>
      </w: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olor w:val="0D0D0D"/>
          <w:kern w:val="0"/>
          <w:sz w:val="28"/>
          <w:szCs w:val="28"/>
        </w:rPr>
        <w:lastRenderedPageBreak/>
        <w:t>As a result of this maturity,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 is less susceptible to the market’s changing mood (see chart). This is a double-edged sword. On the plus side, it offered protection during the crash of 2022. The more established business models of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 companies started the year with less hype than those of the magnificent seven, leaving them less vulnerable when the hype duly evaporated. Meanwhile, a smaller proportion of their value came from the promise of distant future earnings—the present value of which fell dramatically as interest-rate expectations soared. The net effect was that, while the magnificent seven together lost 41% of their value,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 lost just 12%.</w:t>
      </w:r>
    </w:p>
    <w:p w:rsidR="00A96E6E" w:rsidRPr="00BC7A65" w:rsidRDefault="00A96E6E" w:rsidP="006765D6">
      <w:pPr>
        <w:widowControl/>
        <w:spacing w:before="100" w:beforeAutospacing="1" w:after="100" w:afterAutospacing="1" w:line="480" w:lineRule="exact"/>
        <w:textAlignment w:val="baseline"/>
        <w:rPr>
          <w:rFonts w:ascii="SimSun" w:eastAsia="SimSun" w:hAnsi="SimSun" w:cs="SimSun"/>
          <w:color w:val="0D0D0D"/>
          <w:kern w:val="0"/>
          <w:sz w:val="24"/>
        </w:rPr>
      </w:pPr>
      <w:r w:rsidRPr="00E12A33">
        <w:rPr>
          <w:rFonts w:ascii="SimSun" w:eastAsia="SimSun" w:hAnsi="SimSun" w:cs="SimSun" w:hint="eastAsia"/>
          <w:color w:val="0D0D0D"/>
          <w:kern w:val="0"/>
          <w:sz w:val="24"/>
        </w:rPr>
        <w:t>也正是因为这些公司的成熟性</w:t>
      </w:r>
      <w:r w:rsidRPr="00E12A33">
        <w:rPr>
          <w:rFonts w:ascii="SimSun" w:eastAsia="SimSun" w:hAnsi="SimSun" w:cs="SimSun" w:hint="eastAsia"/>
          <w:color w:val="0D0D0D"/>
          <w:kern w:val="0"/>
          <w:sz w:val="24"/>
        </w:rPr>
        <w:t>，标准普尔493指数对市场的情绪变化不太敏感（见图表）。这是一把双刃剑。</w:t>
      </w:r>
      <w:r w:rsidR="00EF3DAF" w:rsidRPr="00E12A33">
        <w:rPr>
          <w:rFonts w:ascii="SimSun" w:eastAsia="SimSun" w:hAnsi="SimSun" w:cs="SimSun" w:hint="eastAsia"/>
          <w:color w:val="0D0D0D"/>
          <w:kern w:val="0"/>
          <w:sz w:val="24"/>
        </w:rPr>
        <w:t>好的方面是</w:t>
      </w:r>
      <w:r w:rsidRPr="00E12A33">
        <w:rPr>
          <w:rFonts w:ascii="SimSun" w:eastAsia="SimSun" w:hAnsi="SimSun" w:cs="SimSun" w:hint="eastAsia"/>
          <w:color w:val="0D0D0D"/>
          <w:kern w:val="0"/>
          <w:sz w:val="24"/>
        </w:rPr>
        <w:t>，</w:t>
      </w:r>
      <w:r w:rsidR="00BF7E02" w:rsidRPr="00E12A33">
        <w:rPr>
          <w:rFonts w:ascii="SimSun" w:eastAsia="SimSun" w:hAnsi="SimSun" w:cs="SimSun" w:hint="eastAsia"/>
          <w:color w:val="0D0D0D"/>
          <w:kern w:val="0"/>
          <w:sz w:val="24"/>
        </w:rPr>
        <w:t>使他们在</w:t>
      </w:r>
      <w:r w:rsidRPr="00E12A33">
        <w:rPr>
          <w:rFonts w:ascii="SimSun" w:eastAsia="SimSun" w:hAnsi="SimSun" w:cs="SimSun" w:hint="eastAsia"/>
          <w:color w:val="0D0D0D"/>
          <w:kern w:val="0"/>
          <w:sz w:val="24"/>
        </w:rPr>
        <w:t>2022年的崩盘中</w:t>
      </w:r>
      <w:r w:rsidR="00BF7E02" w:rsidRPr="00E12A33">
        <w:rPr>
          <w:rFonts w:ascii="SimSun" w:eastAsia="SimSun" w:hAnsi="SimSun" w:cs="SimSun" w:hint="eastAsia"/>
          <w:color w:val="0D0D0D"/>
          <w:kern w:val="0"/>
          <w:sz w:val="24"/>
        </w:rPr>
        <w:t>得到</w:t>
      </w:r>
      <w:r w:rsidRPr="00E12A33">
        <w:rPr>
          <w:rFonts w:ascii="SimSun" w:eastAsia="SimSun" w:hAnsi="SimSun" w:cs="SimSun" w:hint="eastAsia"/>
          <w:color w:val="0D0D0D"/>
          <w:kern w:val="0"/>
          <w:sz w:val="24"/>
        </w:rPr>
        <w:t>了保护。标准普尔493公司更成熟的商业模式</w:t>
      </w:r>
      <w:r w:rsidR="003B6538">
        <w:rPr>
          <w:rFonts w:ascii="SimSun" w:eastAsia="SimSun" w:hAnsi="SimSun" w:cs="SimSun" w:hint="eastAsia"/>
          <w:color w:val="0D0D0D"/>
          <w:kern w:val="0"/>
          <w:sz w:val="24"/>
        </w:rPr>
        <w:t>受到的炒作</w:t>
      </w:r>
      <w:r w:rsidRPr="00E12A33">
        <w:rPr>
          <w:rFonts w:ascii="SimSun" w:eastAsia="SimSun" w:hAnsi="SimSun" w:cs="SimSun" w:hint="eastAsia"/>
          <w:color w:val="0D0D0D"/>
          <w:kern w:val="0"/>
          <w:sz w:val="24"/>
        </w:rPr>
        <w:t>比</w:t>
      </w:r>
      <w:r w:rsidR="00244815" w:rsidRPr="00E12A33">
        <w:rPr>
          <w:rFonts w:ascii="SimSun" w:eastAsia="SimSun" w:hAnsi="SimSun" w:cs="SimSun" w:hint="eastAsia"/>
          <w:color w:val="0D0D0D"/>
          <w:kern w:val="0"/>
          <w:sz w:val="24"/>
        </w:rPr>
        <w:t>七</w:t>
      </w:r>
      <w:r w:rsidRPr="00E12A33">
        <w:rPr>
          <w:rFonts w:ascii="SimSun" w:eastAsia="SimSun" w:hAnsi="SimSun" w:cs="SimSun" w:hint="eastAsia"/>
          <w:color w:val="0D0D0D"/>
          <w:kern w:val="0"/>
          <w:sz w:val="24"/>
        </w:rPr>
        <w:t>巨头在年初时</w:t>
      </w:r>
      <w:r w:rsidR="005741B6">
        <w:rPr>
          <w:rFonts w:ascii="SimSun" w:eastAsia="SimSun" w:hAnsi="SimSun" w:cs="SimSun" w:hint="eastAsia"/>
          <w:color w:val="0D0D0D"/>
          <w:kern w:val="0"/>
          <w:sz w:val="24"/>
        </w:rPr>
        <w:t>炒</w:t>
      </w:r>
      <w:r w:rsidRPr="00E12A33">
        <w:rPr>
          <w:rFonts w:ascii="SimSun" w:eastAsia="SimSun" w:hAnsi="SimSun" w:cs="SimSun" w:hint="eastAsia"/>
          <w:color w:val="0D0D0D"/>
          <w:kern w:val="0"/>
          <w:sz w:val="24"/>
        </w:rPr>
        <w:t>作</w:t>
      </w:r>
      <w:r w:rsidR="003B6538">
        <w:rPr>
          <w:rFonts w:ascii="SimSun" w:eastAsia="SimSun" w:hAnsi="SimSun" w:cs="SimSun" w:hint="eastAsia"/>
          <w:color w:val="0D0D0D"/>
          <w:kern w:val="0"/>
          <w:sz w:val="24"/>
        </w:rPr>
        <w:t>更</w:t>
      </w:r>
      <w:r w:rsidRPr="00E12A33">
        <w:rPr>
          <w:rFonts w:ascii="SimSun" w:eastAsia="SimSun" w:hAnsi="SimSun" w:cs="SimSun" w:hint="eastAsia"/>
          <w:color w:val="0D0D0D"/>
          <w:kern w:val="0"/>
          <w:sz w:val="24"/>
        </w:rPr>
        <w:t>少，当这种炒作逐渐消失时，它们相对</w:t>
      </w:r>
      <w:r w:rsidR="00BF7745">
        <w:rPr>
          <w:rFonts w:ascii="SimSun" w:eastAsia="SimSun" w:hAnsi="SimSun" w:cs="SimSun" w:hint="eastAsia"/>
          <w:color w:val="0D0D0D"/>
          <w:kern w:val="0"/>
          <w:sz w:val="24"/>
        </w:rPr>
        <w:t>没那么</w:t>
      </w:r>
      <w:r w:rsidRPr="00E12A33">
        <w:rPr>
          <w:rFonts w:ascii="SimSun" w:eastAsia="SimSun" w:hAnsi="SimSun" w:cs="SimSun" w:hint="eastAsia"/>
          <w:color w:val="0D0D0D"/>
          <w:kern w:val="0"/>
          <w:sz w:val="24"/>
        </w:rPr>
        <w:t>容易受到影响。与此同时，</w:t>
      </w:r>
      <w:r w:rsidR="00E435D7" w:rsidRPr="00E12A33">
        <w:rPr>
          <w:rFonts w:ascii="SimSun" w:eastAsia="SimSun" w:hAnsi="SimSun" w:cs="SimSun" w:hint="eastAsia"/>
          <w:color w:val="0D0D0D"/>
          <w:kern w:val="0"/>
          <w:sz w:val="24"/>
        </w:rPr>
        <w:t>它们市值中只有一小部分是来源于对远期收益的承诺</w:t>
      </w:r>
      <w:r w:rsidRPr="00E12A33">
        <w:rPr>
          <w:rFonts w:ascii="SimSun" w:eastAsia="SimSun" w:hAnsi="SimSun" w:cs="SimSun" w:hint="eastAsia"/>
          <w:color w:val="0D0D0D"/>
          <w:kern w:val="0"/>
          <w:sz w:val="24"/>
        </w:rPr>
        <w:t>，而随着利率预期飙升，这些承诺的现值</w:t>
      </w:r>
      <w:r w:rsidR="00E435D7" w:rsidRPr="00E12A33">
        <w:rPr>
          <w:rFonts w:ascii="SimSun" w:eastAsia="SimSun" w:hAnsi="SimSun" w:cs="SimSun" w:hint="eastAsia"/>
          <w:color w:val="0D0D0D"/>
          <w:kern w:val="0"/>
          <w:sz w:val="24"/>
        </w:rPr>
        <w:t>会</w:t>
      </w:r>
      <w:r w:rsidRPr="00E12A33">
        <w:rPr>
          <w:rFonts w:ascii="SimSun" w:eastAsia="SimSun" w:hAnsi="SimSun" w:cs="SimSun" w:hint="eastAsia"/>
          <w:color w:val="0D0D0D"/>
          <w:kern w:val="0"/>
          <w:sz w:val="24"/>
        </w:rPr>
        <w:t>大幅下降。</w:t>
      </w:r>
      <w:r w:rsidR="001B1103" w:rsidRPr="00E12A33">
        <w:rPr>
          <w:rFonts w:ascii="SimSun" w:eastAsia="SimSun" w:hAnsi="SimSun" w:cs="SimSun" w:hint="eastAsia"/>
          <w:color w:val="0D0D0D"/>
          <w:kern w:val="0"/>
          <w:sz w:val="24"/>
        </w:rPr>
        <w:t>结果是</w:t>
      </w:r>
      <w:r w:rsidRPr="00E12A33">
        <w:rPr>
          <w:rFonts w:ascii="SimSun" w:eastAsia="SimSun" w:hAnsi="SimSun" w:cs="SimSun" w:hint="eastAsia"/>
          <w:color w:val="0D0D0D"/>
          <w:kern w:val="0"/>
          <w:sz w:val="24"/>
        </w:rPr>
        <w:t>，尽管七巨头的市值</w:t>
      </w:r>
      <w:r w:rsidR="00F0306B" w:rsidRPr="00E12A33">
        <w:rPr>
          <w:rFonts w:ascii="SimSun" w:eastAsia="SimSun" w:hAnsi="SimSun" w:cs="SimSun" w:hint="eastAsia"/>
          <w:color w:val="0D0D0D"/>
          <w:kern w:val="0"/>
          <w:sz w:val="24"/>
        </w:rPr>
        <w:t>蒸发</w:t>
      </w:r>
      <w:r w:rsidRPr="00E12A33">
        <w:rPr>
          <w:rFonts w:ascii="SimSun" w:eastAsia="SimSun" w:hAnsi="SimSun" w:cs="SimSun" w:hint="eastAsia"/>
          <w:color w:val="0D0D0D"/>
          <w:kern w:val="0"/>
          <w:sz w:val="24"/>
        </w:rPr>
        <w:t>了41%，标准普尔493</w:t>
      </w:r>
      <w:r w:rsidR="00F0306B" w:rsidRPr="00E12A33">
        <w:rPr>
          <w:rFonts w:ascii="SimSun" w:eastAsia="SimSun" w:hAnsi="SimSun" w:cs="SimSun" w:hint="eastAsia"/>
          <w:color w:val="0D0D0D"/>
          <w:kern w:val="0"/>
          <w:sz w:val="24"/>
        </w:rPr>
        <w:t>的市值</w:t>
      </w:r>
      <w:r w:rsidRPr="00E12A33">
        <w:rPr>
          <w:rFonts w:ascii="SimSun" w:eastAsia="SimSun" w:hAnsi="SimSun" w:cs="SimSun" w:hint="eastAsia"/>
          <w:color w:val="0D0D0D"/>
          <w:kern w:val="0"/>
          <w:sz w:val="24"/>
        </w:rPr>
        <w:t>只</w:t>
      </w:r>
      <w:r w:rsidR="00F0306B" w:rsidRPr="00E12A33">
        <w:rPr>
          <w:rFonts w:ascii="SimSun" w:eastAsia="SimSun" w:hAnsi="SimSun" w:cs="SimSun" w:hint="eastAsia"/>
          <w:color w:val="0D0D0D"/>
          <w:kern w:val="0"/>
          <w:sz w:val="24"/>
        </w:rPr>
        <w:t>蒸发</w:t>
      </w:r>
      <w:r w:rsidRPr="00E12A33">
        <w:rPr>
          <w:rFonts w:ascii="SimSun" w:eastAsia="SimSun" w:hAnsi="SimSun" w:cs="SimSun" w:hint="eastAsia"/>
          <w:color w:val="0D0D0D"/>
          <w:kern w:val="0"/>
          <w:sz w:val="24"/>
        </w:rPr>
        <w:t>了12%。</w:t>
      </w: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olor w:val="0D0D0D"/>
          <w:kern w:val="0"/>
          <w:sz w:val="28"/>
          <w:szCs w:val="28"/>
        </w:rPr>
        <w:t>This year, however, the tables have turned. On the face of it, the old-timers ought to have done well, since the American economy has remained remarkably buoyant. This, combined with enthusiasm concerning the potential of artificial intelligence to juice their profits, led to a stellar recovery for the magnificent seven. In the first ten months of the year their share prices rose by 52%, nearly erasing the losses of 2022. By contrast, the value of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 fell by 2%.</w:t>
      </w:r>
    </w:p>
    <w:p w:rsidR="00987AFD" w:rsidRPr="00C55576" w:rsidRDefault="00987AFD" w:rsidP="00987AFD">
      <w:pPr>
        <w:widowControl/>
        <w:spacing w:before="100" w:beforeAutospacing="1" w:after="100" w:afterAutospacing="1" w:line="480" w:lineRule="exact"/>
        <w:textAlignment w:val="baseline"/>
        <w:rPr>
          <w:rFonts w:ascii="SimSun" w:eastAsia="SimSun" w:hAnsi="SimSun" w:cs="SimSun" w:hint="eastAsia"/>
          <w:color w:val="0D0D0D"/>
          <w:kern w:val="0"/>
          <w:sz w:val="24"/>
        </w:rPr>
      </w:pPr>
      <w:r w:rsidRPr="00C55576">
        <w:rPr>
          <w:rFonts w:ascii="SimSun" w:eastAsia="SimSun" w:hAnsi="SimSun" w:cs="SimSun" w:hint="eastAsia"/>
          <w:color w:val="0D0D0D"/>
          <w:kern w:val="0"/>
          <w:sz w:val="24"/>
        </w:rPr>
        <w:t>然而，今年情况发生了逆转。表面上看，</w:t>
      </w:r>
      <w:r w:rsidR="00441C8C" w:rsidRPr="00C55576">
        <w:rPr>
          <w:rFonts w:ascii="SimSun" w:eastAsia="SimSun" w:hAnsi="SimSun" w:cs="SimSun" w:hint="eastAsia"/>
          <w:color w:val="0D0D0D"/>
          <w:kern w:val="0"/>
          <w:sz w:val="24"/>
        </w:rPr>
        <w:t>老牌公司理应表现不错</w:t>
      </w:r>
      <w:r w:rsidRPr="00C55576">
        <w:rPr>
          <w:rFonts w:ascii="SimSun" w:eastAsia="SimSun" w:hAnsi="SimSun" w:cs="SimSun" w:hint="eastAsia"/>
          <w:color w:val="0D0D0D"/>
          <w:kern w:val="0"/>
          <w:sz w:val="24"/>
        </w:rPr>
        <w:t>，因为美国经济一直保持着惊人的活力。加上人工智能</w:t>
      </w:r>
      <w:r w:rsidR="007E7C70">
        <w:rPr>
          <w:rFonts w:ascii="SimSun" w:eastAsia="SimSun" w:hAnsi="SimSun" w:cs="SimSun" w:hint="eastAsia"/>
          <w:color w:val="0D0D0D"/>
          <w:kern w:val="0"/>
          <w:sz w:val="24"/>
        </w:rPr>
        <w:t>带来了</w:t>
      </w:r>
      <w:r w:rsidR="00925C8A" w:rsidRPr="00C55576">
        <w:rPr>
          <w:rFonts w:ascii="SimSun" w:eastAsia="SimSun" w:hAnsi="SimSun" w:cs="SimSun" w:hint="eastAsia"/>
          <w:color w:val="0D0D0D"/>
          <w:kern w:val="0"/>
          <w:sz w:val="24"/>
        </w:rPr>
        <w:t>提升利润的乐观前景</w:t>
      </w:r>
      <w:r w:rsidRPr="00C55576">
        <w:rPr>
          <w:rFonts w:ascii="SimSun" w:eastAsia="SimSun" w:hAnsi="SimSun" w:cs="SimSun" w:hint="eastAsia"/>
          <w:color w:val="0D0D0D"/>
          <w:kern w:val="0"/>
          <w:sz w:val="24"/>
        </w:rPr>
        <w:t>，使得七巨头</w:t>
      </w:r>
      <w:r w:rsidR="005200B7" w:rsidRPr="00C55576">
        <w:rPr>
          <w:rFonts w:ascii="SimSun" w:eastAsia="SimSun" w:hAnsi="SimSun" w:cs="SimSun" w:hint="eastAsia"/>
          <w:color w:val="0D0D0D"/>
          <w:kern w:val="0"/>
          <w:sz w:val="24"/>
        </w:rPr>
        <w:t>的股票有了</w:t>
      </w:r>
      <w:r w:rsidRPr="00C55576">
        <w:rPr>
          <w:rFonts w:ascii="SimSun" w:eastAsia="SimSun" w:hAnsi="SimSun" w:cs="SimSun" w:hint="eastAsia"/>
          <w:color w:val="0D0D0D"/>
          <w:kern w:val="0"/>
          <w:sz w:val="24"/>
        </w:rPr>
        <w:t>惊人的复苏。今年前十个月，它们的股价上涨了52%，几乎抹去了2022年的损失。相比之下，标准普尔493的价值下跌了2%。</w:t>
      </w:r>
    </w:p>
    <w:p w:rsidR="00987AFD" w:rsidRPr="00BC7A65" w:rsidRDefault="00987AFD"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p>
    <w:p w:rsidR="00BC7A65"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C7A65">
        <w:rPr>
          <w:rFonts w:ascii="Times New Roman" w:eastAsia="Times New Roman" w:hAnsi="Times New Roman" w:cs="Times New Roman"/>
          <w:color w:val="0D0D0D"/>
          <w:kern w:val="0"/>
          <w:sz w:val="28"/>
          <w:szCs w:val="28"/>
        </w:rPr>
        <w:t>What to make of this bifurcation? One conclusion is that America’s tech giants have become overvalued and must eventually face a crash. Another is that, just as share prices have diverged, so too will the companies’ sales and profits, meaning that the magnificent seven really are about to leave the dinosaurs in the dust. Investors seem to choose between these hypotheses largely according to their own temperament, since traditional valuation measures such as the price-to-earnings ratio, which for the magnificent seven is roughly double that for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 lend support to both camps.</w:t>
      </w:r>
    </w:p>
    <w:p w:rsidR="002D0E19" w:rsidRPr="00A42B8E" w:rsidRDefault="00677107" w:rsidP="006765D6">
      <w:pPr>
        <w:widowControl/>
        <w:spacing w:before="100" w:beforeAutospacing="1" w:after="100" w:afterAutospacing="1" w:line="480" w:lineRule="exact"/>
        <w:textAlignment w:val="baseline"/>
        <w:rPr>
          <w:rFonts w:ascii="SimSun" w:eastAsia="SimSun" w:hAnsi="SimSun" w:cs="SimSun"/>
          <w:color w:val="0D0D0D"/>
          <w:kern w:val="0"/>
          <w:sz w:val="24"/>
        </w:rPr>
      </w:pPr>
      <w:r w:rsidRPr="00A42B8E">
        <w:rPr>
          <w:rFonts w:ascii="SimSun" w:eastAsia="SimSun" w:hAnsi="SimSun" w:cs="SimSun" w:hint="eastAsia"/>
          <w:color w:val="0D0D0D"/>
          <w:kern w:val="0"/>
          <w:sz w:val="24"/>
        </w:rPr>
        <w:t>对于这种二分现象，我们能得出什么结论呢？一种结论是，美国的科技巨头</w:t>
      </w:r>
      <w:r w:rsidR="003B064A" w:rsidRPr="00A42B8E">
        <w:rPr>
          <w:rFonts w:ascii="SimSun" w:eastAsia="SimSun" w:hAnsi="SimSun" w:cs="SimSun" w:hint="eastAsia"/>
          <w:color w:val="0D0D0D"/>
          <w:kern w:val="0"/>
          <w:sz w:val="24"/>
        </w:rPr>
        <w:t>的股价</w:t>
      </w:r>
      <w:r w:rsidRPr="00A42B8E">
        <w:rPr>
          <w:rFonts w:ascii="SimSun" w:eastAsia="SimSun" w:hAnsi="SimSun" w:cs="SimSun" w:hint="eastAsia"/>
          <w:color w:val="0D0D0D"/>
          <w:kern w:val="0"/>
          <w:sz w:val="24"/>
        </w:rPr>
        <w:t>已经</w:t>
      </w:r>
      <w:r w:rsidR="009C55C4" w:rsidRPr="00A42B8E">
        <w:rPr>
          <w:rFonts w:ascii="SimSun" w:eastAsia="SimSun" w:hAnsi="SimSun" w:cs="SimSun" w:hint="eastAsia"/>
          <w:color w:val="0D0D0D"/>
          <w:kern w:val="0"/>
          <w:sz w:val="24"/>
        </w:rPr>
        <w:t>被</w:t>
      </w:r>
      <w:r w:rsidRPr="00A42B8E">
        <w:rPr>
          <w:rFonts w:ascii="SimSun" w:eastAsia="SimSun" w:hAnsi="SimSun" w:cs="SimSun" w:hint="eastAsia"/>
          <w:color w:val="0D0D0D"/>
          <w:kern w:val="0"/>
          <w:sz w:val="24"/>
        </w:rPr>
        <w:t>过度估值，必将面临崩盘。另一种结论是，就像股价分化一样，</w:t>
      </w:r>
      <w:r w:rsidR="00A25338" w:rsidRPr="00A42B8E">
        <w:rPr>
          <w:rFonts w:ascii="SimSun" w:eastAsia="SimSun" w:hAnsi="SimSun" w:cs="SimSun" w:hint="eastAsia"/>
          <w:color w:val="0D0D0D"/>
          <w:kern w:val="0"/>
          <w:sz w:val="24"/>
        </w:rPr>
        <w:t>后面这两类公司</w:t>
      </w:r>
      <w:r w:rsidRPr="00A42B8E">
        <w:rPr>
          <w:rFonts w:ascii="SimSun" w:eastAsia="SimSun" w:hAnsi="SimSun" w:cs="SimSun" w:hint="eastAsia"/>
          <w:color w:val="0D0D0D"/>
          <w:kern w:val="0"/>
          <w:sz w:val="24"/>
        </w:rPr>
        <w:t>的销售和利润也将分道扬镳，这意味着七巨头将</w:t>
      </w:r>
      <w:r w:rsidR="00E67ABB" w:rsidRPr="00A42B8E">
        <w:rPr>
          <w:rFonts w:ascii="SimSun" w:eastAsia="SimSun" w:hAnsi="SimSun" w:cs="SimSun" w:hint="eastAsia"/>
          <w:color w:val="0D0D0D"/>
          <w:kern w:val="0"/>
          <w:sz w:val="24"/>
        </w:rPr>
        <w:t>真的要让前人们望尘莫及</w:t>
      </w:r>
      <w:r w:rsidRPr="00A42B8E">
        <w:rPr>
          <w:rFonts w:ascii="SimSun" w:eastAsia="SimSun" w:hAnsi="SimSun" w:cs="SimSun" w:hint="eastAsia"/>
          <w:color w:val="0D0D0D"/>
          <w:kern w:val="0"/>
          <w:sz w:val="24"/>
        </w:rPr>
        <w:t>。投资者似乎</w:t>
      </w:r>
      <w:r w:rsidR="00D04458" w:rsidRPr="00A42B8E">
        <w:rPr>
          <w:rFonts w:ascii="SimSun" w:eastAsia="SimSun" w:hAnsi="SimSun" w:cs="SimSun" w:hint="eastAsia"/>
          <w:color w:val="0D0D0D"/>
          <w:kern w:val="0"/>
          <w:sz w:val="24"/>
        </w:rPr>
        <w:t>主要是根据他们的喜好来进行取舍</w:t>
      </w:r>
      <w:r w:rsidRPr="00A42B8E">
        <w:rPr>
          <w:rFonts w:ascii="SimSun" w:eastAsia="SimSun" w:hAnsi="SimSun" w:cs="SimSun" w:hint="eastAsia"/>
          <w:color w:val="0D0D0D"/>
          <w:kern w:val="0"/>
          <w:sz w:val="24"/>
        </w:rPr>
        <w:t>，因为传统的估值指标</w:t>
      </w:r>
      <w:r w:rsidR="003A092C" w:rsidRPr="00A42B8E">
        <w:rPr>
          <w:rFonts w:ascii="SimSun" w:eastAsia="SimSun" w:hAnsi="SimSun" w:cs="SimSun" w:hint="eastAsia"/>
          <w:color w:val="0D0D0D"/>
          <w:kern w:val="0"/>
          <w:sz w:val="24"/>
        </w:rPr>
        <w:t>来看</w:t>
      </w:r>
      <w:r w:rsidRPr="00A42B8E">
        <w:rPr>
          <w:rFonts w:ascii="SimSun" w:eastAsia="SimSun" w:hAnsi="SimSun" w:cs="SimSun" w:hint="eastAsia"/>
          <w:color w:val="0D0D0D"/>
          <w:kern w:val="0"/>
          <w:sz w:val="24"/>
        </w:rPr>
        <w:t>，比如七巨头</w:t>
      </w:r>
      <w:r w:rsidR="003A092C" w:rsidRPr="00A42B8E">
        <w:rPr>
          <w:rFonts w:ascii="SimSun" w:eastAsia="SimSun" w:hAnsi="SimSun" w:cs="SimSun" w:hint="eastAsia"/>
          <w:color w:val="0D0D0D"/>
          <w:kern w:val="0"/>
          <w:sz w:val="24"/>
        </w:rPr>
        <w:t>的</w:t>
      </w:r>
      <w:r w:rsidR="003A092C" w:rsidRPr="00A42B8E">
        <w:rPr>
          <w:rFonts w:ascii="SimSun" w:eastAsia="SimSun" w:hAnsi="SimSun" w:cs="SimSun" w:hint="eastAsia"/>
          <w:color w:val="0D0D0D"/>
          <w:kern w:val="0"/>
          <w:sz w:val="24"/>
        </w:rPr>
        <w:t>市盈率</w:t>
      </w:r>
      <w:r w:rsidRPr="00A42B8E">
        <w:rPr>
          <w:rFonts w:ascii="SimSun" w:eastAsia="SimSun" w:hAnsi="SimSun" w:cs="SimSun" w:hint="eastAsia"/>
          <w:color w:val="0D0D0D"/>
          <w:kern w:val="0"/>
          <w:sz w:val="24"/>
        </w:rPr>
        <w:t>大致是标准普尔493的两倍，</w:t>
      </w:r>
      <w:r w:rsidR="002D0E19" w:rsidRPr="00A42B8E">
        <w:rPr>
          <w:rFonts w:ascii="SimSun" w:eastAsia="SimSun" w:hAnsi="SimSun" w:cs="SimSun" w:hint="eastAsia"/>
          <w:color w:val="0D0D0D"/>
          <w:kern w:val="0"/>
          <w:sz w:val="24"/>
        </w:rPr>
        <w:t>两种观点都有几分道理</w:t>
      </w:r>
      <w:r w:rsidR="00701562" w:rsidRPr="00A42B8E">
        <w:rPr>
          <w:rFonts w:ascii="SimSun" w:eastAsia="SimSun" w:hAnsi="SimSun" w:cs="SimSun" w:hint="eastAsia"/>
          <w:color w:val="0D0D0D"/>
          <w:kern w:val="0"/>
          <w:sz w:val="24"/>
        </w:rPr>
        <w:t>。</w:t>
      </w:r>
    </w:p>
    <w:p w:rsidR="00987AFD" w:rsidRDefault="00BC7A65" w:rsidP="006765D6">
      <w:pPr>
        <w:widowControl/>
        <w:spacing w:before="100" w:beforeAutospacing="1" w:after="100" w:afterAutospacing="1" w:line="480" w:lineRule="exact"/>
        <w:textAlignment w:val="baseline"/>
        <w:rPr>
          <w:rFonts w:ascii="Times New Roman" w:eastAsia="Times New Roman" w:hAnsi="Times New Roman" w:cs="Times New Roman" w:hint="eastAsia"/>
          <w:color w:val="0D0D0D"/>
          <w:kern w:val="0"/>
          <w:sz w:val="28"/>
          <w:szCs w:val="28"/>
        </w:rPr>
      </w:pPr>
      <w:r w:rsidRPr="00BC7A65">
        <w:rPr>
          <w:rFonts w:ascii="Times New Roman" w:eastAsia="Times New Roman" w:hAnsi="Times New Roman" w:cs="Times New Roman" w:hint="eastAsia"/>
          <w:color w:val="0D0D0D"/>
          <w:kern w:val="0"/>
          <w:sz w:val="28"/>
          <w:szCs w:val="28"/>
        </w:rPr>
        <w:t>A</w:t>
      </w:r>
      <w:r w:rsidRPr="00BC7A65">
        <w:rPr>
          <w:rFonts w:ascii="Times New Roman" w:eastAsia="Times New Roman" w:hAnsi="Times New Roman" w:cs="Times New Roman"/>
          <w:color w:val="0D0D0D"/>
          <w:kern w:val="0"/>
          <w:sz w:val="28"/>
          <w:szCs w:val="28"/>
        </w:rPr>
        <w:t xml:space="preserve"> third conclusion, now aired increasingly often, is that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500’s domination by seven stocks which are so different from the rest means it is no longer a good benchmark. That is not quite right. Many people invest in funds tracking the index precisely so they can capture the gains of the winners without having to care about its composition. Still, if you want to know what America’s stockmarket really looks like, avoid the headline index. Look at the </w:t>
      </w:r>
      <w:r w:rsidRPr="00BC7A65">
        <w:rPr>
          <w:rFonts w:ascii="Times New Roman" w:eastAsia="Times New Roman" w:hAnsi="Times New Roman" w:cs="Times New Roman"/>
          <w:color w:val="0D0D0D"/>
          <w:kern w:val="0"/>
          <w:sz w:val="28"/>
          <w:szCs w:val="28"/>
          <w:bdr w:val="none" w:sz="0" w:space="0" w:color="auto" w:frame="1"/>
        </w:rPr>
        <w:t>s</w:t>
      </w:r>
      <w:r w:rsidRPr="00BC7A65">
        <w:rPr>
          <w:rFonts w:ascii="Times New Roman" w:eastAsia="Times New Roman" w:hAnsi="Times New Roman" w:cs="Times New Roman"/>
          <w:color w:val="0D0D0D"/>
          <w:kern w:val="0"/>
          <w:sz w:val="28"/>
          <w:szCs w:val="28"/>
        </w:rPr>
        <w:t>&amp;</w:t>
      </w:r>
      <w:r w:rsidRPr="00BC7A65">
        <w:rPr>
          <w:rFonts w:ascii="Times New Roman" w:eastAsia="Times New Roman" w:hAnsi="Times New Roman" w:cs="Times New Roman"/>
          <w:color w:val="0D0D0D"/>
          <w:kern w:val="0"/>
          <w:sz w:val="28"/>
          <w:szCs w:val="28"/>
          <w:bdr w:val="none" w:sz="0" w:space="0" w:color="auto" w:frame="1"/>
        </w:rPr>
        <w:t>p</w:t>
      </w:r>
      <w:r w:rsidRPr="00BC7A65">
        <w:rPr>
          <w:rFonts w:ascii="Times New Roman" w:eastAsia="Times New Roman" w:hAnsi="Times New Roman" w:cs="Times New Roman"/>
          <w:color w:val="0D0D0D"/>
          <w:kern w:val="0"/>
          <w:sz w:val="28"/>
          <w:szCs w:val="28"/>
        </w:rPr>
        <w:t> 493.</w:t>
      </w:r>
    </w:p>
    <w:p w:rsidR="00BC7A65" w:rsidRPr="00CE50F9" w:rsidRDefault="00987AFD" w:rsidP="00CE50F9">
      <w:pPr>
        <w:widowControl/>
        <w:spacing w:before="100" w:beforeAutospacing="1" w:after="100" w:afterAutospacing="1" w:line="480" w:lineRule="exact"/>
        <w:textAlignment w:val="baseline"/>
        <w:rPr>
          <w:rFonts w:ascii="SimSun" w:eastAsia="SimSun" w:hAnsi="SimSun" w:cs="SimSun" w:hint="eastAsia"/>
          <w:color w:val="0D0D0D"/>
          <w:kern w:val="0"/>
          <w:sz w:val="24"/>
        </w:rPr>
      </w:pPr>
      <w:r w:rsidRPr="0095561D">
        <w:rPr>
          <w:rFonts w:ascii="SimSun" w:eastAsia="SimSun" w:hAnsi="SimSun" w:cs="SimSun" w:hint="eastAsia"/>
          <w:color w:val="0D0D0D"/>
          <w:kern w:val="0"/>
          <w:sz w:val="24"/>
        </w:rPr>
        <w:t>现在越来越多地被提及</w:t>
      </w:r>
      <w:r w:rsidR="00393FE5" w:rsidRPr="0095561D">
        <w:rPr>
          <w:rFonts w:ascii="SimSun" w:eastAsia="SimSun" w:hAnsi="SimSun" w:cs="SimSun" w:hint="eastAsia"/>
          <w:color w:val="0D0D0D"/>
          <w:kern w:val="0"/>
          <w:sz w:val="24"/>
        </w:rPr>
        <w:t>到的第三个结论</w:t>
      </w:r>
      <w:r w:rsidRPr="0095561D">
        <w:rPr>
          <w:rFonts w:ascii="SimSun" w:eastAsia="SimSun" w:hAnsi="SimSun" w:cs="SimSun" w:hint="eastAsia"/>
          <w:color w:val="0D0D0D"/>
          <w:kern w:val="0"/>
          <w:sz w:val="24"/>
        </w:rPr>
        <w:t>，是标准普尔500指数被七只与其他股票差异</w:t>
      </w:r>
      <w:r w:rsidR="00031F3D" w:rsidRPr="0095561D">
        <w:rPr>
          <w:rFonts w:ascii="SimSun" w:eastAsia="SimSun" w:hAnsi="SimSun" w:cs="SimSun" w:hint="eastAsia"/>
          <w:color w:val="0D0D0D"/>
          <w:kern w:val="0"/>
          <w:sz w:val="24"/>
        </w:rPr>
        <w:t>很大</w:t>
      </w:r>
      <w:r w:rsidRPr="0095561D">
        <w:rPr>
          <w:rFonts w:ascii="SimSun" w:eastAsia="SimSun" w:hAnsi="SimSun" w:cs="SimSun" w:hint="eastAsia"/>
          <w:color w:val="0D0D0D"/>
          <w:kern w:val="0"/>
          <w:sz w:val="24"/>
        </w:rPr>
        <w:t>的股票主导，意味着它不再是一个好的基准。这并不完全正确。许多人投资于</w:t>
      </w:r>
      <w:r w:rsidR="00A70197" w:rsidRPr="0095561D">
        <w:rPr>
          <w:rFonts w:ascii="SimSun" w:eastAsia="SimSun" w:hAnsi="SimSun" w:cs="SimSun" w:hint="eastAsia"/>
          <w:color w:val="0D0D0D"/>
          <w:kern w:val="0"/>
          <w:sz w:val="24"/>
        </w:rPr>
        <w:t>追踪</w:t>
      </w:r>
      <w:r w:rsidRPr="0095561D">
        <w:rPr>
          <w:rFonts w:ascii="SimSun" w:eastAsia="SimSun" w:hAnsi="SimSun" w:cs="SimSun" w:hint="eastAsia"/>
          <w:color w:val="0D0D0D"/>
          <w:kern w:val="0"/>
          <w:sz w:val="24"/>
        </w:rPr>
        <w:t>该指数的基金，正是为了能够</w:t>
      </w:r>
      <w:r w:rsidR="005E58F7" w:rsidRPr="0095561D">
        <w:rPr>
          <w:rFonts w:ascii="SimSun" w:eastAsia="SimSun" w:hAnsi="SimSun" w:cs="SimSun" w:hint="eastAsia"/>
          <w:color w:val="0D0D0D"/>
          <w:kern w:val="0"/>
          <w:sz w:val="24"/>
        </w:rPr>
        <w:t>无脑的跟随投资获胜者获取</w:t>
      </w:r>
      <w:r w:rsidRPr="0095561D">
        <w:rPr>
          <w:rFonts w:ascii="SimSun" w:eastAsia="SimSun" w:hAnsi="SimSun" w:cs="SimSun" w:hint="eastAsia"/>
          <w:color w:val="0D0D0D"/>
          <w:kern w:val="0"/>
          <w:sz w:val="24"/>
        </w:rPr>
        <w:t>收益而不必关心其组成。然而，如果你想知道美国股票市场的真实情况，</w:t>
      </w:r>
      <w:r w:rsidR="00615C96" w:rsidRPr="0095561D">
        <w:rPr>
          <w:rFonts w:ascii="SimSun" w:eastAsia="SimSun" w:hAnsi="SimSun" w:cs="SimSun" w:hint="eastAsia"/>
          <w:color w:val="0D0D0D"/>
          <w:kern w:val="0"/>
          <w:sz w:val="24"/>
        </w:rPr>
        <w:t>还是得撇下标普5</w:t>
      </w:r>
      <w:r w:rsidR="00615C96" w:rsidRPr="0095561D">
        <w:rPr>
          <w:rFonts w:ascii="SimSun" w:eastAsia="SimSun" w:hAnsi="SimSun" w:cs="SimSun"/>
          <w:color w:val="0D0D0D"/>
          <w:kern w:val="0"/>
          <w:sz w:val="24"/>
        </w:rPr>
        <w:t>00</w:t>
      </w:r>
      <w:r w:rsidRPr="0095561D">
        <w:rPr>
          <w:rFonts w:ascii="SimSun" w:eastAsia="SimSun" w:hAnsi="SimSun" w:cs="SimSun" w:hint="eastAsia"/>
          <w:color w:val="0D0D0D"/>
          <w:kern w:val="0"/>
          <w:sz w:val="24"/>
        </w:rPr>
        <w:t>，看看标准普尔493。</w:t>
      </w:r>
    </w:p>
    <w:sectPr w:rsidR="00BC7A65" w:rsidRPr="00CE50F9" w:rsidSect="00BC7A65">
      <w:headerReference w:type="default" r:id="rId9"/>
      <w:footerReference w:type="even" r:id="rId10"/>
      <w:footerReference w:type="default" r:id="rId11"/>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0B6E" w:rsidRDefault="00DB0B6E" w:rsidP="00DD0AE8">
      <w:r>
        <w:separator/>
      </w:r>
    </w:p>
  </w:endnote>
  <w:endnote w:type="continuationSeparator" w:id="0">
    <w:p w:rsidR="00DB0B6E" w:rsidRDefault="00DB0B6E" w:rsidP="00DD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ar(--ds-type-system-sans)">
    <w:altName w:val="Cambria"/>
    <w:panose1 w:val="020B0604020202020204"/>
    <w:charset w:val="00"/>
    <w:family w:val="roman"/>
    <w:pitch w:val="default"/>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var(--ds-type-system-serif)">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344782"/>
      <w:docPartObj>
        <w:docPartGallery w:val="Page Numbers (Bottom of Page)"/>
        <w:docPartUnique/>
      </w:docPartObj>
    </w:sdtPr>
    <w:sdtContent>
      <w:p w:rsidR="007E33E5" w:rsidRDefault="007E33E5" w:rsidP="006E2C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33E5" w:rsidRDefault="007E33E5" w:rsidP="007E33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616355"/>
      <w:docPartObj>
        <w:docPartGallery w:val="Page Numbers (Bottom of Page)"/>
        <w:docPartUnique/>
      </w:docPartObj>
    </w:sdtPr>
    <w:sdtContent>
      <w:p w:rsidR="007E33E5" w:rsidRDefault="007E33E5" w:rsidP="006E2C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E33E5" w:rsidRDefault="007E33E5" w:rsidP="007E33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0B6E" w:rsidRDefault="00DB0B6E" w:rsidP="00DD0AE8">
      <w:r>
        <w:separator/>
      </w:r>
    </w:p>
  </w:footnote>
  <w:footnote w:type="continuationSeparator" w:id="0">
    <w:p w:rsidR="00DB0B6E" w:rsidRDefault="00DB0B6E" w:rsidP="00DD0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AE8" w:rsidRDefault="00537643">
    <w:pPr>
      <w:pStyle w:val="Header"/>
    </w:pPr>
    <w:r w:rsidRPr="00537643">
      <w:rPr>
        <w:b/>
        <w:bCs/>
        <w:color w:val="FFFFFF" w:themeColor="background1"/>
        <w:highlight w:val="darkRed"/>
      </w:rPr>
      <w:t>The Economist</w:t>
    </w:r>
    <w:r w:rsidR="00DD0AE8">
      <w:ptab w:relativeTo="margin" w:alignment="center" w:leader="none"/>
    </w:r>
    <w:r w:rsidR="00DD0AE8">
      <w:ptab w:relativeTo="margin" w:alignment="right" w:leader="none"/>
    </w:r>
    <w:r w:rsidR="00DD0AE8">
      <w:rPr>
        <w:rFonts w:hint="eastAsia"/>
      </w:rPr>
      <w:t>禁止转载和抄袭</w:t>
    </w:r>
    <w:r w:rsidR="00DD0AE8">
      <w:rPr>
        <w:rFonts w:hint="eastAsia"/>
      </w:rPr>
      <w:t xml:space="preserve"> </w:t>
    </w:r>
    <w:r w:rsidR="00DD0AE8">
      <w:t>November 17,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65"/>
    <w:rsid w:val="00031F3D"/>
    <w:rsid w:val="00080E00"/>
    <w:rsid w:val="00087DAB"/>
    <w:rsid w:val="000D1F1E"/>
    <w:rsid w:val="0012240A"/>
    <w:rsid w:val="00165D7F"/>
    <w:rsid w:val="001B1103"/>
    <w:rsid w:val="001D22BA"/>
    <w:rsid w:val="00231F4A"/>
    <w:rsid w:val="00244815"/>
    <w:rsid w:val="00250FE7"/>
    <w:rsid w:val="002D0E19"/>
    <w:rsid w:val="002D4C77"/>
    <w:rsid w:val="00345C6E"/>
    <w:rsid w:val="003535B0"/>
    <w:rsid w:val="00393FE5"/>
    <w:rsid w:val="003A092C"/>
    <w:rsid w:val="003B064A"/>
    <w:rsid w:val="003B6538"/>
    <w:rsid w:val="00441C8C"/>
    <w:rsid w:val="00480A37"/>
    <w:rsid w:val="004C163D"/>
    <w:rsid w:val="005200B7"/>
    <w:rsid w:val="00537643"/>
    <w:rsid w:val="005741B6"/>
    <w:rsid w:val="005E58F7"/>
    <w:rsid w:val="00615C96"/>
    <w:rsid w:val="006638B0"/>
    <w:rsid w:val="006765D6"/>
    <w:rsid w:val="00677107"/>
    <w:rsid w:val="006A4DA9"/>
    <w:rsid w:val="00701562"/>
    <w:rsid w:val="007E33E5"/>
    <w:rsid w:val="007E5201"/>
    <w:rsid w:val="007E7C70"/>
    <w:rsid w:val="008050C0"/>
    <w:rsid w:val="008364FE"/>
    <w:rsid w:val="00851147"/>
    <w:rsid w:val="00887B53"/>
    <w:rsid w:val="008A6FA7"/>
    <w:rsid w:val="008D75A6"/>
    <w:rsid w:val="00925C8A"/>
    <w:rsid w:val="00931B98"/>
    <w:rsid w:val="00935F5C"/>
    <w:rsid w:val="0095561D"/>
    <w:rsid w:val="00987AFD"/>
    <w:rsid w:val="009C55C4"/>
    <w:rsid w:val="00A25338"/>
    <w:rsid w:val="00A42B8E"/>
    <w:rsid w:val="00A546E8"/>
    <w:rsid w:val="00A55BC7"/>
    <w:rsid w:val="00A70197"/>
    <w:rsid w:val="00A96E6E"/>
    <w:rsid w:val="00AE36AD"/>
    <w:rsid w:val="00AF7D53"/>
    <w:rsid w:val="00B11004"/>
    <w:rsid w:val="00B4739A"/>
    <w:rsid w:val="00BC63B5"/>
    <w:rsid w:val="00BC7A65"/>
    <w:rsid w:val="00BF7745"/>
    <w:rsid w:val="00BF7E02"/>
    <w:rsid w:val="00C10CB9"/>
    <w:rsid w:val="00C55576"/>
    <w:rsid w:val="00C90391"/>
    <w:rsid w:val="00CC014A"/>
    <w:rsid w:val="00CC3106"/>
    <w:rsid w:val="00CE50F9"/>
    <w:rsid w:val="00D04458"/>
    <w:rsid w:val="00DB0B6E"/>
    <w:rsid w:val="00DD0AE8"/>
    <w:rsid w:val="00DE521F"/>
    <w:rsid w:val="00E12A33"/>
    <w:rsid w:val="00E16DAE"/>
    <w:rsid w:val="00E435D7"/>
    <w:rsid w:val="00E5674C"/>
    <w:rsid w:val="00E67ABB"/>
    <w:rsid w:val="00EF3DAF"/>
    <w:rsid w:val="00F0306B"/>
    <w:rsid w:val="00F97925"/>
    <w:rsid w:val="00F97EAA"/>
    <w:rsid w:val="00FD7EFC"/>
    <w:rsid w:val="00FE58A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A59"/>
  <w15:chartTrackingRefBased/>
  <w15:docId w15:val="{F6BF5B34-7DAC-8B44-8B18-2BD05F37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C7A65"/>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C7A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te5c83">
    <w:name w:val="css-1te5c83"/>
    <w:basedOn w:val="DefaultParagraphFont"/>
    <w:rsid w:val="00BC7A65"/>
  </w:style>
  <w:style w:type="character" w:styleId="Hyperlink">
    <w:name w:val="Hyperlink"/>
    <w:basedOn w:val="DefaultParagraphFont"/>
    <w:uiPriority w:val="99"/>
    <w:semiHidden/>
    <w:unhideWhenUsed/>
    <w:rsid w:val="00BC7A65"/>
    <w:rPr>
      <w:color w:val="0000FF"/>
      <w:u w:val="single"/>
    </w:rPr>
  </w:style>
  <w:style w:type="character" w:customStyle="1" w:styleId="css-1mdqtqm">
    <w:name w:val="css-1mdqtqm"/>
    <w:basedOn w:val="DefaultParagraphFont"/>
    <w:rsid w:val="00BC7A65"/>
  </w:style>
  <w:style w:type="character" w:customStyle="1" w:styleId="Heading1Char">
    <w:name w:val="Heading 1 Char"/>
    <w:basedOn w:val="DefaultParagraphFont"/>
    <w:link w:val="Heading1"/>
    <w:uiPriority w:val="9"/>
    <w:rsid w:val="00BC7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A65"/>
    <w:rPr>
      <w:rFonts w:asciiTheme="majorHAnsi" w:eastAsiaTheme="majorEastAsia" w:hAnsiTheme="majorHAnsi" w:cstheme="majorBidi"/>
      <w:b/>
      <w:bCs/>
      <w:sz w:val="32"/>
      <w:szCs w:val="32"/>
    </w:rPr>
  </w:style>
  <w:style w:type="paragraph" w:customStyle="1" w:styleId="css-1hno3qs">
    <w:name w:val="css-1hno3qs"/>
    <w:basedOn w:val="Normal"/>
    <w:rsid w:val="00BC7A65"/>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css-6pzdis">
    <w:name w:val="css-6pzdis"/>
    <w:basedOn w:val="DefaultParagraphFont"/>
    <w:rsid w:val="00BC7A65"/>
  </w:style>
  <w:style w:type="paragraph" w:styleId="Header">
    <w:name w:val="header"/>
    <w:basedOn w:val="Normal"/>
    <w:link w:val="HeaderChar"/>
    <w:uiPriority w:val="99"/>
    <w:unhideWhenUsed/>
    <w:rsid w:val="00DD0AE8"/>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DD0AE8"/>
    <w:rPr>
      <w:sz w:val="18"/>
      <w:szCs w:val="18"/>
    </w:rPr>
  </w:style>
  <w:style w:type="paragraph" w:styleId="Footer">
    <w:name w:val="footer"/>
    <w:basedOn w:val="Normal"/>
    <w:link w:val="FooterChar"/>
    <w:uiPriority w:val="99"/>
    <w:unhideWhenUsed/>
    <w:rsid w:val="00DD0AE8"/>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DD0AE8"/>
    <w:rPr>
      <w:sz w:val="18"/>
      <w:szCs w:val="18"/>
    </w:rPr>
  </w:style>
  <w:style w:type="character" w:styleId="PageNumber">
    <w:name w:val="page number"/>
    <w:basedOn w:val="DefaultParagraphFont"/>
    <w:uiPriority w:val="99"/>
    <w:semiHidden/>
    <w:unhideWhenUsed/>
    <w:rsid w:val="007E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58212">
      <w:bodyDiv w:val="1"/>
      <w:marLeft w:val="0"/>
      <w:marRight w:val="0"/>
      <w:marTop w:val="0"/>
      <w:marBottom w:val="0"/>
      <w:divBdr>
        <w:top w:val="none" w:sz="0" w:space="0" w:color="auto"/>
        <w:left w:val="none" w:sz="0" w:space="0" w:color="auto"/>
        <w:bottom w:val="none" w:sz="0" w:space="0" w:color="auto"/>
        <w:right w:val="none" w:sz="0" w:space="0" w:color="auto"/>
      </w:divBdr>
    </w:div>
    <w:div w:id="1095248521">
      <w:bodyDiv w:val="1"/>
      <w:marLeft w:val="0"/>
      <w:marRight w:val="0"/>
      <w:marTop w:val="0"/>
      <w:marBottom w:val="0"/>
      <w:divBdr>
        <w:top w:val="none" w:sz="0" w:space="0" w:color="auto"/>
        <w:left w:val="none" w:sz="0" w:space="0" w:color="auto"/>
        <w:bottom w:val="none" w:sz="0" w:space="0" w:color="auto"/>
        <w:right w:val="none" w:sz="0" w:space="0" w:color="auto"/>
      </w:divBdr>
      <w:divsChild>
        <w:div w:id="966201896">
          <w:marLeft w:val="0"/>
          <w:marRight w:val="0"/>
          <w:marTop w:val="0"/>
          <w:marBottom w:val="0"/>
          <w:divBdr>
            <w:top w:val="none" w:sz="0" w:space="0" w:color="auto"/>
            <w:left w:val="none" w:sz="0" w:space="0" w:color="auto"/>
            <w:bottom w:val="none" w:sz="0" w:space="0" w:color="auto"/>
            <w:right w:val="none" w:sz="0" w:space="0" w:color="auto"/>
          </w:divBdr>
        </w:div>
        <w:div w:id="544292973">
          <w:marLeft w:val="0"/>
          <w:marRight w:val="0"/>
          <w:marTop w:val="0"/>
          <w:marBottom w:val="0"/>
          <w:divBdr>
            <w:top w:val="none" w:sz="0" w:space="0" w:color="auto"/>
            <w:left w:val="none" w:sz="0" w:space="0" w:color="auto"/>
            <w:bottom w:val="none" w:sz="0" w:space="0" w:color="auto"/>
            <w:right w:val="none" w:sz="0" w:space="0" w:color="auto"/>
          </w:divBdr>
        </w:div>
      </w:divsChild>
    </w:div>
    <w:div w:id="1812555136">
      <w:bodyDiv w:val="1"/>
      <w:marLeft w:val="0"/>
      <w:marRight w:val="0"/>
      <w:marTop w:val="0"/>
      <w:marBottom w:val="0"/>
      <w:divBdr>
        <w:top w:val="none" w:sz="0" w:space="0" w:color="auto"/>
        <w:left w:val="none" w:sz="0" w:space="0" w:color="auto"/>
        <w:bottom w:val="none" w:sz="0" w:space="0" w:color="auto"/>
        <w:right w:val="none" w:sz="0" w:space="0" w:color="auto"/>
      </w:divBdr>
      <w:divsChild>
        <w:div w:id="2115633989">
          <w:marLeft w:val="0"/>
          <w:marRight w:val="0"/>
          <w:marTop w:val="0"/>
          <w:marBottom w:val="0"/>
          <w:divBdr>
            <w:top w:val="none" w:sz="0" w:space="0" w:color="auto"/>
            <w:left w:val="none" w:sz="0" w:space="0" w:color="auto"/>
            <w:bottom w:val="none" w:sz="0" w:space="0" w:color="auto"/>
            <w:right w:val="none" w:sz="0" w:space="0" w:color="auto"/>
          </w:divBdr>
        </w:div>
      </w:divsChild>
    </w:div>
    <w:div w:id="1838421126">
      <w:bodyDiv w:val="1"/>
      <w:marLeft w:val="0"/>
      <w:marRight w:val="0"/>
      <w:marTop w:val="0"/>
      <w:marBottom w:val="0"/>
      <w:divBdr>
        <w:top w:val="none" w:sz="0" w:space="0" w:color="auto"/>
        <w:left w:val="none" w:sz="0" w:space="0" w:color="auto"/>
        <w:bottom w:val="none" w:sz="0" w:space="0" w:color="auto"/>
        <w:right w:val="none" w:sz="0" w:space="0" w:color="auto"/>
      </w:divBdr>
      <w:divsChild>
        <w:div w:id="1362973673">
          <w:marLeft w:val="0"/>
          <w:marRight w:val="0"/>
          <w:marTop w:val="0"/>
          <w:marBottom w:val="0"/>
          <w:divBdr>
            <w:top w:val="none" w:sz="0" w:space="0" w:color="auto"/>
            <w:left w:val="none" w:sz="0" w:space="0" w:color="auto"/>
            <w:bottom w:val="none" w:sz="0" w:space="0" w:color="auto"/>
            <w:right w:val="none" w:sz="0" w:space="0" w:color="auto"/>
          </w:divBdr>
          <w:divsChild>
            <w:div w:id="1384408727">
              <w:marLeft w:val="0"/>
              <w:marRight w:val="0"/>
              <w:marTop w:val="0"/>
              <w:marBottom w:val="0"/>
              <w:divBdr>
                <w:top w:val="none" w:sz="0" w:space="0" w:color="auto"/>
                <w:left w:val="none" w:sz="0" w:space="0" w:color="auto"/>
                <w:bottom w:val="none" w:sz="0" w:space="0" w:color="auto"/>
                <w:right w:val="none" w:sz="0" w:space="0" w:color="auto"/>
              </w:divBdr>
              <w:divsChild>
                <w:div w:id="1612932779">
                  <w:marLeft w:val="0"/>
                  <w:marRight w:val="0"/>
                  <w:marTop w:val="0"/>
                  <w:marBottom w:val="0"/>
                  <w:divBdr>
                    <w:top w:val="none" w:sz="0" w:space="0" w:color="auto"/>
                    <w:left w:val="none" w:sz="0" w:space="0" w:color="auto"/>
                    <w:bottom w:val="none" w:sz="0" w:space="0" w:color="auto"/>
                    <w:right w:val="none" w:sz="0" w:space="0" w:color="auto"/>
                  </w:divBdr>
                  <w:divsChild>
                    <w:div w:id="294532159">
                      <w:marLeft w:val="0"/>
                      <w:marRight w:val="0"/>
                      <w:marTop w:val="240"/>
                      <w:marBottom w:val="240"/>
                      <w:divBdr>
                        <w:top w:val="none" w:sz="0" w:space="0" w:color="auto"/>
                        <w:left w:val="none" w:sz="0" w:space="0" w:color="auto"/>
                        <w:bottom w:val="none" w:sz="0" w:space="0" w:color="auto"/>
                        <w:right w:val="none" w:sz="0" w:space="0" w:color="auto"/>
                      </w:divBdr>
                      <w:divsChild>
                        <w:div w:id="523447136">
                          <w:marLeft w:val="0"/>
                          <w:marRight w:val="0"/>
                          <w:marTop w:val="0"/>
                          <w:marBottom w:val="0"/>
                          <w:divBdr>
                            <w:top w:val="none" w:sz="0" w:space="0" w:color="auto"/>
                            <w:left w:val="none" w:sz="0" w:space="0" w:color="auto"/>
                            <w:bottom w:val="none" w:sz="0" w:space="0" w:color="auto"/>
                            <w:right w:val="none" w:sz="0" w:space="0" w:color="auto"/>
                          </w:divBdr>
                          <w:divsChild>
                            <w:div w:id="2105035385">
                              <w:marLeft w:val="0"/>
                              <w:marRight w:val="0"/>
                              <w:marTop w:val="0"/>
                              <w:marBottom w:val="0"/>
                              <w:divBdr>
                                <w:top w:val="none" w:sz="0" w:space="0" w:color="auto"/>
                                <w:left w:val="none" w:sz="0" w:space="0" w:color="auto"/>
                                <w:bottom w:val="none" w:sz="0" w:space="0" w:color="auto"/>
                                <w:right w:val="none" w:sz="0" w:space="0" w:color="auto"/>
                              </w:divBdr>
                              <w:divsChild>
                                <w:div w:id="1951816407">
                                  <w:marLeft w:val="0"/>
                                  <w:marRight w:val="0"/>
                                  <w:marTop w:val="0"/>
                                  <w:marBottom w:val="0"/>
                                  <w:divBdr>
                                    <w:top w:val="none" w:sz="0" w:space="0" w:color="auto"/>
                                    <w:left w:val="none" w:sz="0" w:space="0" w:color="auto"/>
                                    <w:bottom w:val="none" w:sz="0" w:space="0" w:color="auto"/>
                                    <w:right w:val="none" w:sz="0" w:space="0" w:color="auto"/>
                                  </w:divBdr>
                                  <w:divsChild>
                                    <w:div w:id="1915582399">
                                      <w:marLeft w:val="0"/>
                                      <w:marRight w:val="0"/>
                                      <w:marTop w:val="0"/>
                                      <w:marBottom w:val="0"/>
                                      <w:divBdr>
                                        <w:top w:val="none" w:sz="0" w:space="0" w:color="auto"/>
                                        <w:left w:val="none" w:sz="0" w:space="0" w:color="auto"/>
                                        <w:bottom w:val="none" w:sz="0" w:space="0" w:color="auto"/>
                                        <w:right w:val="none" w:sz="0" w:space="0" w:color="auto"/>
                                      </w:divBdr>
                                      <w:divsChild>
                                        <w:div w:id="1944606699">
                                          <w:marLeft w:val="0"/>
                                          <w:marRight w:val="0"/>
                                          <w:marTop w:val="0"/>
                                          <w:marBottom w:val="0"/>
                                          <w:divBdr>
                                            <w:top w:val="none" w:sz="0" w:space="0" w:color="auto"/>
                                            <w:left w:val="none" w:sz="0" w:space="0" w:color="auto"/>
                                            <w:bottom w:val="none" w:sz="0" w:space="0" w:color="auto"/>
                                            <w:right w:val="none" w:sz="0" w:space="0" w:color="auto"/>
                                          </w:divBdr>
                                          <w:divsChild>
                                            <w:div w:id="60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200555">
          <w:marLeft w:val="0"/>
          <w:marRight w:val="0"/>
          <w:marTop w:val="0"/>
          <w:marBottom w:val="0"/>
          <w:divBdr>
            <w:top w:val="none" w:sz="0" w:space="0" w:color="auto"/>
            <w:left w:val="none" w:sz="0" w:space="0" w:color="auto"/>
            <w:bottom w:val="none" w:sz="0" w:space="0" w:color="auto"/>
            <w:right w:val="none" w:sz="0" w:space="0" w:color="auto"/>
          </w:divBdr>
          <w:divsChild>
            <w:div w:id="2032341590">
              <w:marLeft w:val="0"/>
              <w:marRight w:val="0"/>
              <w:marTop w:val="0"/>
              <w:marBottom w:val="0"/>
              <w:divBdr>
                <w:top w:val="none" w:sz="0" w:space="0" w:color="auto"/>
                <w:left w:val="none" w:sz="0" w:space="0" w:color="auto"/>
                <w:bottom w:val="none" w:sz="0" w:space="0" w:color="auto"/>
                <w:right w:val="none" w:sz="0" w:space="0" w:color="auto"/>
              </w:divBdr>
              <w:divsChild>
                <w:div w:id="11575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finance-and-economics/"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2023-11-16T13:21:00Z</dcterms:created>
  <dcterms:modified xsi:type="dcterms:W3CDTF">2023-11-17T01:46:00Z</dcterms:modified>
</cp:coreProperties>
</file>