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B1D06" w:rsidRDefault="009B1D06" w:rsidP="009B1D06">
      <w:pPr>
        <w:widowControl/>
        <w:jc w:val="left"/>
        <w:textAlignment w:val="baseline"/>
        <w:outlineLvl w:val="0"/>
        <w:rPr>
          <w:rFonts w:ascii="Charter" w:eastAsia="Times New Roman" w:hAnsi="Charter" w:cs="Times New Roman"/>
          <w:kern w:val="36"/>
          <w:sz w:val="48"/>
          <w:szCs w:val="48"/>
        </w:rPr>
      </w:pPr>
      <w:r w:rsidRPr="009B1D06">
        <w:rPr>
          <w:rFonts w:ascii="Charter" w:eastAsia="Times New Roman" w:hAnsi="Charter" w:cs="Times New Roman"/>
          <w:kern w:val="36"/>
          <w:sz w:val="48"/>
          <w:szCs w:val="48"/>
        </w:rPr>
        <w:t>How will America’s economy fare in 2024? Don’t ask a forecaster</w:t>
      </w:r>
    </w:p>
    <w:p w:rsidR="00CA43B3" w:rsidRPr="008A29E5" w:rsidRDefault="00CA43B3" w:rsidP="009B1D06">
      <w:pPr>
        <w:widowControl/>
        <w:jc w:val="left"/>
        <w:textAlignment w:val="baseline"/>
        <w:outlineLvl w:val="0"/>
        <w:rPr>
          <w:rFonts w:ascii="Charter" w:eastAsia="Times New Roman" w:hAnsi="Charter" w:cs="Times New Roman"/>
          <w:kern w:val="36"/>
          <w:sz w:val="28"/>
          <w:szCs w:val="28"/>
        </w:rPr>
      </w:pPr>
      <w:r w:rsidRPr="008A29E5">
        <w:rPr>
          <w:rFonts w:ascii="Charter" w:eastAsia="Times New Roman" w:hAnsi="Charter" w:cs="Times New Roman" w:hint="eastAsia"/>
          <w:kern w:val="36"/>
          <w:sz w:val="28"/>
          <w:szCs w:val="28"/>
        </w:rPr>
        <w:t>2</w:t>
      </w:r>
      <w:r w:rsidRPr="008A29E5">
        <w:rPr>
          <w:rFonts w:ascii="Charter" w:eastAsia="Times New Roman" w:hAnsi="Charter" w:cs="Times New Roman"/>
          <w:kern w:val="36"/>
          <w:sz w:val="28"/>
          <w:szCs w:val="28"/>
        </w:rPr>
        <w:t>024</w:t>
      </w:r>
      <w:r w:rsidRPr="008A29E5">
        <w:rPr>
          <w:rFonts w:ascii="SimSun" w:eastAsia="SimSun" w:hAnsi="SimSun" w:cs="SimSun" w:hint="eastAsia"/>
          <w:kern w:val="36"/>
          <w:sz w:val="28"/>
          <w:szCs w:val="28"/>
        </w:rPr>
        <w:t>美国经济将如何表现？别问预测者</w:t>
      </w:r>
    </w:p>
    <w:p w:rsidR="009B1D06" w:rsidRDefault="009B1D06" w:rsidP="009B1D06">
      <w:pPr>
        <w:pStyle w:val="Heading2"/>
        <w:textAlignment w:val="baseline"/>
        <w:rPr>
          <w:rFonts w:ascii="Charter" w:hAnsi="Charter"/>
          <w:b w:val="0"/>
          <w:bCs w:val="0"/>
        </w:rPr>
      </w:pPr>
      <w:r>
        <w:rPr>
          <w:rFonts w:ascii="Charter" w:hAnsi="Charter"/>
          <w:b w:val="0"/>
          <w:bCs w:val="0"/>
        </w:rPr>
        <w:t>The consensus is that there is no consensus</w:t>
      </w:r>
    </w:p>
    <w:p w:rsidR="009B1D06" w:rsidRDefault="009B1D06">
      <w:r>
        <w:fldChar w:fldCharType="begin"/>
      </w:r>
      <w:r>
        <w:instrText xml:space="preserve"> INCLUDEPICTURE "https://www.economist.com/cdn-cgi/image/width=1424,quality=80,format=auto/content-assets/images/20231125_FNP505.jpg" \* MERGEFORMATINET </w:instrText>
      </w:r>
      <w:r>
        <w:fldChar w:fldCharType="separate"/>
      </w:r>
      <w:r>
        <w:rPr>
          <w:noProof/>
        </w:rPr>
        <w:drawing>
          <wp:inline distT="0" distB="0" distL="0" distR="0">
            <wp:extent cx="5943600" cy="3342005"/>
            <wp:effectExtent l="0" t="0" r="0" b="0"/>
            <wp:docPr id="1" name="Picture 1" descr="The Fearless Girl statue outside the New York Stock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Fearless Girl statue outside the New York Stock Exchan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2005"/>
                    </a:xfrm>
                    <a:prstGeom prst="rect">
                      <a:avLst/>
                    </a:prstGeom>
                    <a:noFill/>
                    <a:ln>
                      <a:noFill/>
                    </a:ln>
                  </pic:spPr>
                </pic:pic>
              </a:graphicData>
            </a:graphic>
          </wp:inline>
        </w:drawing>
      </w:r>
      <w:r>
        <w:fldChar w:fldCharType="end"/>
      </w:r>
    </w:p>
    <w:p w:rsidR="009B1D06" w:rsidRDefault="009B1D06">
      <w:pPr>
        <w:rPr>
          <w:rFonts w:ascii="Segoe UI" w:hAnsi="Segoe UI" w:cs="Segoe UI"/>
          <w:color w:val="595959"/>
          <w:szCs w:val="21"/>
        </w:rPr>
      </w:pPr>
      <w:r>
        <w:rPr>
          <w:rFonts w:ascii="Segoe UI" w:hAnsi="Segoe UI" w:cs="Segoe UI"/>
          <w:color w:val="595959"/>
          <w:szCs w:val="21"/>
        </w:rPr>
        <w:t>image: hilary swift/new york times/redux/eyevine</w:t>
      </w:r>
    </w:p>
    <w:p w:rsidR="009B1D06" w:rsidRDefault="009B1D06">
      <w:pPr>
        <w:rPr>
          <w:rStyle w:val="css-1a0w51d"/>
          <w:rFonts w:ascii="var(--ds-type-system-sans)" w:hAnsi="var(--ds-type-system-sans)" w:hint="eastAsia"/>
          <w:caps/>
          <w:bdr w:val="none" w:sz="0" w:space="0" w:color="auto" w:frame="1"/>
        </w:rPr>
      </w:pPr>
      <w:r>
        <w:t>Nov 23rd 2023</w:t>
      </w:r>
      <w:r>
        <w:rPr>
          <w:rFonts w:ascii="Charter" w:hAnsi="Charter"/>
          <w:color w:val="B3B3B3"/>
        </w:rPr>
        <w:t> | </w:t>
      </w:r>
      <w:r>
        <w:rPr>
          <w:rStyle w:val="css-1a0w51d"/>
          <w:rFonts w:ascii="var(--ds-type-system-sans)" w:hAnsi="var(--ds-type-system-sans)"/>
          <w:caps/>
          <w:bdr w:val="none" w:sz="0" w:space="0" w:color="auto" w:frame="1"/>
        </w:rPr>
        <w:t>WASHINGTON, DC</w:t>
      </w:r>
    </w:p>
    <w:p w:rsidR="009B1D06" w:rsidRPr="001A0F80" w:rsidRDefault="009B1D06" w:rsidP="008C5A17">
      <w:pPr>
        <w:widowControl/>
        <w:spacing w:before="100" w:beforeAutospacing="1" w:after="100" w:afterAutospacing="1" w:line="480" w:lineRule="exact"/>
        <w:textAlignment w:val="baseline"/>
        <w:rPr>
          <w:rFonts w:ascii="Charter" w:eastAsia="Times New Roman" w:hAnsi="Charter" w:cs="Times New Roman"/>
          <w:color w:val="0D0D0D"/>
          <w:kern w:val="0"/>
          <w:sz w:val="28"/>
          <w:szCs w:val="28"/>
        </w:rPr>
      </w:pPr>
      <w:r w:rsidRPr="001A0F80">
        <w:rPr>
          <w:rFonts w:ascii="inherit" w:eastAsia="Times New Roman" w:hAnsi="inherit" w:cs="Times New Roman"/>
          <w:caps/>
          <w:color w:val="0D0D0D"/>
          <w:kern w:val="0"/>
          <w:sz w:val="28"/>
          <w:szCs w:val="28"/>
          <w:bdr w:val="none" w:sz="0" w:space="0" w:color="auto" w:frame="1"/>
        </w:rPr>
        <w:t>N</w:t>
      </w:r>
      <w:r w:rsidRPr="001A0F80">
        <w:rPr>
          <w:rFonts w:ascii="Charter" w:eastAsia="Times New Roman" w:hAnsi="Charter" w:cs="Times New Roman"/>
          <w:color w:val="0D0D0D"/>
          <w:kern w:val="0"/>
          <w:sz w:val="28"/>
          <w:szCs w:val="28"/>
          <w:bdr w:val="none" w:sz="0" w:space="0" w:color="auto" w:frame="1"/>
        </w:rPr>
        <w:t>ovember brings </w:t>
      </w:r>
      <w:r w:rsidRPr="001A0F80">
        <w:rPr>
          <w:rFonts w:ascii="Charter" w:eastAsia="Times New Roman" w:hAnsi="Charter" w:cs="Times New Roman"/>
          <w:color w:val="0D0D0D"/>
          <w:kern w:val="0"/>
          <w:sz w:val="28"/>
          <w:szCs w:val="28"/>
        </w:rPr>
        <w:t>with it the beginning of the end of the year. The first frost signals winter has arrived. Thanksgiving marks the start of the holiday season. And from the hallowed halls of every large investment bank come pages and pages of “outlook” research. Their arrival means this year’s economic story is mostly written. Next year is what matters now.</w:t>
      </w:r>
    </w:p>
    <w:p w:rsidR="00CA43B3" w:rsidRPr="009B1D06" w:rsidRDefault="00CA43B3" w:rsidP="009B1D06">
      <w:pPr>
        <w:widowControl/>
        <w:spacing w:before="100" w:beforeAutospacing="1" w:after="100" w:afterAutospacing="1"/>
        <w:jc w:val="left"/>
        <w:textAlignment w:val="baseline"/>
        <w:rPr>
          <w:rFonts w:ascii="Charter" w:eastAsia="Times New Roman" w:hAnsi="Charter" w:cs="Times New Roman"/>
          <w:color w:val="0D0D0D"/>
          <w:kern w:val="0"/>
          <w:sz w:val="24"/>
        </w:rPr>
      </w:pPr>
      <w:r w:rsidRPr="00CA43B3">
        <w:rPr>
          <w:rFonts w:ascii="Charter" w:eastAsia="Times New Roman" w:hAnsi="Charter" w:cs="Times New Roman" w:hint="eastAsia"/>
          <w:color w:val="0D0D0D"/>
          <w:kern w:val="0"/>
          <w:sz w:val="24"/>
        </w:rPr>
        <w:t>11</w:t>
      </w:r>
      <w:r w:rsidRPr="00CA43B3">
        <w:rPr>
          <w:rFonts w:ascii="SimSun" w:eastAsia="SimSun" w:hAnsi="SimSun" w:cs="SimSun" w:hint="eastAsia"/>
          <w:color w:val="0D0D0D"/>
          <w:kern w:val="0"/>
          <w:sz w:val="24"/>
        </w:rPr>
        <w:t>月带来了一年的尾声。第一场霜冻预示着冬天的到来。感恩节标志着假期的开始。而每个大型投资银行的神圣大厅里都会涌现出厚厚一叠的</w:t>
      </w:r>
      <w:r w:rsidRPr="00CA43B3">
        <w:rPr>
          <w:rFonts w:ascii="Charter" w:eastAsia="Times New Roman" w:hAnsi="Charter" w:cs="Times New Roman" w:hint="eastAsia"/>
          <w:color w:val="0D0D0D"/>
          <w:kern w:val="0"/>
          <w:sz w:val="24"/>
        </w:rPr>
        <w:t>“</w:t>
      </w:r>
      <w:r w:rsidRPr="00CA43B3">
        <w:rPr>
          <w:rFonts w:ascii="SimSun" w:eastAsia="SimSun" w:hAnsi="SimSun" w:cs="SimSun" w:hint="eastAsia"/>
          <w:color w:val="0D0D0D"/>
          <w:kern w:val="0"/>
          <w:sz w:val="24"/>
        </w:rPr>
        <w:t>展望</w:t>
      </w:r>
      <w:r w:rsidRPr="00CA43B3">
        <w:rPr>
          <w:rFonts w:ascii="Charter" w:eastAsia="Times New Roman" w:hAnsi="Charter" w:cs="Times New Roman" w:hint="eastAsia"/>
          <w:color w:val="0D0D0D"/>
          <w:kern w:val="0"/>
          <w:sz w:val="24"/>
        </w:rPr>
        <w:t>”</w:t>
      </w:r>
      <w:r w:rsidRPr="00CA43B3">
        <w:rPr>
          <w:rFonts w:ascii="SimSun" w:eastAsia="SimSun" w:hAnsi="SimSun" w:cs="SimSun" w:hint="eastAsia"/>
          <w:color w:val="0D0D0D"/>
          <w:kern w:val="0"/>
          <w:sz w:val="24"/>
        </w:rPr>
        <w:t>研究报告。它们的到来意味着今年的经济故事大体上</w:t>
      </w:r>
      <w:r w:rsidR="007E62A4">
        <w:rPr>
          <w:rFonts w:ascii="SimSun" w:eastAsia="SimSun" w:hAnsi="SimSun" w:cs="SimSun" w:hint="eastAsia"/>
          <w:color w:val="0D0D0D"/>
          <w:kern w:val="0"/>
          <w:sz w:val="24"/>
        </w:rPr>
        <w:t>已</w:t>
      </w:r>
      <w:r w:rsidR="00D30C34">
        <w:rPr>
          <w:rFonts w:ascii="SimSun" w:eastAsia="SimSun" w:hAnsi="SimSun" w:cs="SimSun" w:hint="eastAsia"/>
          <w:color w:val="0D0D0D"/>
          <w:kern w:val="0"/>
          <w:sz w:val="24"/>
        </w:rPr>
        <w:t>写好</w:t>
      </w:r>
      <w:r w:rsidRPr="00CA43B3">
        <w:rPr>
          <w:rFonts w:ascii="SimSun" w:eastAsia="SimSun" w:hAnsi="SimSun" w:cs="SimSun" w:hint="eastAsia"/>
          <w:color w:val="0D0D0D"/>
          <w:kern w:val="0"/>
          <w:sz w:val="24"/>
        </w:rPr>
        <w:t>。现在最重要的是关注明年的情况。</w:t>
      </w:r>
    </w:p>
    <w:p w:rsidR="009B1D06" w:rsidRPr="009B1D06" w:rsidRDefault="00CA43B3" w:rsidP="009B1D06">
      <w:pPr>
        <w:widowControl/>
        <w:jc w:val="left"/>
        <w:textAlignment w:val="baseline"/>
        <w:rPr>
          <w:rFonts w:ascii="Charter" w:eastAsia="Times New Roman" w:hAnsi="Charter" w:cs="Times New Roman"/>
          <w:color w:val="0D0D0D"/>
          <w:kern w:val="0"/>
          <w:sz w:val="24"/>
        </w:rPr>
      </w:pPr>
      <w:r w:rsidRPr="009B1D06">
        <w:rPr>
          <w:rFonts w:ascii="Charter" w:eastAsia="Times New Roman" w:hAnsi="Charter" w:cs="Times New Roman"/>
          <w:noProof/>
          <w:color w:val="0D0D0D"/>
          <w:kern w:val="0"/>
          <w:sz w:val="24"/>
        </w:rPr>
        <w:lastRenderedPageBreak/>
        <w:drawing>
          <wp:anchor distT="0" distB="0" distL="114300" distR="114300" simplePos="0" relativeHeight="251658240" behindDoc="0" locked="0" layoutInCell="1" allowOverlap="1">
            <wp:simplePos x="0" y="0"/>
            <wp:positionH relativeFrom="column">
              <wp:posOffset>0</wp:posOffset>
            </wp:positionH>
            <wp:positionV relativeFrom="paragraph">
              <wp:posOffset>12065</wp:posOffset>
            </wp:positionV>
            <wp:extent cx="2702560" cy="2780030"/>
            <wp:effectExtent l="0" t="0" r="2540" b="1270"/>
            <wp:wrapThrough wrapText="bothSides">
              <wp:wrapPolygon edited="0">
                <wp:start x="0" y="0"/>
                <wp:lineTo x="0" y="21511"/>
                <wp:lineTo x="21519" y="21511"/>
                <wp:lineTo x="21519"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2560" cy="2780030"/>
                    </a:xfrm>
                    <a:prstGeom prst="rect">
                      <a:avLst/>
                    </a:prstGeom>
                    <a:noFill/>
                    <a:ln>
                      <a:noFill/>
                    </a:ln>
                  </pic:spPr>
                </pic:pic>
              </a:graphicData>
            </a:graphic>
            <wp14:sizeRelH relativeFrom="page">
              <wp14:pctWidth>0</wp14:pctWidth>
            </wp14:sizeRelH>
            <wp14:sizeRelV relativeFrom="page">
              <wp14:pctHeight>0</wp14:pctHeight>
            </wp14:sizeRelV>
          </wp:anchor>
        </w:drawing>
      </w:r>
      <w:r w:rsidR="009B1D06" w:rsidRPr="009B1D06">
        <w:rPr>
          <w:rFonts w:ascii="Charter" w:eastAsia="Times New Roman" w:hAnsi="Charter" w:cs="Times New Roman"/>
          <w:color w:val="0D0D0D"/>
          <w:kern w:val="0"/>
          <w:sz w:val="24"/>
        </w:rPr>
        <w:fldChar w:fldCharType="begin"/>
      </w:r>
      <w:r w:rsidR="009B1D06" w:rsidRPr="009B1D06">
        <w:rPr>
          <w:rFonts w:ascii="Charter" w:eastAsia="Times New Roman" w:hAnsi="Charter" w:cs="Times New Roman"/>
          <w:color w:val="0D0D0D"/>
          <w:kern w:val="0"/>
          <w:sz w:val="24"/>
        </w:rPr>
        <w:instrText xml:space="preserve"> INCLUDEPICTURE "https://www.economist.com/cdn-cgi/image/width=1424,quality=80,format=auto/content-assets/images/20231125_FNC509.png" \* MERGEFORMATINET </w:instrText>
      </w:r>
      <w:r w:rsidR="00000000">
        <w:rPr>
          <w:rFonts w:ascii="Charter" w:eastAsia="Times New Roman" w:hAnsi="Charter" w:cs="Times New Roman"/>
          <w:color w:val="0D0D0D"/>
          <w:kern w:val="0"/>
          <w:sz w:val="24"/>
        </w:rPr>
        <w:fldChar w:fldCharType="separate"/>
      </w:r>
      <w:r w:rsidR="009B1D06" w:rsidRPr="009B1D06">
        <w:rPr>
          <w:rFonts w:ascii="Charter" w:eastAsia="Times New Roman" w:hAnsi="Charter" w:cs="Times New Roman"/>
          <w:color w:val="0D0D0D"/>
          <w:kern w:val="0"/>
          <w:sz w:val="24"/>
        </w:rPr>
        <w:fldChar w:fldCharType="end"/>
      </w:r>
      <w:r w:rsidR="009B1D06" w:rsidRPr="009B1D06">
        <w:rPr>
          <w:rFonts w:ascii="Charter" w:eastAsia="Times New Roman" w:hAnsi="Charter" w:cs="Times New Roman"/>
          <w:color w:val="0D0D0D"/>
          <w:kern w:val="0"/>
          <w:sz w:val="24"/>
          <w:bdr w:val="none" w:sz="0" w:space="0" w:color="auto" w:frame="1"/>
        </w:rPr>
        <w:t>image: the economist</w:t>
      </w:r>
    </w:p>
    <w:p w:rsidR="009B1D06" w:rsidRPr="001A0F80" w:rsidRDefault="009B1D06" w:rsidP="00827A9D">
      <w:pPr>
        <w:widowControl/>
        <w:spacing w:before="100" w:beforeAutospacing="1" w:after="100" w:afterAutospacing="1" w:line="480" w:lineRule="exact"/>
        <w:textAlignment w:val="baseline"/>
        <w:rPr>
          <w:rFonts w:ascii="Charter" w:eastAsia="Times New Roman" w:hAnsi="Charter" w:cs="Times New Roman"/>
          <w:color w:val="0D0D0D"/>
          <w:kern w:val="0"/>
          <w:sz w:val="28"/>
          <w:szCs w:val="28"/>
        </w:rPr>
      </w:pPr>
      <w:r w:rsidRPr="009B1D06">
        <w:rPr>
          <w:rFonts w:ascii="Charter" w:eastAsia="Times New Roman" w:hAnsi="Charter" w:cs="Times New Roman"/>
          <w:color w:val="0D0D0D"/>
          <w:kern w:val="0"/>
          <w:sz w:val="24"/>
        </w:rPr>
        <w:t>O</w:t>
      </w:r>
      <w:r w:rsidRPr="001A0F80">
        <w:rPr>
          <w:rFonts w:ascii="Charter" w:eastAsia="Times New Roman" w:hAnsi="Charter" w:cs="Times New Roman"/>
          <w:color w:val="0D0D0D"/>
          <w:kern w:val="0"/>
          <w:sz w:val="28"/>
          <w:szCs w:val="28"/>
        </w:rPr>
        <w:t>ften an investor thumbing through all these will experience a sense of déjà vu. With all the vanity of small differences, researchers will elaborate on why their forecast for growth or inflation deviates by perhaps 30 or 40 hundredths of a percentage point from the “consensus” of their peers. (Your correspondent once penned such outlooks herself.)</w:t>
      </w:r>
    </w:p>
    <w:p w:rsidR="006B3D32" w:rsidRPr="006B3D32" w:rsidRDefault="006B3D32" w:rsidP="006B3D32">
      <w:pPr>
        <w:rPr>
          <w:rFonts w:ascii="Charter" w:eastAsia="Times New Roman" w:hAnsi="Charter" w:cs="Times New Roman"/>
          <w:color w:val="0D0D0D"/>
          <w:kern w:val="0"/>
          <w:sz w:val="24"/>
        </w:rPr>
      </w:pPr>
      <w:r w:rsidRPr="006B3D32">
        <w:rPr>
          <w:rFonts w:ascii="SimSun" w:eastAsia="SimSun" w:hAnsi="SimSun" w:cs="SimSun" w:hint="eastAsia"/>
          <w:color w:val="0D0D0D"/>
          <w:kern w:val="0"/>
          <w:sz w:val="24"/>
        </w:rPr>
        <w:t>投资者在阅读这些报告时，往往会感到一种似曾相识的感觉。研究人员们</w:t>
      </w:r>
      <w:r w:rsidR="00DC57DA">
        <w:rPr>
          <w:rFonts w:ascii="SimSun" w:eastAsia="SimSun" w:hAnsi="SimSun" w:cs="SimSun" w:hint="eastAsia"/>
          <w:color w:val="0D0D0D"/>
          <w:kern w:val="0"/>
          <w:sz w:val="24"/>
        </w:rPr>
        <w:t>会带着寻找细微差异的虚荣心，</w:t>
      </w:r>
      <w:r w:rsidRPr="006B3D32">
        <w:rPr>
          <w:rFonts w:ascii="SimSun" w:eastAsia="SimSun" w:hAnsi="SimSun" w:cs="SimSun" w:hint="eastAsia"/>
          <w:color w:val="0D0D0D"/>
          <w:kern w:val="0"/>
          <w:sz w:val="24"/>
        </w:rPr>
        <w:t>详细阐述为什么他们对于经济增长或通胀的预测与同行的</w:t>
      </w:r>
      <w:r w:rsidRPr="001A491D">
        <w:rPr>
          <w:rFonts w:ascii="SimSun" w:eastAsia="SimSun" w:hAnsi="SimSun" w:cs="SimSun" w:hint="eastAsia"/>
          <w:color w:val="0D0D0D"/>
          <w:kern w:val="0"/>
          <w:sz w:val="24"/>
        </w:rPr>
        <w:t>“</w:t>
      </w:r>
      <w:r w:rsidRPr="006B3D32">
        <w:rPr>
          <w:rFonts w:ascii="SimSun" w:eastAsia="SimSun" w:hAnsi="SimSun" w:cs="SimSun" w:hint="eastAsia"/>
          <w:color w:val="0D0D0D"/>
          <w:kern w:val="0"/>
          <w:sz w:val="24"/>
        </w:rPr>
        <w:t>共识</w:t>
      </w:r>
      <w:r w:rsidRPr="001A491D">
        <w:rPr>
          <w:rFonts w:ascii="SimSun" w:eastAsia="SimSun" w:hAnsi="SimSun" w:cs="SimSun" w:hint="eastAsia"/>
          <w:color w:val="0D0D0D"/>
          <w:kern w:val="0"/>
          <w:sz w:val="24"/>
        </w:rPr>
        <w:t>”</w:t>
      </w:r>
      <w:r w:rsidRPr="006B3D32">
        <w:rPr>
          <w:rFonts w:ascii="SimSun" w:eastAsia="SimSun" w:hAnsi="SimSun" w:cs="SimSun" w:hint="eastAsia"/>
          <w:color w:val="0D0D0D"/>
          <w:kern w:val="0"/>
          <w:sz w:val="24"/>
        </w:rPr>
        <w:t>相比可能有</w:t>
      </w:r>
      <w:r w:rsidR="00DC57DA">
        <w:rPr>
          <w:rFonts w:ascii="SimSun" w:eastAsia="SimSun" w:hAnsi="SimSun" w:cs="SimSun"/>
          <w:color w:val="0D0D0D"/>
          <w:kern w:val="0"/>
          <w:sz w:val="24"/>
        </w:rPr>
        <w:t>3</w:t>
      </w:r>
      <w:r w:rsidR="00DC57DA">
        <w:rPr>
          <w:rFonts w:ascii="SimSun" w:eastAsia="SimSun" w:hAnsi="SimSun" w:cs="SimSun" w:hint="eastAsia"/>
          <w:color w:val="0D0D0D"/>
          <w:kern w:val="0"/>
          <w:sz w:val="24"/>
        </w:rPr>
        <w:t>到4个百分点</w:t>
      </w:r>
      <w:r w:rsidRPr="006B3D32">
        <w:rPr>
          <w:rFonts w:ascii="SimSun" w:eastAsia="SimSun" w:hAnsi="SimSun" w:cs="SimSun" w:hint="eastAsia"/>
          <w:color w:val="0D0D0D"/>
          <w:kern w:val="0"/>
          <w:sz w:val="24"/>
        </w:rPr>
        <w:t>的差异，尽管这些差异并不重要。（您的通讯员自己也曾撰写过这样的展望报告。）</w:t>
      </w:r>
    </w:p>
    <w:p w:rsidR="009B1D06" w:rsidRPr="00827A9D" w:rsidRDefault="009B1D06" w:rsidP="00827A9D">
      <w:pPr>
        <w:widowControl/>
        <w:spacing w:before="100" w:beforeAutospacing="1" w:after="100" w:afterAutospacing="1" w:line="480" w:lineRule="exact"/>
        <w:textAlignment w:val="baseline"/>
        <w:rPr>
          <w:rFonts w:ascii="Charter" w:eastAsia="Times New Roman" w:hAnsi="Charter" w:cs="Times New Roman"/>
          <w:color w:val="0D0D0D"/>
          <w:kern w:val="0"/>
          <w:sz w:val="28"/>
          <w:szCs w:val="28"/>
        </w:rPr>
      </w:pPr>
      <w:r w:rsidRPr="00827A9D">
        <w:rPr>
          <w:rFonts w:ascii="Charter" w:eastAsia="Times New Roman" w:hAnsi="Charter" w:cs="Times New Roman"/>
          <w:color w:val="0D0D0D"/>
          <w:kern w:val="0"/>
          <w:sz w:val="28"/>
          <w:szCs w:val="28"/>
        </w:rPr>
        <w:t>Yet this year’s crop did not deliver soporific sameness. Goldman Sachs expects growth in America to be robust, at 2.1%, around double the level that economists at ubs foresee. Some banks see inflation falling by half in 2024. Others think it will remain sticky, only dropping to around 3%, still well above the Federal Reserve’s target. Expectations for what the Fed will end up doing with interest rates range, accordingly, from basically nothing to 2.75 percentage points of rate cuts.</w:t>
      </w:r>
    </w:p>
    <w:p w:rsidR="00C218BA" w:rsidRPr="009B1D06" w:rsidRDefault="00C218BA" w:rsidP="001A491D">
      <w:pPr>
        <w:widowControl/>
        <w:spacing w:beforeAutospacing="1" w:afterAutospacing="1"/>
        <w:textAlignment w:val="baseline"/>
        <w:rPr>
          <w:rFonts w:ascii="Charter" w:eastAsia="Times New Roman" w:hAnsi="Charter" w:cs="Times New Roman"/>
          <w:color w:val="0D0D0D"/>
          <w:kern w:val="0"/>
          <w:sz w:val="24"/>
        </w:rPr>
      </w:pPr>
      <w:r w:rsidRPr="00C218BA">
        <w:rPr>
          <w:rFonts w:ascii="SimSun" w:eastAsia="SimSun" w:hAnsi="SimSun" w:cs="SimSun" w:hint="eastAsia"/>
          <w:color w:val="0D0D0D"/>
          <w:kern w:val="0"/>
          <w:sz w:val="24"/>
        </w:rPr>
        <w:t>然而，今年的预测并没有呈现出令人昏昏欲睡的千篇一律</w:t>
      </w:r>
      <w:r>
        <w:rPr>
          <w:rFonts w:ascii="SimSun" w:eastAsia="SimSun" w:hAnsi="SimSun" w:cs="SimSun" w:hint="eastAsia"/>
          <w:color w:val="0D0D0D"/>
          <w:kern w:val="0"/>
          <w:sz w:val="24"/>
        </w:rPr>
        <w:t>。</w:t>
      </w:r>
      <w:r w:rsidRPr="00C218BA">
        <w:rPr>
          <w:rFonts w:ascii="SimSun" w:eastAsia="SimSun" w:hAnsi="SimSun" w:cs="SimSun" w:hint="eastAsia"/>
          <w:color w:val="0D0D0D"/>
          <w:kern w:val="0"/>
          <w:sz w:val="24"/>
        </w:rPr>
        <w:t>高盛预计美国的经济</w:t>
      </w:r>
      <w:r>
        <w:rPr>
          <w:rFonts w:ascii="SimSun" w:eastAsia="SimSun" w:hAnsi="SimSun" w:cs="SimSun" w:hint="eastAsia"/>
          <w:color w:val="0D0D0D"/>
          <w:kern w:val="0"/>
          <w:sz w:val="24"/>
        </w:rPr>
        <w:t>会以2</w:t>
      </w:r>
      <w:r>
        <w:rPr>
          <w:rFonts w:ascii="SimSun" w:eastAsia="SimSun" w:hAnsi="SimSun" w:cs="SimSun"/>
          <w:color w:val="0D0D0D"/>
          <w:kern w:val="0"/>
          <w:sz w:val="24"/>
        </w:rPr>
        <w:t>.1%</w:t>
      </w:r>
      <w:r>
        <w:rPr>
          <w:rFonts w:ascii="SimSun" w:eastAsia="SimSun" w:hAnsi="SimSun" w:cs="SimSun" w:hint="eastAsia"/>
          <w:color w:val="0D0D0D"/>
          <w:kern w:val="0"/>
          <w:sz w:val="24"/>
        </w:rPr>
        <w:t>的比例迅猛增长，</w:t>
      </w:r>
      <w:r w:rsidRPr="00C218BA">
        <w:rPr>
          <w:rFonts w:ascii="SimSun" w:eastAsia="SimSun" w:hAnsi="SimSun" w:cs="SimSun" w:hint="eastAsia"/>
          <w:color w:val="0D0D0D"/>
          <w:kern w:val="0"/>
          <w:sz w:val="24"/>
        </w:rPr>
        <w:t>大约是瑞士银行经济学家预测水平的两倍</w:t>
      </w:r>
      <w:r>
        <w:rPr>
          <w:rFonts w:ascii="SimSun" w:eastAsia="SimSun" w:hAnsi="SimSun" w:cs="SimSun" w:hint="eastAsia"/>
          <w:color w:val="0D0D0D"/>
          <w:kern w:val="0"/>
          <w:sz w:val="24"/>
        </w:rPr>
        <w:t>。</w:t>
      </w:r>
      <w:r w:rsidR="00EC45E8" w:rsidRPr="00EC45E8">
        <w:rPr>
          <w:rFonts w:ascii="SimSun" w:eastAsia="SimSun" w:hAnsi="SimSun" w:cs="SimSun" w:hint="eastAsia"/>
          <w:color w:val="0D0D0D"/>
          <w:kern w:val="0"/>
          <w:sz w:val="24"/>
        </w:rPr>
        <w:t>一些银行预计2024年的通胀率将下降一半。其他银行则认为通胀率将保持稳定，仅下降约3%，</w:t>
      </w:r>
      <w:r w:rsidR="00A649DB">
        <w:rPr>
          <w:rFonts w:ascii="SimSun" w:eastAsia="SimSun" w:hAnsi="SimSun" w:cs="SimSun" w:hint="eastAsia"/>
          <w:color w:val="0D0D0D"/>
          <w:kern w:val="0"/>
          <w:sz w:val="24"/>
        </w:rPr>
        <w:t>下降后的通胀率</w:t>
      </w:r>
      <w:r w:rsidR="00EC45E8" w:rsidRPr="00EC45E8">
        <w:rPr>
          <w:rFonts w:ascii="SimSun" w:eastAsia="SimSun" w:hAnsi="SimSun" w:cs="SimSun" w:hint="eastAsia"/>
          <w:color w:val="0D0D0D"/>
          <w:kern w:val="0"/>
          <w:sz w:val="24"/>
        </w:rPr>
        <w:t>仍远高于美联储的目标。</w:t>
      </w:r>
      <w:r w:rsidR="007C7BF3" w:rsidRPr="007C7BF3">
        <w:rPr>
          <w:rFonts w:ascii="SimSun" w:eastAsia="SimSun" w:hAnsi="SimSun" w:cs="SimSun" w:hint="eastAsia"/>
          <w:color w:val="0D0D0D"/>
          <w:kern w:val="0"/>
          <w:sz w:val="24"/>
        </w:rPr>
        <w:t>美联储最终将如何调整利率</w:t>
      </w:r>
      <w:r w:rsidR="007C7BF3">
        <w:rPr>
          <w:rFonts w:ascii="SimSun" w:eastAsia="SimSun" w:hAnsi="SimSun" w:cs="SimSun" w:hint="eastAsia"/>
          <w:color w:val="0D0D0D"/>
          <w:kern w:val="0"/>
          <w:sz w:val="24"/>
        </w:rPr>
        <w:t>，</w:t>
      </w:r>
      <w:r w:rsidR="00EC45E8" w:rsidRPr="00EC45E8">
        <w:rPr>
          <w:rFonts w:ascii="SimSun" w:eastAsia="SimSun" w:hAnsi="SimSun" w:cs="SimSun" w:hint="eastAsia"/>
          <w:color w:val="0D0D0D"/>
          <w:kern w:val="0"/>
          <w:sz w:val="24"/>
        </w:rPr>
        <w:t>预期范围从基本上无变化到降息2.75个百分点不等。</w:t>
      </w:r>
    </w:p>
    <w:p w:rsidR="009B1D06" w:rsidRPr="00827A9D" w:rsidRDefault="009B1D06" w:rsidP="00827A9D">
      <w:pPr>
        <w:widowControl/>
        <w:spacing w:before="100" w:beforeAutospacing="1" w:after="100" w:afterAutospacing="1" w:line="480" w:lineRule="exact"/>
        <w:textAlignment w:val="baseline"/>
        <w:rPr>
          <w:rFonts w:ascii="Charter" w:eastAsia="Times New Roman" w:hAnsi="Charter" w:cs="Times New Roman"/>
          <w:color w:val="0D0D0D"/>
          <w:kern w:val="0"/>
          <w:sz w:val="28"/>
          <w:szCs w:val="28"/>
        </w:rPr>
      </w:pPr>
      <w:r w:rsidRPr="00827A9D">
        <w:rPr>
          <w:rFonts w:ascii="Charter" w:eastAsia="Times New Roman" w:hAnsi="Charter" w:cs="Times New Roman"/>
          <w:color w:val="0D0D0D"/>
          <w:kern w:val="0"/>
          <w:sz w:val="28"/>
          <w:szCs w:val="28"/>
        </w:rPr>
        <w:lastRenderedPageBreak/>
        <w:t>The differences between these scenarios come down to more than simple disagreement over growth prospects. Economists at Goldman might think growth and inflation will stay hot whereas those at ubs think both will slow down sharply. But Bank of America expects comparative stagflation, combining only a modest reduction in inflation with a pretty sharp drop in growth (and therefore little movement in the Fed’s policy rates). Morgan Stanley expects the opposite: a version of the “immaculate disinflation” world in which inflation can come back to target without growth dropping below trend much at all.</w:t>
      </w:r>
    </w:p>
    <w:p w:rsidR="00C25C62" w:rsidRPr="001A491D" w:rsidRDefault="00C25C62" w:rsidP="001A491D">
      <w:pPr>
        <w:widowControl/>
        <w:spacing w:beforeAutospacing="1" w:afterAutospacing="1"/>
        <w:textAlignment w:val="baseline"/>
        <w:rPr>
          <w:rFonts w:ascii="SimSun" w:eastAsia="SimSun" w:hAnsi="SimSun" w:cs="SimSun"/>
          <w:color w:val="0D0D0D"/>
          <w:kern w:val="0"/>
          <w:sz w:val="24"/>
        </w:rPr>
      </w:pPr>
      <w:r w:rsidRPr="001A491D">
        <w:rPr>
          <w:rFonts w:ascii="SimSun" w:eastAsia="SimSun" w:hAnsi="SimSun" w:cs="SimSun" w:hint="eastAsia"/>
          <w:color w:val="0D0D0D"/>
          <w:kern w:val="0"/>
          <w:sz w:val="24"/>
        </w:rPr>
        <w:t>这些数据之间的差异不仅仅是关于增长前景的简单分歧。</w:t>
      </w:r>
      <w:r w:rsidR="00B30B00" w:rsidRPr="001A491D">
        <w:rPr>
          <w:rFonts w:ascii="SimSun" w:eastAsia="SimSun" w:hAnsi="SimSun" w:cs="SimSun" w:hint="eastAsia"/>
          <w:color w:val="0D0D0D"/>
          <w:kern w:val="0"/>
          <w:sz w:val="24"/>
        </w:rPr>
        <w:t>高盛的经济学家可能认为经济增长和通胀将保持火热状态，而瑞士银行的经济学家则认为二者将急剧放缓。</w:t>
      </w:r>
      <w:r w:rsidR="00350390" w:rsidRPr="001A491D">
        <w:rPr>
          <w:rFonts w:ascii="SimSun" w:eastAsia="SimSun" w:hAnsi="SimSun" w:cs="SimSun" w:hint="eastAsia"/>
          <w:color w:val="0D0D0D"/>
          <w:kern w:val="0"/>
          <w:sz w:val="24"/>
        </w:rPr>
        <w:t>然而，美国银行预计的是一种相对滞涨的情景，即通胀略有下降，而经济增长却大幅下滑（因此美联储的政策利率变动很小）。摩根士丹利则预计相反的情景：一种“完美无瑕的通缩”世界，其中通胀可以回归目标水平，而经济增长</w:t>
      </w:r>
      <w:r w:rsidR="005E7112" w:rsidRPr="001A491D">
        <w:rPr>
          <w:rFonts w:ascii="SimSun" w:eastAsia="SimSun" w:hAnsi="SimSun" w:cs="SimSun" w:hint="eastAsia"/>
          <w:color w:val="0D0D0D"/>
          <w:kern w:val="0"/>
          <w:sz w:val="24"/>
        </w:rPr>
        <w:t>基本上不会</w:t>
      </w:r>
      <w:r w:rsidR="00350390" w:rsidRPr="001A491D">
        <w:rPr>
          <w:rFonts w:ascii="SimSun" w:eastAsia="SimSun" w:hAnsi="SimSun" w:cs="SimSun" w:hint="eastAsia"/>
          <w:color w:val="0D0D0D"/>
          <w:kern w:val="0"/>
          <w:sz w:val="24"/>
        </w:rPr>
        <w:t>低于趋势水平。</w:t>
      </w:r>
    </w:p>
    <w:p w:rsidR="009B1D06" w:rsidRPr="00827A9D" w:rsidRDefault="009B1D06" w:rsidP="00827A9D">
      <w:pPr>
        <w:widowControl/>
        <w:spacing w:before="100" w:beforeAutospacing="1" w:after="100" w:afterAutospacing="1" w:line="480" w:lineRule="exact"/>
        <w:textAlignment w:val="baseline"/>
        <w:rPr>
          <w:rFonts w:ascii="Charter" w:eastAsia="Times New Roman" w:hAnsi="Charter" w:cs="Times New Roman"/>
          <w:color w:val="0D0D0D"/>
          <w:kern w:val="0"/>
          <w:sz w:val="28"/>
          <w:szCs w:val="28"/>
        </w:rPr>
      </w:pPr>
      <w:r w:rsidRPr="00827A9D">
        <w:rPr>
          <w:rFonts w:ascii="Charter" w:eastAsia="Times New Roman" w:hAnsi="Charter" w:cs="Times New Roman"/>
          <w:color w:val="0D0D0D"/>
          <w:kern w:val="0"/>
          <w:sz w:val="28"/>
          <w:szCs w:val="28"/>
        </w:rPr>
        <w:t>That each of the outcomes bank economists describe feels eminently plausible is a testament to the sheer level of uncertainty out there. Almost everyone has been surprised in turn by how hot inflation was, the speed of rate rises required to quell it and then the resilience of the economy. It is as if being repeatedly wrongfooted has given economic soothsayers more freedom: if nobody knows what will happen, you might as well say what you really think.</w:t>
      </w:r>
    </w:p>
    <w:p w:rsidR="00D634B4" w:rsidRPr="001A491D" w:rsidRDefault="00D634B4" w:rsidP="001A491D">
      <w:pPr>
        <w:widowControl/>
        <w:spacing w:beforeAutospacing="1" w:afterAutospacing="1"/>
        <w:textAlignment w:val="baseline"/>
        <w:rPr>
          <w:rFonts w:ascii="SimSun" w:eastAsia="SimSun" w:hAnsi="SimSun" w:cs="SimSun"/>
          <w:color w:val="0D0D0D"/>
          <w:kern w:val="0"/>
          <w:sz w:val="24"/>
        </w:rPr>
      </w:pPr>
      <w:r w:rsidRPr="00D634B4">
        <w:rPr>
          <w:rFonts w:ascii="SimSun" w:eastAsia="SimSun" w:hAnsi="SimSun" w:cs="SimSun" w:hint="eastAsia"/>
          <w:color w:val="0D0D0D"/>
          <w:kern w:val="0"/>
          <w:sz w:val="24"/>
        </w:rPr>
        <w:t>银行经济学家描述的每个结果都似乎非常可信，这证明了当前极高的不确定性水平。几乎每个人都被通胀的高涨、为控制通胀而需要迅速加息以及经济的抗压能力所惊讶。就像</w:t>
      </w:r>
      <w:r>
        <w:rPr>
          <w:rFonts w:ascii="SimSun" w:eastAsia="SimSun" w:hAnsi="SimSun" w:cs="SimSun" w:hint="eastAsia"/>
          <w:color w:val="0D0D0D"/>
          <w:kern w:val="0"/>
          <w:sz w:val="24"/>
        </w:rPr>
        <w:t>一次又一次</w:t>
      </w:r>
      <w:r w:rsidRPr="00D634B4">
        <w:rPr>
          <w:rFonts w:ascii="SimSun" w:eastAsia="SimSun" w:hAnsi="SimSun" w:cs="SimSun" w:hint="eastAsia"/>
          <w:color w:val="0D0D0D"/>
          <w:kern w:val="0"/>
          <w:sz w:val="24"/>
        </w:rPr>
        <w:t>打乱了脚步</w:t>
      </w:r>
      <w:r>
        <w:rPr>
          <w:rFonts w:ascii="SimSun" w:eastAsia="SimSun" w:hAnsi="SimSun" w:cs="SimSun" w:hint="eastAsia"/>
          <w:color w:val="0D0D0D"/>
          <w:kern w:val="0"/>
          <w:sz w:val="24"/>
        </w:rPr>
        <w:t>，反到</w:t>
      </w:r>
      <w:r w:rsidRPr="00D634B4">
        <w:rPr>
          <w:rFonts w:ascii="SimSun" w:eastAsia="SimSun" w:hAnsi="SimSun" w:cs="SimSun" w:hint="eastAsia"/>
          <w:color w:val="0D0D0D"/>
          <w:kern w:val="0"/>
          <w:sz w:val="24"/>
        </w:rPr>
        <w:t>给了经济预言家更多的自由：如果没有人知道会发生什么，那么你可以说出你真正的想法。</w:t>
      </w:r>
    </w:p>
    <w:p w:rsidR="009B1D06" w:rsidRPr="00827A9D" w:rsidRDefault="009B1D06" w:rsidP="00827A9D">
      <w:pPr>
        <w:widowControl/>
        <w:spacing w:before="100" w:beforeAutospacing="1" w:after="100" w:afterAutospacing="1" w:line="480" w:lineRule="exact"/>
        <w:textAlignment w:val="baseline"/>
        <w:rPr>
          <w:rFonts w:ascii="Charter" w:eastAsia="Times New Roman" w:hAnsi="Charter" w:cs="Times New Roman"/>
          <w:color w:val="0D0D0D"/>
          <w:kern w:val="0"/>
          <w:sz w:val="28"/>
          <w:szCs w:val="28"/>
        </w:rPr>
      </w:pPr>
      <w:r w:rsidRPr="00827A9D">
        <w:rPr>
          <w:rFonts w:ascii="Charter" w:eastAsia="Times New Roman" w:hAnsi="Charter" w:cs="Times New Roman"/>
          <w:color w:val="0D0D0D"/>
          <w:kern w:val="0"/>
          <w:sz w:val="28"/>
          <w:szCs w:val="28"/>
        </w:rPr>
        <w:t xml:space="preserve">The result is a bewildering array of analogies. Economists at Deutsche Bank think the economy is heading back to the 1970s, with central bankers playing whack-a-mole with inflation. Those at ubs expect a “’90s redux”—a </w:t>
      </w:r>
      <w:r w:rsidRPr="00827A9D">
        <w:rPr>
          <w:rFonts w:ascii="Charter" w:eastAsia="Times New Roman" w:hAnsi="Charter" w:cs="Times New Roman"/>
          <w:color w:val="0D0D0D"/>
          <w:kern w:val="0"/>
          <w:sz w:val="28"/>
          <w:szCs w:val="28"/>
        </w:rPr>
        <w:lastRenderedPageBreak/>
        <w:t>slowdown in growth as rates bite, followed by a boom as new technology drives productivity gains. Jan Hatzius of Goldman thinks comparisons with decades past are “too simple” and may lead investors astray.</w:t>
      </w:r>
    </w:p>
    <w:p w:rsidR="00A316C1" w:rsidRPr="009B1D06" w:rsidRDefault="00BA101D" w:rsidP="001A491D">
      <w:pPr>
        <w:widowControl/>
        <w:spacing w:beforeAutospacing="1" w:afterAutospacing="1"/>
        <w:textAlignment w:val="baseline"/>
        <w:rPr>
          <w:rFonts w:ascii="Charter" w:eastAsia="Times New Roman" w:hAnsi="Charter" w:cs="Times New Roman"/>
          <w:color w:val="0D0D0D"/>
          <w:kern w:val="0"/>
          <w:sz w:val="24"/>
        </w:rPr>
      </w:pPr>
      <w:r w:rsidRPr="00BA101D">
        <w:rPr>
          <w:rFonts w:ascii="SimSun" w:eastAsia="SimSun" w:hAnsi="SimSun" w:cs="SimSun" w:hint="eastAsia"/>
          <w:color w:val="0D0D0D"/>
          <w:kern w:val="0"/>
          <w:sz w:val="24"/>
        </w:rPr>
        <w:t>结果是一系列令人困惑的类比。德意志银行的经济学家认为经济正在回到</w:t>
      </w:r>
      <w:r w:rsidRPr="00BA101D">
        <w:rPr>
          <w:rFonts w:ascii="Charter" w:eastAsia="Times New Roman" w:hAnsi="Charter" w:cs="Times New Roman" w:hint="eastAsia"/>
          <w:color w:val="0D0D0D"/>
          <w:kern w:val="0"/>
          <w:sz w:val="24"/>
        </w:rPr>
        <w:t>20</w:t>
      </w:r>
      <w:r w:rsidRPr="00BA101D">
        <w:rPr>
          <w:rFonts w:ascii="SimSun" w:eastAsia="SimSun" w:hAnsi="SimSun" w:cs="SimSun" w:hint="eastAsia"/>
          <w:color w:val="0D0D0D"/>
          <w:kern w:val="0"/>
          <w:sz w:val="24"/>
        </w:rPr>
        <w:t>世纪</w:t>
      </w:r>
      <w:r w:rsidRPr="00BA101D">
        <w:rPr>
          <w:rFonts w:ascii="Charter" w:eastAsia="Times New Roman" w:hAnsi="Charter" w:cs="Times New Roman" w:hint="eastAsia"/>
          <w:color w:val="0D0D0D"/>
          <w:kern w:val="0"/>
          <w:sz w:val="24"/>
        </w:rPr>
        <w:t>70</w:t>
      </w:r>
      <w:r w:rsidRPr="00BA101D">
        <w:rPr>
          <w:rFonts w:ascii="SimSun" w:eastAsia="SimSun" w:hAnsi="SimSun" w:cs="SimSun" w:hint="eastAsia"/>
          <w:color w:val="0D0D0D"/>
          <w:kern w:val="0"/>
          <w:sz w:val="24"/>
        </w:rPr>
        <w:t>年代，央行行使打地鼠的职能来应对通胀。瑞士银行的经济学家预计会出现</w:t>
      </w:r>
      <w:r w:rsidRPr="00BA101D">
        <w:rPr>
          <w:rFonts w:ascii="Charter" w:eastAsia="Times New Roman" w:hAnsi="Charter" w:cs="Times New Roman" w:hint="eastAsia"/>
          <w:color w:val="0D0D0D"/>
          <w:kern w:val="0"/>
          <w:sz w:val="24"/>
        </w:rPr>
        <w:t>“90</w:t>
      </w:r>
      <w:r w:rsidRPr="00BA101D">
        <w:rPr>
          <w:rFonts w:ascii="SimSun" w:eastAsia="SimSun" w:hAnsi="SimSun" w:cs="SimSun" w:hint="eastAsia"/>
          <w:color w:val="0D0D0D"/>
          <w:kern w:val="0"/>
          <w:sz w:val="24"/>
        </w:rPr>
        <w:t>年代复兴</w:t>
      </w:r>
      <w:r w:rsidRPr="00BA101D">
        <w:rPr>
          <w:rFonts w:ascii="Charter" w:eastAsia="Times New Roman" w:hAnsi="Charter" w:cs="Times New Roman" w:hint="eastAsia"/>
          <w:color w:val="0D0D0D"/>
          <w:kern w:val="0"/>
          <w:sz w:val="24"/>
        </w:rPr>
        <w:t>”</w:t>
      </w:r>
      <w:r w:rsidRPr="00BA101D">
        <w:rPr>
          <w:rFonts w:ascii="SimSun" w:eastAsia="SimSun" w:hAnsi="SimSun" w:cs="SimSun" w:hint="eastAsia"/>
          <w:color w:val="0D0D0D"/>
          <w:kern w:val="0"/>
          <w:sz w:val="24"/>
        </w:rPr>
        <w:t>，即随着利率上升，经济增长放缓，然后由新技术推动的生产率提升而引发经济繁荣。高盛的</w:t>
      </w:r>
      <w:r w:rsidRPr="00BA101D">
        <w:rPr>
          <w:rFonts w:ascii="Charter" w:eastAsia="Times New Roman" w:hAnsi="Charter" w:cs="Times New Roman" w:hint="eastAsia"/>
          <w:color w:val="0D0D0D"/>
          <w:kern w:val="0"/>
          <w:sz w:val="24"/>
        </w:rPr>
        <w:t>Jan Hatzius</w:t>
      </w:r>
      <w:r w:rsidRPr="00BA101D">
        <w:rPr>
          <w:rFonts w:ascii="SimSun" w:eastAsia="SimSun" w:hAnsi="SimSun" w:cs="SimSun" w:hint="eastAsia"/>
          <w:color w:val="0D0D0D"/>
          <w:kern w:val="0"/>
          <w:sz w:val="24"/>
        </w:rPr>
        <w:t>认为与过去几十年的比较</w:t>
      </w:r>
      <w:r w:rsidRPr="00BA101D">
        <w:rPr>
          <w:rFonts w:ascii="Charter" w:eastAsia="Times New Roman" w:hAnsi="Charter" w:cs="Times New Roman" w:hint="eastAsia"/>
          <w:color w:val="0D0D0D"/>
          <w:kern w:val="0"/>
          <w:sz w:val="24"/>
        </w:rPr>
        <w:t>“</w:t>
      </w:r>
      <w:r w:rsidRPr="00BA101D">
        <w:rPr>
          <w:rFonts w:ascii="SimSun" w:eastAsia="SimSun" w:hAnsi="SimSun" w:cs="SimSun" w:hint="eastAsia"/>
          <w:color w:val="0D0D0D"/>
          <w:kern w:val="0"/>
          <w:sz w:val="24"/>
        </w:rPr>
        <w:t>过于简单</w:t>
      </w:r>
      <w:r w:rsidRPr="00BA101D">
        <w:rPr>
          <w:rFonts w:ascii="Charter" w:eastAsia="Times New Roman" w:hAnsi="Charter" w:cs="Times New Roman" w:hint="eastAsia"/>
          <w:color w:val="0D0D0D"/>
          <w:kern w:val="0"/>
          <w:sz w:val="24"/>
        </w:rPr>
        <w:t>”</w:t>
      </w:r>
      <w:r w:rsidRPr="00BA101D">
        <w:rPr>
          <w:rFonts w:ascii="SimSun" w:eastAsia="SimSun" w:hAnsi="SimSun" w:cs="SimSun" w:hint="eastAsia"/>
          <w:color w:val="0D0D0D"/>
          <w:kern w:val="0"/>
          <w:sz w:val="24"/>
        </w:rPr>
        <w:t>，可能会误导投资者。</w:t>
      </w:r>
    </w:p>
    <w:p w:rsidR="009B1D06" w:rsidRPr="00827A9D" w:rsidRDefault="009B1D06" w:rsidP="00827A9D">
      <w:pPr>
        <w:widowControl/>
        <w:spacing w:before="100" w:beforeAutospacing="1" w:after="100" w:afterAutospacing="1" w:line="480" w:lineRule="exact"/>
        <w:textAlignment w:val="baseline"/>
        <w:rPr>
          <w:rFonts w:ascii="Charter" w:eastAsia="Times New Roman" w:hAnsi="Charter" w:cs="Times New Roman"/>
          <w:color w:val="0D0D0D"/>
          <w:kern w:val="0"/>
          <w:sz w:val="28"/>
          <w:szCs w:val="28"/>
        </w:rPr>
      </w:pPr>
      <w:r w:rsidRPr="00827A9D">
        <w:rPr>
          <w:rFonts w:ascii="Charter" w:eastAsia="Times New Roman" w:hAnsi="Charter" w:cs="Times New Roman"/>
          <w:color w:val="0D0D0D"/>
          <w:kern w:val="0"/>
          <w:sz w:val="28"/>
          <w:szCs w:val="28"/>
        </w:rPr>
        <w:t>There is one similarity in the stories economists are telling, however. Many seem to think the worst is over. “The last mile” was the title of Morgan Stanley’s outlook document; “The hard part is over,” echoed Goldman. They might hope that this applies to both the economy and the difficulty of forecasting. In 2024 the contradictions in America’s economy should resolve themselves. Perhaps in 2025 there will be consensus once more. </w:t>
      </w:r>
    </w:p>
    <w:p w:rsidR="0033366E" w:rsidRPr="009B1D06" w:rsidRDefault="0033366E" w:rsidP="001A491D">
      <w:pPr>
        <w:widowControl/>
        <w:spacing w:before="100" w:beforeAutospacing="1" w:after="100" w:afterAutospacing="1"/>
        <w:textAlignment w:val="baseline"/>
        <w:rPr>
          <w:rFonts w:ascii="Charter" w:eastAsia="Times New Roman" w:hAnsi="Charter" w:cs="Times New Roman" w:hint="eastAsia"/>
          <w:color w:val="0D0D0D"/>
          <w:kern w:val="0"/>
          <w:sz w:val="24"/>
        </w:rPr>
      </w:pPr>
      <w:r w:rsidRPr="0033366E">
        <w:rPr>
          <w:rFonts w:ascii="SimSun" w:eastAsia="SimSun" w:hAnsi="SimSun" w:cs="SimSun" w:hint="eastAsia"/>
          <w:color w:val="0D0D0D"/>
          <w:kern w:val="0"/>
          <w:sz w:val="24"/>
        </w:rPr>
        <w:t>然而，在经济学家们所讲述的故事中存在一个相似之处。许多人似乎认为最糟糕的时期已经过去了。摩根士丹利的展望文件标题为</w:t>
      </w:r>
      <w:r w:rsidRPr="0033366E">
        <w:rPr>
          <w:rFonts w:ascii="Charter" w:eastAsia="Times New Roman" w:hAnsi="Charter" w:cs="Times New Roman" w:hint="eastAsia"/>
          <w:color w:val="0D0D0D"/>
          <w:kern w:val="0"/>
          <w:sz w:val="24"/>
        </w:rPr>
        <w:t>“</w:t>
      </w:r>
      <w:r w:rsidRPr="0033366E">
        <w:rPr>
          <w:rFonts w:ascii="SimSun" w:eastAsia="SimSun" w:hAnsi="SimSun" w:cs="SimSun" w:hint="eastAsia"/>
          <w:color w:val="0D0D0D"/>
          <w:kern w:val="0"/>
          <w:sz w:val="24"/>
        </w:rPr>
        <w:t>最后一英里</w:t>
      </w:r>
      <w:r w:rsidRPr="0033366E">
        <w:rPr>
          <w:rFonts w:ascii="Charter" w:eastAsia="Times New Roman" w:hAnsi="Charter" w:cs="Times New Roman" w:hint="eastAsia"/>
          <w:color w:val="0D0D0D"/>
          <w:kern w:val="0"/>
          <w:sz w:val="24"/>
        </w:rPr>
        <w:t>”</w:t>
      </w:r>
      <w:r w:rsidRPr="0033366E">
        <w:rPr>
          <w:rFonts w:ascii="SimSun" w:eastAsia="SimSun" w:hAnsi="SimSun" w:cs="SimSun" w:hint="eastAsia"/>
          <w:color w:val="0D0D0D"/>
          <w:kern w:val="0"/>
          <w:sz w:val="24"/>
        </w:rPr>
        <w:t>；高盛则回应道</w:t>
      </w:r>
      <w:r w:rsidRPr="0033366E">
        <w:rPr>
          <w:rFonts w:ascii="Charter" w:eastAsia="Times New Roman" w:hAnsi="Charter" w:cs="Times New Roman" w:hint="eastAsia"/>
          <w:color w:val="0D0D0D"/>
          <w:kern w:val="0"/>
          <w:sz w:val="24"/>
        </w:rPr>
        <w:t>“</w:t>
      </w:r>
      <w:r w:rsidRPr="0033366E">
        <w:rPr>
          <w:rFonts w:ascii="SimSun" w:eastAsia="SimSun" w:hAnsi="SimSun" w:cs="SimSun" w:hint="eastAsia"/>
          <w:color w:val="0D0D0D"/>
          <w:kern w:val="0"/>
          <w:sz w:val="24"/>
        </w:rPr>
        <w:t>困难的部分已经过去</w:t>
      </w:r>
      <w:r w:rsidRPr="0033366E">
        <w:rPr>
          <w:rFonts w:ascii="Charter" w:eastAsia="Times New Roman" w:hAnsi="Charter" w:cs="Times New Roman" w:hint="eastAsia"/>
          <w:color w:val="0D0D0D"/>
          <w:kern w:val="0"/>
          <w:sz w:val="24"/>
        </w:rPr>
        <w:t>”</w:t>
      </w:r>
      <w:r w:rsidRPr="0033366E">
        <w:rPr>
          <w:rFonts w:ascii="SimSun" w:eastAsia="SimSun" w:hAnsi="SimSun" w:cs="SimSun" w:hint="eastAsia"/>
          <w:color w:val="0D0D0D"/>
          <w:kern w:val="0"/>
          <w:sz w:val="24"/>
        </w:rPr>
        <w:t>。他们可能希望这既适用于经济，也适用于预测的困难。在</w:t>
      </w:r>
      <w:r w:rsidRPr="0033366E">
        <w:rPr>
          <w:rFonts w:ascii="Charter" w:eastAsia="Times New Roman" w:hAnsi="Charter" w:cs="Times New Roman" w:hint="eastAsia"/>
          <w:color w:val="0D0D0D"/>
          <w:kern w:val="0"/>
          <w:sz w:val="24"/>
        </w:rPr>
        <w:t>2024</w:t>
      </w:r>
      <w:r w:rsidRPr="0033366E">
        <w:rPr>
          <w:rFonts w:ascii="SimSun" w:eastAsia="SimSun" w:hAnsi="SimSun" w:cs="SimSun" w:hint="eastAsia"/>
          <w:color w:val="0D0D0D"/>
          <w:kern w:val="0"/>
          <w:sz w:val="24"/>
        </w:rPr>
        <w:t>年，美国的经济矛盾应该得到解决。也许在</w:t>
      </w:r>
      <w:r w:rsidRPr="0033366E">
        <w:rPr>
          <w:rFonts w:ascii="Charter" w:eastAsia="Times New Roman" w:hAnsi="Charter" w:cs="Times New Roman" w:hint="eastAsia"/>
          <w:color w:val="0D0D0D"/>
          <w:kern w:val="0"/>
          <w:sz w:val="24"/>
        </w:rPr>
        <w:t>2025</w:t>
      </w:r>
      <w:r w:rsidRPr="0033366E">
        <w:rPr>
          <w:rFonts w:ascii="SimSun" w:eastAsia="SimSun" w:hAnsi="SimSun" w:cs="SimSun" w:hint="eastAsia"/>
          <w:color w:val="0D0D0D"/>
          <w:kern w:val="0"/>
          <w:sz w:val="24"/>
        </w:rPr>
        <w:t>年，将再次出现共识。</w:t>
      </w:r>
    </w:p>
    <w:p w:rsidR="009B1D06" w:rsidRPr="009B1D06" w:rsidRDefault="009B1D06"/>
    <w:sectPr w:rsidR="009B1D06" w:rsidRPr="009B1D06" w:rsidSect="00BB66CA">
      <w:headerReference w:type="default" r:id="rId8"/>
      <w:footerReference w:type="even" r:id="rId9"/>
      <w:footerReference w:type="default" r:id="rId10"/>
      <w:pgSz w:w="12240" w:h="15840"/>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D3CD7" w:rsidRDefault="00CD3CD7" w:rsidP="002E1903">
      <w:r>
        <w:separator/>
      </w:r>
    </w:p>
  </w:endnote>
  <w:endnote w:type="continuationSeparator" w:id="0">
    <w:p w:rsidR="00CD3CD7" w:rsidRDefault="00CD3CD7" w:rsidP="002E19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harter">
    <w:panose1 w:val="02040503050506020203"/>
    <w:charset w:val="00"/>
    <w:family w:val="roman"/>
    <w:pitch w:val="variable"/>
    <w:sig w:usb0="800000AF" w:usb1="1000204A" w:usb2="00000000" w:usb3="00000000" w:csb0="0000001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var(--ds-type-system-sans)">
    <w:altName w:val="Cambria"/>
    <w:panose1 w:val="020B0604020202020204"/>
    <w:charset w:val="00"/>
    <w:family w:val="roman"/>
    <w:notTrueType/>
    <w:pitch w:val="default"/>
  </w:font>
  <w:font w:name="inherit">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84317820"/>
      <w:docPartObj>
        <w:docPartGallery w:val="Page Numbers (Bottom of Page)"/>
        <w:docPartUnique/>
      </w:docPartObj>
    </w:sdtPr>
    <w:sdtContent>
      <w:p w:rsidR="002E1903" w:rsidRDefault="002E1903" w:rsidP="0018443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2E1903" w:rsidRDefault="002E1903" w:rsidP="002E190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63981906"/>
      <w:docPartObj>
        <w:docPartGallery w:val="Page Numbers (Bottom of Page)"/>
        <w:docPartUnique/>
      </w:docPartObj>
    </w:sdtPr>
    <w:sdtContent>
      <w:p w:rsidR="002E1903" w:rsidRDefault="002E1903" w:rsidP="0018443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2E1903" w:rsidRDefault="002E1903" w:rsidP="002E190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D3CD7" w:rsidRDefault="00CD3CD7" w:rsidP="002E1903">
      <w:r>
        <w:separator/>
      </w:r>
    </w:p>
  </w:footnote>
  <w:footnote w:type="continuationSeparator" w:id="0">
    <w:p w:rsidR="00CD3CD7" w:rsidRDefault="00CD3CD7" w:rsidP="002E19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1761" w:rsidRDefault="000F67CC">
    <w:pPr>
      <w:pStyle w:val="Header"/>
    </w:pPr>
    <w:r w:rsidRPr="00624F55">
      <w:rPr>
        <w:b/>
        <w:bCs/>
        <w:color w:val="FFFFFF" w:themeColor="background1"/>
        <w:highlight w:val="darkRed"/>
      </w:rPr>
      <w:t>The Economist</w:t>
    </w:r>
    <w:r w:rsidR="00651761">
      <w:ptab w:relativeTo="margin" w:alignment="center" w:leader="none"/>
    </w:r>
    <w:sdt>
      <w:sdtPr>
        <w:id w:val="968859947"/>
        <w:placeholder>
          <w:docPart w:val="DE66B0F9606EB4488ACC21819109D2A9"/>
        </w:placeholder>
        <w:temporary/>
        <w:showingPlcHdr/>
        <w15:appearance w15:val="hidden"/>
      </w:sdtPr>
      <w:sdtContent>
        <w:r w:rsidR="00651761">
          <w:t>[Type here]</w:t>
        </w:r>
      </w:sdtContent>
    </w:sdt>
    <w:r w:rsidR="00651761">
      <w:ptab w:relativeTo="margin" w:alignment="right" w:leader="none"/>
    </w:r>
    <w:r w:rsidR="00651761">
      <w:rPr>
        <w:rFonts w:hint="eastAsia"/>
      </w:rPr>
      <w:t>禁止转载和抄袭</w:t>
    </w:r>
    <w:r w:rsidR="00651761">
      <w:rPr>
        <w:rFonts w:hint="eastAsia"/>
      </w:rPr>
      <w:t xml:space="preserve"> </w:t>
    </w:r>
    <w:r w:rsidR="00651761">
      <w:t>November 28th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D06"/>
    <w:rsid w:val="000F67CC"/>
    <w:rsid w:val="001A0F80"/>
    <w:rsid w:val="001A491D"/>
    <w:rsid w:val="001D4DCA"/>
    <w:rsid w:val="001E61FF"/>
    <w:rsid w:val="00240C8D"/>
    <w:rsid w:val="002A19EC"/>
    <w:rsid w:val="002E1903"/>
    <w:rsid w:val="0033366E"/>
    <w:rsid w:val="00350390"/>
    <w:rsid w:val="00407761"/>
    <w:rsid w:val="005D48E0"/>
    <w:rsid w:val="005E7112"/>
    <w:rsid w:val="00624F55"/>
    <w:rsid w:val="00651761"/>
    <w:rsid w:val="006B3D32"/>
    <w:rsid w:val="007C7BF3"/>
    <w:rsid w:val="007E62A4"/>
    <w:rsid w:val="00827A9D"/>
    <w:rsid w:val="008A29E5"/>
    <w:rsid w:val="008C5A17"/>
    <w:rsid w:val="00915705"/>
    <w:rsid w:val="009B1D06"/>
    <w:rsid w:val="00A316C1"/>
    <w:rsid w:val="00A649DB"/>
    <w:rsid w:val="00A94E9F"/>
    <w:rsid w:val="00AA3306"/>
    <w:rsid w:val="00B07C21"/>
    <w:rsid w:val="00B30B00"/>
    <w:rsid w:val="00B358CF"/>
    <w:rsid w:val="00BA101D"/>
    <w:rsid w:val="00BB66CA"/>
    <w:rsid w:val="00C218BA"/>
    <w:rsid w:val="00C25C62"/>
    <w:rsid w:val="00CA43B3"/>
    <w:rsid w:val="00CD3CD7"/>
    <w:rsid w:val="00D30C34"/>
    <w:rsid w:val="00D634B4"/>
    <w:rsid w:val="00DC57DA"/>
    <w:rsid w:val="00DF520E"/>
    <w:rsid w:val="00EC45E8"/>
    <w:rsid w:val="00F75392"/>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A959D"/>
  <w15:chartTrackingRefBased/>
  <w15:docId w15:val="{24323FFC-68EC-7742-BB68-7027BEA54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9B1D06"/>
    <w:pPr>
      <w:widowControl/>
      <w:spacing w:before="100" w:beforeAutospacing="1" w:after="100" w:afterAutospacing="1"/>
      <w:jc w:val="left"/>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B1D0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1D0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9B1D06"/>
    <w:rPr>
      <w:rFonts w:asciiTheme="majorHAnsi" w:eastAsiaTheme="majorEastAsia" w:hAnsiTheme="majorHAnsi" w:cstheme="majorBidi"/>
      <w:b/>
      <w:bCs/>
      <w:sz w:val="32"/>
      <w:szCs w:val="32"/>
    </w:rPr>
  </w:style>
  <w:style w:type="character" w:customStyle="1" w:styleId="css-1a0w51d">
    <w:name w:val="css-1a0w51d"/>
    <w:basedOn w:val="DefaultParagraphFont"/>
    <w:rsid w:val="009B1D06"/>
  </w:style>
  <w:style w:type="paragraph" w:customStyle="1" w:styleId="css-1hno3qs">
    <w:name w:val="css-1hno3qs"/>
    <w:basedOn w:val="Normal"/>
    <w:rsid w:val="009B1D06"/>
    <w:pPr>
      <w:widowControl/>
      <w:spacing w:before="100" w:beforeAutospacing="1" w:after="100" w:afterAutospacing="1"/>
      <w:jc w:val="left"/>
    </w:pPr>
    <w:rPr>
      <w:rFonts w:ascii="Times New Roman" w:eastAsia="Times New Roman" w:hAnsi="Times New Roman" w:cs="Times New Roman"/>
      <w:kern w:val="0"/>
      <w:sz w:val="24"/>
    </w:rPr>
  </w:style>
  <w:style w:type="character" w:customStyle="1" w:styleId="css-6pzdis">
    <w:name w:val="css-6pzdis"/>
    <w:basedOn w:val="DefaultParagraphFont"/>
    <w:rsid w:val="009B1D06"/>
  </w:style>
  <w:style w:type="paragraph" w:styleId="Footer">
    <w:name w:val="footer"/>
    <w:basedOn w:val="Normal"/>
    <w:link w:val="FooterChar"/>
    <w:uiPriority w:val="99"/>
    <w:unhideWhenUsed/>
    <w:rsid w:val="002E1903"/>
    <w:pPr>
      <w:tabs>
        <w:tab w:val="center" w:pos="4680"/>
        <w:tab w:val="right" w:pos="9360"/>
      </w:tabs>
      <w:snapToGrid w:val="0"/>
      <w:jc w:val="left"/>
    </w:pPr>
    <w:rPr>
      <w:sz w:val="18"/>
      <w:szCs w:val="18"/>
    </w:rPr>
  </w:style>
  <w:style w:type="character" w:customStyle="1" w:styleId="FooterChar">
    <w:name w:val="Footer Char"/>
    <w:basedOn w:val="DefaultParagraphFont"/>
    <w:link w:val="Footer"/>
    <w:uiPriority w:val="99"/>
    <w:rsid w:val="002E1903"/>
    <w:rPr>
      <w:sz w:val="18"/>
      <w:szCs w:val="18"/>
    </w:rPr>
  </w:style>
  <w:style w:type="character" w:styleId="PageNumber">
    <w:name w:val="page number"/>
    <w:basedOn w:val="DefaultParagraphFont"/>
    <w:uiPriority w:val="99"/>
    <w:semiHidden/>
    <w:unhideWhenUsed/>
    <w:rsid w:val="002E1903"/>
  </w:style>
  <w:style w:type="paragraph" w:styleId="Header">
    <w:name w:val="header"/>
    <w:basedOn w:val="Normal"/>
    <w:link w:val="HeaderChar"/>
    <w:uiPriority w:val="99"/>
    <w:unhideWhenUsed/>
    <w:rsid w:val="00651761"/>
    <w:pPr>
      <w:tabs>
        <w:tab w:val="center" w:pos="4680"/>
        <w:tab w:val="right" w:pos="9360"/>
      </w:tabs>
      <w:snapToGrid w:val="0"/>
      <w:jc w:val="center"/>
    </w:pPr>
    <w:rPr>
      <w:sz w:val="18"/>
      <w:szCs w:val="18"/>
    </w:rPr>
  </w:style>
  <w:style w:type="character" w:customStyle="1" w:styleId="HeaderChar">
    <w:name w:val="Header Char"/>
    <w:basedOn w:val="DefaultParagraphFont"/>
    <w:link w:val="Header"/>
    <w:uiPriority w:val="99"/>
    <w:rsid w:val="0065176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712014">
      <w:bodyDiv w:val="1"/>
      <w:marLeft w:val="0"/>
      <w:marRight w:val="0"/>
      <w:marTop w:val="0"/>
      <w:marBottom w:val="0"/>
      <w:divBdr>
        <w:top w:val="none" w:sz="0" w:space="0" w:color="auto"/>
        <w:left w:val="none" w:sz="0" w:space="0" w:color="auto"/>
        <w:bottom w:val="none" w:sz="0" w:space="0" w:color="auto"/>
        <w:right w:val="none" w:sz="0" w:space="0" w:color="auto"/>
      </w:divBdr>
      <w:divsChild>
        <w:div w:id="982541655">
          <w:marLeft w:val="0"/>
          <w:marRight w:val="0"/>
          <w:marTop w:val="0"/>
          <w:marBottom w:val="0"/>
          <w:divBdr>
            <w:top w:val="none" w:sz="0" w:space="0" w:color="auto"/>
            <w:left w:val="none" w:sz="0" w:space="0" w:color="auto"/>
            <w:bottom w:val="none" w:sz="0" w:space="0" w:color="auto"/>
            <w:right w:val="none" w:sz="0" w:space="0" w:color="auto"/>
          </w:divBdr>
          <w:divsChild>
            <w:div w:id="1895772638">
              <w:marLeft w:val="0"/>
              <w:marRight w:val="0"/>
              <w:marTop w:val="0"/>
              <w:marBottom w:val="0"/>
              <w:divBdr>
                <w:top w:val="none" w:sz="0" w:space="0" w:color="auto"/>
                <w:left w:val="none" w:sz="0" w:space="0" w:color="auto"/>
                <w:bottom w:val="none" w:sz="0" w:space="0" w:color="auto"/>
                <w:right w:val="none" w:sz="0" w:space="0" w:color="auto"/>
              </w:divBdr>
              <w:divsChild>
                <w:div w:id="226498918">
                  <w:marLeft w:val="0"/>
                  <w:marRight w:val="0"/>
                  <w:marTop w:val="0"/>
                  <w:marBottom w:val="0"/>
                  <w:divBdr>
                    <w:top w:val="none" w:sz="0" w:space="0" w:color="auto"/>
                    <w:left w:val="none" w:sz="0" w:space="0" w:color="auto"/>
                    <w:bottom w:val="none" w:sz="0" w:space="0" w:color="auto"/>
                    <w:right w:val="none" w:sz="0" w:space="0" w:color="auto"/>
                  </w:divBdr>
                  <w:divsChild>
                    <w:div w:id="777480470">
                      <w:marLeft w:val="0"/>
                      <w:marRight w:val="0"/>
                      <w:marTop w:val="240"/>
                      <w:marBottom w:val="240"/>
                      <w:divBdr>
                        <w:top w:val="none" w:sz="0" w:space="0" w:color="auto"/>
                        <w:left w:val="none" w:sz="0" w:space="0" w:color="auto"/>
                        <w:bottom w:val="none" w:sz="0" w:space="0" w:color="auto"/>
                        <w:right w:val="none" w:sz="0" w:space="0" w:color="auto"/>
                      </w:divBdr>
                      <w:divsChild>
                        <w:div w:id="1751728384">
                          <w:marLeft w:val="0"/>
                          <w:marRight w:val="0"/>
                          <w:marTop w:val="0"/>
                          <w:marBottom w:val="0"/>
                          <w:divBdr>
                            <w:top w:val="none" w:sz="0" w:space="0" w:color="auto"/>
                            <w:left w:val="none" w:sz="0" w:space="0" w:color="auto"/>
                            <w:bottom w:val="none" w:sz="0" w:space="0" w:color="auto"/>
                            <w:right w:val="none" w:sz="0" w:space="0" w:color="auto"/>
                          </w:divBdr>
                          <w:divsChild>
                            <w:div w:id="1631126244">
                              <w:marLeft w:val="0"/>
                              <w:marRight w:val="0"/>
                              <w:marTop w:val="0"/>
                              <w:marBottom w:val="0"/>
                              <w:divBdr>
                                <w:top w:val="none" w:sz="0" w:space="0" w:color="auto"/>
                                <w:left w:val="none" w:sz="0" w:space="0" w:color="auto"/>
                                <w:bottom w:val="none" w:sz="0" w:space="0" w:color="auto"/>
                                <w:right w:val="none" w:sz="0" w:space="0" w:color="auto"/>
                              </w:divBdr>
                              <w:divsChild>
                                <w:div w:id="93483739">
                                  <w:marLeft w:val="0"/>
                                  <w:marRight w:val="0"/>
                                  <w:marTop w:val="0"/>
                                  <w:marBottom w:val="0"/>
                                  <w:divBdr>
                                    <w:top w:val="none" w:sz="0" w:space="0" w:color="auto"/>
                                    <w:left w:val="none" w:sz="0" w:space="0" w:color="auto"/>
                                    <w:bottom w:val="none" w:sz="0" w:space="0" w:color="auto"/>
                                    <w:right w:val="none" w:sz="0" w:space="0" w:color="auto"/>
                                  </w:divBdr>
                                  <w:divsChild>
                                    <w:div w:id="616957118">
                                      <w:marLeft w:val="0"/>
                                      <w:marRight w:val="0"/>
                                      <w:marTop w:val="0"/>
                                      <w:marBottom w:val="0"/>
                                      <w:divBdr>
                                        <w:top w:val="none" w:sz="0" w:space="0" w:color="auto"/>
                                        <w:left w:val="none" w:sz="0" w:space="0" w:color="auto"/>
                                        <w:bottom w:val="none" w:sz="0" w:space="0" w:color="auto"/>
                                        <w:right w:val="none" w:sz="0" w:space="0" w:color="auto"/>
                                      </w:divBdr>
                                      <w:divsChild>
                                        <w:div w:id="990449899">
                                          <w:marLeft w:val="0"/>
                                          <w:marRight w:val="0"/>
                                          <w:marTop w:val="0"/>
                                          <w:marBottom w:val="0"/>
                                          <w:divBdr>
                                            <w:top w:val="none" w:sz="0" w:space="0" w:color="auto"/>
                                            <w:left w:val="none" w:sz="0" w:space="0" w:color="auto"/>
                                            <w:bottom w:val="none" w:sz="0" w:space="0" w:color="auto"/>
                                            <w:right w:val="none" w:sz="0" w:space="0" w:color="auto"/>
                                          </w:divBdr>
                                          <w:divsChild>
                                            <w:div w:id="26280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8739183">
          <w:marLeft w:val="0"/>
          <w:marRight w:val="0"/>
          <w:marTop w:val="0"/>
          <w:marBottom w:val="0"/>
          <w:divBdr>
            <w:top w:val="none" w:sz="0" w:space="0" w:color="auto"/>
            <w:left w:val="none" w:sz="0" w:space="0" w:color="auto"/>
            <w:bottom w:val="none" w:sz="0" w:space="0" w:color="auto"/>
            <w:right w:val="none" w:sz="0" w:space="0" w:color="auto"/>
          </w:divBdr>
          <w:divsChild>
            <w:div w:id="1036542001">
              <w:marLeft w:val="0"/>
              <w:marRight w:val="0"/>
              <w:marTop w:val="0"/>
              <w:marBottom w:val="0"/>
              <w:divBdr>
                <w:top w:val="none" w:sz="0" w:space="0" w:color="auto"/>
                <w:left w:val="none" w:sz="0" w:space="0" w:color="auto"/>
                <w:bottom w:val="none" w:sz="0" w:space="0" w:color="auto"/>
                <w:right w:val="none" w:sz="0" w:space="0" w:color="auto"/>
              </w:divBdr>
              <w:divsChild>
                <w:div w:id="139639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915848">
      <w:bodyDiv w:val="1"/>
      <w:marLeft w:val="0"/>
      <w:marRight w:val="0"/>
      <w:marTop w:val="0"/>
      <w:marBottom w:val="0"/>
      <w:divBdr>
        <w:top w:val="none" w:sz="0" w:space="0" w:color="auto"/>
        <w:left w:val="none" w:sz="0" w:space="0" w:color="auto"/>
        <w:bottom w:val="none" w:sz="0" w:space="0" w:color="auto"/>
        <w:right w:val="none" w:sz="0" w:space="0" w:color="auto"/>
      </w:divBdr>
      <w:divsChild>
        <w:div w:id="1419592730">
          <w:marLeft w:val="0"/>
          <w:marRight w:val="0"/>
          <w:marTop w:val="0"/>
          <w:marBottom w:val="0"/>
          <w:divBdr>
            <w:top w:val="none" w:sz="0" w:space="0" w:color="auto"/>
            <w:left w:val="none" w:sz="0" w:space="0" w:color="auto"/>
            <w:bottom w:val="none" w:sz="0" w:space="0" w:color="auto"/>
            <w:right w:val="none" w:sz="0" w:space="0" w:color="auto"/>
          </w:divBdr>
        </w:div>
      </w:divsChild>
    </w:div>
    <w:div w:id="1195390514">
      <w:bodyDiv w:val="1"/>
      <w:marLeft w:val="0"/>
      <w:marRight w:val="0"/>
      <w:marTop w:val="0"/>
      <w:marBottom w:val="0"/>
      <w:divBdr>
        <w:top w:val="none" w:sz="0" w:space="0" w:color="auto"/>
        <w:left w:val="none" w:sz="0" w:space="0" w:color="auto"/>
        <w:bottom w:val="none" w:sz="0" w:space="0" w:color="auto"/>
        <w:right w:val="none" w:sz="0" w:space="0" w:color="auto"/>
      </w:divBdr>
    </w:div>
    <w:div w:id="1640108411">
      <w:bodyDiv w:val="1"/>
      <w:marLeft w:val="0"/>
      <w:marRight w:val="0"/>
      <w:marTop w:val="0"/>
      <w:marBottom w:val="0"/>
      <w:divBdr>
        <w:top w:val="none" w:sz="0" w:space="0" w:color="auto"/>
        <w:left w:val="none" w:sz="0" w:space="0" w:color="auto"/>
        <w:bottom w:val="none" w:sz="0" w:space="0" w:color="auto"/>
        <w:right w:val="none" w:sz="0" w:space="0" w:color="auto"/>
      </w:divBdr>
      <w:divsChild>
        <w:div w:id="186214353">
          <w:marLeft w:val="0"/>
          <w:marRight w:val="0"/>
          <w:marTop w:val="0"/>
          <w:marBottom w:val="0"/>
          <w:divBdr>
            <w:top w:val="none" w:sz="0" w:space="0" w:color="auto"/>
            <w:left w:val="none" w:sz="0" w:space="0" w:color="auto"/>
            <w:bottom w:val="none" w:sz="0" w:space="0" w:color="auto"/>
            <w:right w:val="none" w:sz="0" w:space="0" w:color="auto"/>
          </w:divBdr>
          <w:divsChild>
            <w:div w:id="1800755507">
              <w:marLeft w:val="0"/>
              <w:marRight w:val="0"/>
              <w:marTop w:val="0"/>
              <w:marBottom w:val="0"/>
              <w:divBdr>
                <w:top w:val="none" w:sz="0" w:space="0" w:color="auto"/>
                <w:left w:val="none" w:sz="0" w:space="0" w:color="auto"/>
                <w:bottom w:val="none" w:sz="0" w:space="0" w:color="auto"/>
                <w:right w:val="none" w:sz="0" w:space="0" w:color="auto"/>
              </w:divBdr>
              <w:divsChild>
                <w:div w:id="1454902382">
                  <w:marLeft w:val="0"/>
                  <w:marRight w:val="0"/>
                  <w:marTop w:val="0"/>
                  <w:marBottom w:val="0"/>
                  <w:divBdr>
                    <w:top w:val="none" w:sz="0" w:space="0" w:color="auto"/>
                    <w:left w:val="none" w:sz="0" w:space="0" w:color="auto"/>
                    <w:bottom w:val="none" w:sz="0" w:space="0" w:color="auto"/>
                    <w:right w:val="none" w:sz="0" w:space="0" w:color="auto"/>
                  </w:divBdr>
                  <w:divsChild>
                    <w:div w:id="1334719550">
                      <w:marLeft w:val="0"/>
                      <w:marRight w:val="0"/>
                      <w:marTop w:val="240"/>
                      <w:marBottom w:val="240"/>
                      <w:divBdr>
                        <w:top w:val="none" w:sz="0" w:space="0" w:color="auto"/>
                        <w:left w:val="none" w:sz="0" w:space="0" w:color="auto"/>
                        <w:bottom w:val="none" w:sz="0" w:space="0" w:color="auto"/>
                        <w:right w:val="none" w:sz="0" w:space="0" w:color="auto"/>
                      </w:divBdr>
                      <w:divsChild>
                        <w:div w:id="164785612">
                          <w:marLeft w:val="0"/>
                          <w:marRight w:val="0"/>
                          <w:marTop w:val="0"/>
                          <w:marBottom w:val="0"/>
                          <w:divBdr>
                            <w:top w:val="none" w:sz="0" w:space="0" w:color="auto"/>
                            <w:left w:val="none" w:sz="0" w:space="0" w:color="auto"/>
                            <w:bottom w:val="none" w:sz="0" w:space="0" w:color="auto"/>
                            <w:right w:val="none" w:sz="0" w:space="0" w:color="auto"/>
                          </w:divBdr>
                          <w:divsChild>
                            <w:div w:id="1543833791">
                              <w:marLeft w:val="0"/>
                              <w:marRight w:val="0"/>
                              <w:marTop w:val="0"/>
                              <w:marBottom w:val="0"/>
                              <w:divBdr>
                                <w:top w:val="none" w:sz="0" w:space="0" w:color="auto"/>
                                <w:left w:val="none" w:sz="0" w:space="0" w:color="auto"/>
                                <w:bottom w:val="none" w:sz="0" w:space="0" w:color="auto"/>
                                <w:right w:val="none" w:sz="0" w:space="0" w:color="auto"/>
                              </w:divBdr>
                              <w:divsChild>
                                <w:div w:id="1251546960">
                                  <w:marLeft w:val="0"/>
                                  <w:marRight w:val="0"/>
                                  <w:marTop w:val="0"/>
                                  <w:marBottom w:val="0"/>
                                  <w:divBdr>
                                    <w:top w:val="none" w:sz="0" w:space="0" w:color="auto"/>
                                    <w:left w:val="none" w:sz="0" w:space="0" w:color="auto"/>
                                    <w:bottom w:val="none" w:sz="0" w:space="0" w:color="auto"/>
                                    <w:right w:val="none" w:sz="0" w:space="0" w:color="auto"/>
                                  </w:divBdr>
                                  <w:divsChild>
                                    <w:div w:id="730927390">
                                      <w:marLeft w:val="0"/>
                                      <w:marRight w:val="0"/>
                                      <w:marTop w:val="0"/>
                                      <w:marBottom w:val="0"/>
                                      <w:divBdr>
                                        <w:top w:val="none" w:sz="0" w:space="0" w:color="auto"/>
                                        <w:left w:val="none" w:sz="0" w:space="0" w:color="auto"/>
                                        <w:bottom w:val="none" w:sz="0" w:space="0" w:color="auto"/>
                                        <w:right w:val="none" w:sz="0" w:space="0" w:color="auto"/>
                                      </w:divBdr>
                                      <w:divsChild>
                                        <w:div w:id="155725545">
                                          <w:marLeft w:val="0"/>
                                          <w:marRight w:val="0"/>
                                          <w:marTop w:val="0"/>
                                          <w:marBottom w:val="0"/>
                                          <w:divBdr>
                                            <w:top w:val="none" w:sz="0" w:space="0" w:color="auto"/>
                                            <w:left w:val="none" w:sz="0" w:space="0" w:color="auto"/>
                                            <w:bottom w:val="none" w:sz="0" w:space="0" w:color="auto"/>
                                            <w:right w:val="none" w:sz="0" w:space="0" w:color="auto"/>
                                          </w:divBdr>
                                          <w:divsChild>
                                            <w:div w:id="88745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7125370">
          <w:marLeft w:val="0"/>
          <w:marRight w:val="0"/>
          <w:marTop w:val="0"/>
          <w:marBottom w:val="0"/>
          <w:divBdr>
            <w:top w:val="none" w:sz="0" w:space="0" w:color="auto"/>
            <w:left w:val="none" w:sz="0" w:space="0" w:color="auto"/>
            <w:bottom w:val="none" w:sz="0" w:space="0" w:color="auto"/>
            <w:right w:val="none" w:sz="0" w:space="0" w:color="auto"/>
          </w:divBdr>
          <w:divsChild>
            <w:div w:id="536552055">
              <w:marLeft w:val="0"/>
              <w:marRight w:val="0"/>
              <w:marTop w:val="0"/>
              <w:marBottom w:val="0"/>
              <w:divBdr>
                <w:top w:val="none" w:sz="0" w:space="0" w:color="auto"/>
                <w:left w:val="none" w:sz="0" w:space="0" w:color="auto"/>
                <w:bottom w:val="none" w:sz="0" w:space="0" w:color="auto"/>
                <w:right w:val="none" w:sz="0" w:space="0" w:color="auto"/>
              </w:divBdr>
              <w:divsChild>
                <w:div w:id="143918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995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66B0F9606EB4488ACC21819109D2A9"/>
        <w:category>
          <w:name w:val="General"/>
          <w:gallery w:val="placeholder"/>
        </w:category>
        <w:types>
          <w:type w:val="bbPlcHdr"/>
        </w:types>
        <w:behaviors>
          <w:behavior w:val="content"/>
        </w:behaviors>
        <w:guid w:val="{0D3539B9-167E-8C45-B1B8-40997351E01D}"/>
      </w:docPartPr>
      <w:docPartBody>
        <w:p w:rsidR="00000000" w:rsidRDefault="00265FAE" w:rsidP="00265FAE">
          <w:pPr>
            <w:pStyle w:val="DE66B0F9606EB4488ACC21819109D2A9"/>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harter">
    <w:panose1 w:val="02040503050506020203"/>
    <w:charset w:val="00"/>
    <w:family w:val="roman"/>
    <w:pitch w:val="variable"/>
    <w:sig w:usb0="800000AF" w:usb1="1000204A" w:usb2="00000000" w:usb3="00000000" w:csb0="0000001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var(--ds-type-system-sans)">
    <w:altName w:val="Cambria"/>
    <w:panose1 w:val="020B0604020202020204"/>
    <w:charset w:val="00"/>
    <w:family w:val="roman"/>
    <w:notTrueType/>
    <w:pitch w:val="default"/>
  </w:font>
  <w:font w:name="inherit">
    <w:altName w:val="Cambria"/>
    <w:panose1 w:val="020B0604020202020204"/>
    <w:charset w:val="00"/>
    <w:family w:val="roman"/>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revisionView w:insDel="0"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FAE"/>
    <w:rsid w:val="00265FAE"/>
    <w:rsid w:val="00530E58"/>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66B0F9606EB4488ACC21819109D2A9">
    <w:name w:val="DE66B0F9606EB4488ACC21819109D2A9"/>
    <w:rsid w:val="00265FAE"/>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699</Words>
  <Characters>3989</Characters>
  <Application>Microsoft Office Word</Application>
  <DocSecurity>0</DocSecurity>
  <Lines>33</Lines>
  <Paragraphs>9</Paragraphs>
  <ScaleCrop>false</ScaleCrop>
  <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47</cp:revision>
  <dcterms:created xsi:type="dcterms:W3CDTF">2023-11-28T01:26:00Z</dcterms:created>
  <dcterms:modified xsi:type="dcterms:W3CDTF">2023-11-28T13:51:00Z</dcterms:modified>
</cp:coreProperties>
</file>